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pStyle w:val="7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pStyle w:val="7"/>
        <w:ind w:firstLine="44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涪陵区财政电子票据自动核销工作</w:t>
      </w:r>
    </w:p>
    <w:p>
      <w:pPr>
        <w:pStyle w:val="7"/>
        <w:ind w:firstLine="44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实施方案</w:t>
      </w:r>
    </w:p>
    <w:p>
      <w:pPr>
        <w:ind w:firstLine="42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</w:rPr>
        <w:t xml:space="preserve"> 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一、工作目标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《重庆市财政局关于推广财政电子票据自动核销的通知》要求，从财政电子票据全生命周期监管角度出发，加强对财政电子票据领用计划、票据申领、开票、核销等各个环节的监管，通过业务管理台账，记录各个业务环节办理情况，摸底全区用票单位及各单位用票情况，实现全区财政电子票据自动核销，规范财政电子票据管理。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二、实施范围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全区所有使用财政电子票据的单位。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三、时间安排</w:t>
      </w:r>
    </w:p>
    <w:p>
      <w:pPr>
        <w:spacing w:line="560" w:lineRule="exact"/>
        <w:ind w:firstLine="684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 2024年12月9日-10日，全区各行政、事业单位完成基础资料及配置、升级（财政电子票据自动核销工作安排名单附后）。</w:t>
      </w:r>
    </w:p>
    <w:p>
      <w:pPr>
        <w:spacing w:line="560" w:lineRule="exact"/>
        <w:ind w:firstLine="684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 2024年12月12日-13日，教育系统各单位完成基础资料及配置、升级（区教委统一安排实施）。</w:t>
      </w:r>
    </w:p>
    <w:p>
      <w:pPr>
        <w:pStyle w:val="6"/>
        <w:spacing w:line="560" w:lineRule="exact"/>
        <w:ind w:firstLine="640" w:firstLineChars="200"/>
        <w:jc w:val="both"/>
        <w:rPr>
          <w:rFonts w:hint="eastAsia" w:ascii="方正仿宋_GBK" w:eastAsia="方正仿宋_GBK"/>
          <w:b w:val="0"/>
          <w:szCs w:val="32"/>
        </w:rPr>
      </w:pPr>
      <w:r>
        <w:rPr>
          <w:rFonts w:hint="eastAsia" w:ascii="方正仿宋_GBK" w:eastAsia="方正仿宋_GBK"/>
          <w:b w:val="0"/>
          <w:szCs w:val="32"/>
        </w:rPr>
        <w:t>3. 2024年12月16日-17日，各社会团体完成基础资料及配置、升级（区财政统一安排实施）。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四、具体工作</w:t>
      </w:r>
    </w:p>
    <w:p>
      <w:pPr>
        <w:pStyle w:val="6"/>
        <w:spacing w:line="560" w:lineRule="exact"/>
        <w:jc w:val="both"/>
        <w:rPr>
          <w:rFonts w:hint="eastAsia" w:ascii="方正仿宋_GBK" w:eastAsia="方正仿宋_GBK"/>
          <w:b w:val="0"/>
          <w:szCs w:val="32"/>
        </w:rPr>
      </w:pPr>
      <w:r>
        <w:rPr>
          <w:rFonts w:hint="eastAsia" w:ascii="方正仿宋_GBK" w:eastAsia="方正仿宋_GBK"/>
          <w:szCs w:val="32"/>
        </w:rPr>
        <w:t xml:space="preserve"> </w:t>
      </w:r>
      <w:r>
        <w:rPr>
          <w:rFonts w:hint="eastAsia" w:ascii="方正仿宋_GBK" w:eastAsia="方正仿宋_GBK"/>
          <w:b w:val="0"/>
          <w:szCs w:val="32"/>
        </w:rPr>
        <w:t xml:space="preserve">   1. 区财政局牵头统筹协调各用票单位集中推进实施，明确票据核销、违规票据处理、电子领用证领用等相关业务流程，及时解决实施过程中出现的问题和情况。</w:t>
      </w:r>
    </w:p>
    <w:p>
      <w:pPr>
        <w:pStyle w:val="6"/>
        <w:spacing w:line="560" w:lineRule="exact"/>
        <w:jc w:val="both"/>
        <w:rPr>
          <w:rFonts w:hint="eastAsia" w:ascii="方正仿宋_GBK" w:eastAsia="方正仿宋_GBK"/>
          <w:b w:val="0"/>
          <w:szCs w:val="32"/>
        </w:rPr>
      </w:pPr>
      <w:r>
        <w:rPr>
          <w:rFonts w:hint="eastAsia" w:ascii="方正仿宋_GBK" w:eastAsia="方正仿宋_GBK"/>
          <w:b w:val="0"/>
          <w:szCs w:val="32"/>
        </w:rPr>
        <w:t xml:space="preserve">    2. 各用票单位：一是落实本单位财政电子票据系统的升级工作，指定专人负责对接区财政局非税科（雷娟、姜伟023-72230204）；二是认真梳理本单位基础信息、联系人及联系方式等基础资料；三是配合提交一次之前票据的核销申请工作；四是及时反馈实施过程中的问题。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五、财政电子票据核销流程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 财政部门在财政电子票据核销规则管理中维护对应的核销规则。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 单位发起申请。用票单位通过票据系统向财政部门发起票据核销申请，财政部门及时处理单位票据核销申请。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楷体_GB2312" w:eastAsia="方正仿宋_GBK" w:cs="楷体_GB2312"/>
          <w:sz w:val="32"/>
          <w:szCs w:val="32"/>
        </w:rPr>
        <w:t xml:space="preserve">3. </w:t>
      </w:r>
      <w:r>
        <w:rPr>
          <w:rFonts w:hint="eastAsia" w:ascii="方正仿宋_GBK" w:eastAsia="方正仿宋_GBK"/>
          <w:sz w:val="32"/>
          <w:szCs w:val="32"/>
        </w:rPr>
        <w:t>上报到财政部门的票据在系统内按照规则自动核销，如系统判断用票行为正常则自动核销，如存在可疑用票行为则该票据被标记为可疑票据。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楷体_GB2312" w:eastAsia="方正仿宋_GBK" w:cs="楷体_GB2312"/>
          <w:sz w:val="32"/>
          <w:szCs w:val="32"/>
        </w:rPr>
        <w:t xml:space="preserve">4. </w:t>
      </w:r>
      <w:r>
        <w:rPr>
          <w:rFonts w:hint="eastAsia" w:ascii="方正仿宋_GBK" w:eastAsia="方正仿宋_GBK"/>
          <w:sz w:val="32"/>
          <w:szCs w:val="32"/>
        </w:rPr>
        <w:t>财政对可疑票据进行人工处理，判断是否合规：如票据为合规票据，则解除票据可疑状态，移出可疑票据库；如票据存在可疑，则通知单位该票据存在可疑票据行为，需单位进行解释证明或提交证明材料；如票据存在违规现象，则标记违规，该票据移入违规票据库，并向该单位下发整改通知单，通知单位进行整改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楷体_GB2312" w:eastAsia="方正仿宋_GBK" w:cs="楷体_GB2312"/>
          <w:sz w:val="32"/>
          <w:szCs w:val="32"/>
        </w:rPr>
        <w:t xml:space="preserve">5. </w:t>
      </w:r>
      <w:r>
        <w:rPr>
          <w:rFonts w:hint="eastAsia" w:ascii="方正仿宋_GBK" w:eastAsia="方正仿宋_GBK"/>
          <w:sz w:val="32"/>
          <w:szCs w:val="32"/>
        </w:rPr>
        <w:t>单位提交可疑说明或整改。单位收到可疑票据通知后，查看该可疑票据详情，并提交可疑票据说明至财政部门；单位收到违规整改通知后，按要求进行整改，并将整改结果上报财政审核。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楷体_GB2312" w:eastAsia="方正仿宋_GBK" w:cs="楷体_GB2312"/>
          <w:sz w:val="32"/>
          <w:szCs w:val="32"/>
        </w:rPr>
        <w:t xml:space="preserve">6. </w:t>
      </w:r>
      <w:r>
        <w:rPr>
          <w:rFonts w:hint="eastAsia" w:ascii="方正仿宋_GBK" w:eastAsia="方正仿宋_GBK"/>
          <w:sz w:val="32"/>
          <w:szCs w:val="32"/>
        </w:rPr>
        <w:t>财政根据单位提交的可疑票据说明进行审核，若提供证明充足，解释说明合理，则视为合规的开票行为，该票据可解除可疑状态，核销通过。若判断该可疑票据存在违规现象，则标记违规，待进行违规票据处理。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楷体_GB2312" w:eastAsia="方正仿宋_GBK" w:cs="楷体_GB2312"/>
          <w:sz w:val="32"/>
          <w:szCs w:val="32"/>
        </w:rPr>
        <w:t xml:space="preserve">7. </w:t>
      </w:r>
      <w:r>
        <w:rPr>
          <w:rFonts w:hint="eastAsia" w:ascii="方正仿宋_GBK" w:eastAsia="方正仿宋_GBK"/>
          <w:sz w:val="32"/>
          <w:szCs w:val="32"/>
        </w:rPr>
        <w:t>财政审核单位整改结果，对已完成整改的违规票据标记已整改，并核销该票据。如未完成整改，则核销未通过。财政电子票据实行“核旧领新”制度，用票单位前次领用票据未核销将无法申领新的财政电子票据。</w:t>
      </w:r>
    </w:p>
    <w:p>
      <w:pPr>
        <w:pStyle w:val="5"/>
        <w:spacing w:line="560" w:lineRule="exact"/>
        <w:ind w:firstLine="640" w:firstLineChars="200"/>
        <w:rPr>
          <w:rFonts w:hint="eastAsia" w:ascii="方正仿宋_GBK"/>
        </w:rPr>
      </w:pPr>
      <w:r>
        <w:rPr>
          <w:rFonts w:hint="eastAsia" w:ascii="方正仿宋_GBK" w:hAnsi="仿宋_GB2312" w:cs="仿宋_GB2312"/>
        </w:rPr>
        <w:t xml:space="preserve">8. </w:t>
      </w:r>
      <w:r>
        <w:rPr>
          <w:rFonts w:hint="eastAsia" w:ascii="方正仿宋_GBK"/>
        </w:rPr>
        <w:t>财政部门按一定比例对已通过自动核销的财政票据进行人工抽检，审核通过则完成核销，审核未通过进入单位整改流程，直至审核通过。人工抽检完成后系统生成财政电子票据抽检报表，展示票据人工抽检情况。</w:t>
      </w:r>
    </w:p>
    <w:p>
      <w:pPr>
        <w:pStyle w:val="5"/>
        <w:spacing w:line="560" w:lineRule="exact"/>
        <w:ind w:firstLine="640" w:firstLineChars="200"/>
        <w:rPr>
          <w:rFonts w:hint="eastAsia" w:ascii="方正仿宋_GBK"/>
        </w:rPr>
      </w:pPr>
    </w:p>
    <w:p>
      <w:pPr>
        <w:pStyle w:val="7"/>
        <w:spacing w:line="560" w:lineRule="exact"/>
        <w:ind w:firstLine="0" w:firstLineChars="0"/>
        <w:jc w:val="center"/>
        <w:rPr>
          <w:rFonts w:hint="eastAsia"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财政电子票据自动核销工作安排名单</w:t>
      </w:r>
    </w:p>
    <w:p>
      <w:pPr>
        <w:pStyle w:val="7"/>
        <w:ind w:firstLine="0" w:firstLineChars="0"/>
        <w:jc w:val="center"/>
        <w:rPr>
          <w:rFonts w:hint="eastAsia" w:ascii="方正楷体_GBK" w:eastAsia="方正楷体_GBK"/>
          <w:spacing w:val="-20"/>
          <w:sz w:val="32"/>
          <w:szCs w:val="32"/>
        </w:rPr>
      </w:pPr>
      <w:r>
        <w:rPr>
          <w:rFonts w:hint="eastAsia" w:ascii="方正楷体_GBK" w:eastAsia="方正楷体_GBK"/>
          <w:spacing w:val="-20"/>
          <w:sz w:val="32"/>
          <w:szCs w:val="32"/>
        </w:rPr>
        <w:t>（行政事业单位）</w:t>
      </w:r>
    </w:p>
    <w:tbl>
      <w:tblPr>
        <w:tblStyle w:val="8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67"/>
        <w:gridCol w:w="6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单位代码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101001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重庆市涪陵区人大常委会办公室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102001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重庆市涪陵区人民政府办公室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102003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重庆市涪陵区机关事务管理中心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103001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重庆市涪陵区归国华侨联合会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105001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重庆市涪陵区信访办公室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105002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重庆市涪陵区信访信息中心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106001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中共重庆市涪陵区委网络安全和信息化委员会办公室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108001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112001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重庆市涪陵区政务服务管理事务中心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113001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中共重庆市涪陵区委办公室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114001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中共重庆市涪陵区纪律检查委员会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115001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中共重庆市涪陵区委组织部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115002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中共重庆市涪陵区委组织部信息中心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118001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中共重庆市涪陵区委直属机关工作委员会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119001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中共重庆市涪陵区委宣传部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120001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重庆市涪陵区妇女联合会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121001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中国共产主义青年团重庆市涪陵区委员会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121002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重庆市涪陵区青少年活动中心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122001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政协重庆市涪陵区委员会办公室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123002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重庆市涪陵区职工服务中心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124001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重庆市涪陵区工商业联合会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127001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130001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130002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重庆市涪陵区法律援助中心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130003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重庆市涪陵公证处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131001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135001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中共重庆市涪陵区委党校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136001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138001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重庆市涪陵区社会科学界联合会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201001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重庆市涪陵区教育委员会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201003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重庆市涪陵广播电视大学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201134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重庆市涪陵区教育技术装备中心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201135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重庆市涪陵区教育科学研究所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201136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重庆市涪陵区教育财务核算管理中心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201137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重庆市涪陵区学生资助管理中心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201138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重庆市涪陵区教育基建后勤中心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204001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重庆市涪陵区科学技术协会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205001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205002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206001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重庆市涪陵区文化和旅游发展委员会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206002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206003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206004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206005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重庆市涪陵区少年儿童图书馆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206009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重庆市涪陵区体育运动学校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206010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重庆市涪陵区体育馆管理中心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206011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重庆市涪陵区文化市场综合行政执法支队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301001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301005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重庆市涪陵区殡葬管理所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301007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重庆市涪陵区救助管理站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301009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重庆市涪陵区社会福利院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302001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重庆市涪陵区残疾人联合会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303001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303002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重庆市涪陵区就业和人才中心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303003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重庆市涪陵区社会保险事务中心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303005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重庆市涪陵区人事考试培训中心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303006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重庆市涪陵区职业技能鉴定指导中心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304003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重庆市涪陵区干休所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304004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重庆市涪陵区老干部活动中心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305001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305003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重庆市涪陵区卫生健康综合行政执法支队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305004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305005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305007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重庆市涪陵区中心血站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305009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重庆大学附属涪陵医院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305010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305015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306001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重庆市涪陵区退役军人事务局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306002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重庆市涪陵区军队离休退休干部服务管理中心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306003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重庆市涪陵区光荣院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306004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重庆市涪陵区烈士陵园管理所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306005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重庆市涪陵区优抚医院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307001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401001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403001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重庆市涪陵区农业农村委员会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403002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重庆市涪陵区农村生态能源站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403005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重庆市涪陵区经济作物发展中心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403006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重庆市涪陵区农业综合行政执法支队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403011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重庆市渝东南农业科学院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403012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重庆市涪陵区畜牧兽医发展中心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404001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404002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重庆市涪陵区林业有害生物监测防治中心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404004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重庆市涪陵区永胜林场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404005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重庆市涪陵区大木山自然保护区服务中心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407001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重庆市涪陵区气象局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409001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重庆市涪陵区供销合作社联合社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501001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重庆市涪陵区发展和改革委员会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501003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重庆市涪陵区公共资源交易中心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503005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重庆市涪陵区征地事务中心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504001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重庆市涪陵区住房和城乡建设委员会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504003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重庆市涪陵区建筑业服务中心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504010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重庆市涪陵区城市管线综合管理事务中心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504012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重庆市涪陵区房地产事务中心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504013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重庆市涪陵区住房保障中心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505001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重庆市涪陵区城市管理局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505002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重庆市涪陵区城市管理综合行政执法支队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505003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重庆市涪陵区城市管理服务中心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505004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重庆市涪陵区环境卫生服务中心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505005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重庆市涪陵区园林绿化服务中心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509001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509004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重庆市涪陵区应急管理综合行政执法支队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510001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重庆市涪陵区生态环境局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510004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重庆市涪陵区生态环境保护综合行政执法支队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511001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涪陵区消防救援支队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601001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重庆市涪陵区经济和信息化委员会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604001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604002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重庆市涪陵区交通规划与技术发展中心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604003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重庆市涪陵区渡口事务中心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604004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重庆市涪陵区道路运输事务中心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604005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重庆市涪陵区公路事务中心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604007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重庆市涪陵区港航海事事务中心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604008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重庆市涪陵区交通运输综合行政执法支队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605001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重庆市涪陵区国有资产监督管理委员会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608001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重庆市涪陵区商务委员会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615001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重庆市涪陵区大数据应用发展管理局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617001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重庆市涪陵区招商投资促进局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931001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重庆白涛工业园区管理委员会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891001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重庆市涪陵区烟草专卖局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901001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重庆市涪陵区人民政府崇义街道办事处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902001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重庆市涪陵区人民政府敦仁街道办事处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903001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重庆市涪陵区人民政府荔枝街道办事处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904001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重庆市涪陵区人民政府江东街道办事处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905001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重庆市涪陵区人民政府江北街道办事处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906001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重庆市涪陵区人民政府李渡街道办事处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907001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重庆市涪陵区人民政府龙桥街道办事处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908001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重庆市涪陵区人民政府白涛街道办事处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909001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重庆市涪陵区人民政府义和街道办事处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910001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重庆市涪陵区新妙镇人民政府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911001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重庆市涪陵区石沱镇人民政府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912001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重庆市涪陵区龙潭镇人民政府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913001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重庆市涪陵区青羊镇人民政府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914001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重庆市涪陵区马武镇人民政府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915001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重庆市涪陵区人民政府蔺市街道办事处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916001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重庆市涪陵区焦石镇人民政府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917001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重庆市涪陵区清溪镇人民政府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918001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重庆市涪陵区南沱镇人民政府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919001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重庆市涪陵区珍溪镇人民政府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920001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重庆市涪陵区百胜镇人民政府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921001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重庆市涪陵区增福镇人民政府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922001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重庆市涪陵区大顺乡人民政府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923001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重庆市涪陵区同乐镇人民政府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924001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重庆市涪陵区武陵山乡人民政府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925001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重庆市涪陵区罗云乡人民政府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926001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重庆市涪陵区大木乡人民政府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932001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 xml:space="preserve">重庆市涪陵区人民政府马鞍街道办事处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889001</w:t>
            </w:r>
          </w:p>
        </w:tc>
        <w:tc>
          <w:tcPr>
            <w:tcW w:w="6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重庆涪陵高新技术产业开发区管理委员会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C6A92"/>
    <w:rsid w:val="011F3AA7"/>
    <w:rsid w:val="04DB521E"/>
    <w:rsid w:val="139F5E73"/>
    <w:rsid w:val="36DB22FE"/>
    <w:rsid w:val="484B495F"/>
    <w:rsid w:val="49015FF8"/>
    <w:rsid w:val="4A1725A3"/>
    <w:rsid w:val="50747591"/>
    <w:rsid w:val="56685DA4"/>
    <w:rsid w:val="577E67DE"/>
    <w:rsid w:val="5E8A0CA6"/>
    <w:rsid w:val="664B04B8"/>
    <w:rsid w:val="6FCC6A92"/>
    <w:rsid w:val="7E7D1BDE"/>
    <w:rsid w:val="7F3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2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92" w:lineRule="exact"/>
      <w:ind w:firstLine="880" w:firstLineChars="200"/>
      <w:outlineLvl w:val="1"/>
    </w:pPr>
    <w:rPr>
      <w:rFonts w:ascii="方正黑体_GBK" w:hAnsi="方正黑体_GBK" w:eastAsia="方正黑体_GBK" w:cs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2" w:lineRule="exact"/>
      <w:ind w:firstLine="880" w:firstLineChars="200"/>
      <w:outlineLvl w:val="2"/>
    </w:pPr>
    <w:rPr>
      <w:rFonts w:ascii="方正楷体_GBK" w:hAnsi="方正楷体_GBK" w:eastAsia="方正楷体_GBK" w:cs="方正楷体_GBK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rPr>
      <w:rFonts w:eastAsia="方正仿宋_GBK"/>
      <w:sz w:val="32"/>
      <w:szCs w:val="32"/>
    </w:rPr>
  </w:style>
  <w:style w:type="paragraph" w:styleId="6">
    <w:name w:val="Body Text"/>
    <w:basedOn w:val="1"/>
    <w:uiPriority w:val="0"/>
    <w:pPr>
      <w:jc w:val="center"/>
    </w:pPr>
    <w:rPr>
      <w:rFonts w:ascii="仿宋_GB2312" w:eastAsia="仿宋_GB2312"/>
      <w:b/>
      <w:bCs/>
      <w:sz w:val="32"/>
    </w:rPr>
  </w:style>
  <w:style w:type="paragraph" w:styleId="7">
    <w:name w:val="Body Text First Indent"/>
    <w:basedOn w:val="6"/>
    <w:uiPriority w:val="0"/>
    <w:pPr>
      <w:spacing w:after="120"/>
      <w:ind w:firstLine="420" w:firstLineChars="100"/>
      <w:jc w:val="both"/>
    </w:pPr>
    <w:rPr>
      <w:rFonts w:ascii="Times New Roman" w:eastAsia="宋体"/>
      <w:b w:val="0"/>
      <w:bCs w:val="0"/>
      <w:sz w:val="21"/>
    </w:rPr>
  </w:style>
  <w:style w:type="character" w:customStyle="1" w:styleId="10">
    <w:name w:val="标题 2 Char"/>
    <w:link w:val="3"/>
    <w:qFormat/>
    <w:uiPriority w:val="0"/>
    <w:rPr>
      <w:rFonts w:ascii="方正黑体_GBK" w:hAnsi="方正黑体_GBK" w:eastAsia="方正黑体_GBK" w:cs="方正黑体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2024-12-13T07:44:00Z</dcterms:created>
  <dc:creator>Administrator</dc:creator>
  <cp:lastModifiedBy>Administrator</cp:lastModifiedBy>
  <dcterms:modified xsi:type="dcterms:W3CDTF">2024-12-13T07:45:07Z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