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tabs>
          <w:tab w:val="left" w:pos="1960"/>
        </w:tabs>
        <w:spacing w:line="594" w:lineRule="exact"/>
        <w:jc w:val="center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中央大气污染防治资金支持项目表</w:t>
      </w:r>
    </w:p>
    <w:p>
      <w:pPr>
        <w:wordWrap w:val="0"/>
        <w:adjustRightInd w:val="0"/>
        <w:spacing w:line="600" w:lineRule="exact"/>
        <w:jc w:val="righ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单位：万元</w:t>
      </w:r>
    </w:p>
    <w:tbl>
      <w:tblPr>
        <w:tblStyle w:val="7"/>
        <w:tblW w:w="13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280"/>
        <w:gridCol w:w="596"/>
        <w:gridCol w:w="812"/>
        <w:gridCol w:w="1314"/>
        <w:gridCol w:w="4929"/>
        <w:gridCol w:w="1116"/>
        <w:gridCol w:w="992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建设内容与规模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已支持中央资金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本次支持中央资金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2024500102Q1-2020007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涪陵区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重庆建峰新材料有限责任公司能通分公司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重庆建峰新材料有限责任公司能通分公司热岛#1炉脱硫系统超低排放改造项目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对现有热岛#1高温高压CFB燃煤锅炉（440t/h）的脱硫系统进行改造，新建脱硫塔一座、新建浆液循环系统一套替换原有脱硫装置；并对烟气系统、智能控制系统进行改造，使锅炉烟气实现SO2排放满足国家《全面实施燃煤电厂超低排放和节能改造工作方案》的通知（环发〔2015〕164号）的限值要求，即SO2小于35mg/N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的超低排放目标。在保持现有生产规模、工艺路线、厂址占地不变的基础上，经过本次超低排放改造，实现二氧化硫年减排量为715.47t，减排比率达到83.76%。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2378.62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2024500102Q1-2020006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涪陵区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重庆紫金花门业有限公司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重庆紫金花门业有限公司喷漆房VOCs废气深度治理项目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企业生产套装门15万套，其中常规套装门14万套、定制套装门1万套，原料主要为白乳胶、固化剂、稀释剂、油性底漆、油性面漆等。目前我司2个喷涂车间的6个喷漆房现有治理设施为3套50000m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/h风量的“干式过滤+UV光解+活性炭吸附”装置，满足《家具制造业大气污染物排放标准》（DB 50/757-2017）标准。现计划喷涂房VOCs废气进行深度治理，将治理设施升级改造为3套50000m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/h风量“水旋混动塔+干式过滤+活性炭吸附+脱附/催化燃烧”装置进行治理。改造后喷涂废气中有机物的排放浓度（以非甲烷总烃计）预期达到15mg/m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以下，低于《家具制造业大气污染物排放标准》（DB 50/757-2017）表2其他区域标准限值的50%，改造前污染物排放量12.98吨/年，改造后污染物排放量4.8吨/年，预计减排8.18吨/年。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636.852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2024500102Q1-2020004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涪陵区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重庆东盟包装有限公司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重庆东盟包装有限公司印刷复合废气深度治理项目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企业生产铝箔塑料包装袋，主要原料为BOPA、BOPP、LOPE、聚氨酯粘合剂、丁酯、乙酸乙酯、正丙酯、油墨等，印刷和复合工艺产生VOCs。现有治理设施为1套20000m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/h风量的UV光解+活性炭吸附装置，非甲烷总体排放浓度为56.3mg/m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，满足《印刷工业大气污染物排放标准》(GB41616-2022)标准。现计划将治理设施改造为1套60000m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/h风量的干式过滤器+活性炭吸附+脱附/催化燃烧装置，改造后非甲烷总烃排放浓度预期达到30mg/m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。通过提高废气收集率和治理率，预计减排9.54吨/年。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289.7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2024500102Q1-2020003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涪陵区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重庆华峰化工有限公司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重庆华峰化工有限公司5号，6号锅炉脱硝系统超低排放改造项目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拟对华峰化工公司5号，6号锅炉脱硝系统进行改造，实施改造后，达到《火电厂大气污染物排放标准》GB 13223-2011）超低排放标准，氮氧化物≤45mg/m3，项目完成后氮氧化物预计减排约96吨/年。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701" w:right="1440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C0"/>
    <w:rsid w:val="002F0A8A"/>
    <w:rsid w:val="00383EED"/>
    <w:rsid w:val="0042437A"/>
    <w:rsid w:val="006330BF"/>
    <w:rsid w:val="00862BC0"/>
    <w:rsid w:val="008E0D19"/>
    <w:rsid w:val="00A73920"/>
    <w:rsid w:val="00AC0B2C"/>
    <w:rsid w:val="00C63E53"/>
    <w:rsid w:val="00D30CAB"/>
    <w:rsid w:val="1DFF192C"/>
    <w:rsid w:val="3DBF60A3"/>
    <w:rsid w:val="5BEF6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link w:val="14"/>
    <w:qFormat/>
    <w:uiPriority w:val="0"/>
    <w:pPr>
      <w:ind w:firstLine="626"/>
    </w:pPr>
    <w:rPr>
      <w:rFonts w:ascii="仿宋_GB2312" w:hAnsi="Times New Roman" w:eastAsia="仿宋_GB2312" w:cs="Times New Roman"/>
      <w:bCs/>
      <w:sz w:val="32"/>
      <w:szCs w:val="24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3"/>
    <w:qFormat/>
    <w:uiPriority w:val="0"/>
    <w:rPr>
      <w:rFonts w:ascii="宋体"/>
      <w:sz w:val="18"/>
      <w:szCs w:val="18"/>
    </w:rPr>
  </w:style>
  <w:style w:type="character" w:customStyle="1" w:styleId="13">
    <w:name w:val="文档结构图 Char1"/>
    <w:basedOn w:val="8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4">
    <w:name w:val="正文文本缩进 Char"/>
    <w:basedOn w:val="8"/>
    <w:link w:val="4"/>
    <w:qFormat/>
    <w:uiPriority w:val="0"/>
    <w:rPr>
      <w:rFonts w:ascii="仿宋_GB2312" w:hAnsi="Times New Roman" w:eastAsia="仿宋_GB2312" w:cs="Times New Roman"/>
      <w:bCs/>
      <w:sz w:val="32"/>
      <w:szCs w:val="24"/>
    </w:rPr>
  </w:style>
  <w:style w:type="paragraph" w:customStyle="1" w:styleId="15">
    <w:name w:val="表格"/>
    <w:basedOn w:val="1"/>
    <w:qFormat/>
    <w:uiPriority w:val="0"/>
    <w:pPr>
      <w:jc w:val="center"/>
    </w:pPr>
    <w:rPr>
      <w:rFonts w:ascii="Times New Roman" w:hAnsi="Times New Roman" w:eastAsia="仿宋_GB2312" w:cs="Times New Roman"/>
      <w:szCs w:val="24"/>
    </w:rPr>
  </w:style>
  <w:style w:type="paragraph" w:customStyle="1" w:styleId="1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eastAsia="en-US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仿宋_GB2312" w:cs="宋体"/>
      <w:sz w:val="32"/>
      <w:szCs w:val="24"/>
      <w:lang w:val="zh-CN" w:bidi="zh-CN"/>
    </w:rPr>
  </w:style>
  <w:style w:type="paragraph" w:customStyle="1" w:styleId="18">
    <w:name w:val="样式 正文缩进正文缩进2正文缩进 Char Char正文缩进 Char Char Char Char正文缩进 Char ..."/>
    <w:basedOn w:val="2"/>
    <w:qFormat/>
    <w:uiPriority w:val="0"/>
    <w:pPr>
      <w:ind w:firstLine="200"/>
    </w:pPr>
    <w:rPr>
      <w:rFonts w:cs="宋体"/>
      <w:sz w:val="24"/>
    </w:rPr>
  </w:style>
  <w:style w:type="table" w:customStyle="1" w:styleId="19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204</Words>
  <Characters>1169</Characters>
  <Lines>9</Lines>
  <Paragraphs>2</Paragraphs>
  <TotalTime>25</TotalTime>
  <ScaleCrop>false</ScaleCrop>
  <LinksUpToDate>false</LinksUpToDate>
  <CharactersWithSpaces>1371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2024-12-06T16:12:00Z</dcterms:created>
  <dc:creator>彭颖</dc:creator>
  <cp:lastModifiedBy>Administrator</cp:lastModifiedBy>
  <cp:lastPrinted>2024-12-19T07:01:12Z</cp:lastPrinted>
  <dcterms:modified xsi:type="dcterms:W3CDTF">2024-12-19T07:01:27Z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3A613EAA17031C8264B852679AA922CC</vt:lpwstr>
  </property>
</Properties>
</file>