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eastAsia="方正黑体_GBK"/>
          <w:szCs w:val="32"/>
        </w:rPr>
      </w:pPr>
      <w:bookmarkStart w:id="0" w:name="_GoBack"/>
      <w:bookmarkEnd w:id="0"/>
      <w:r>
        <w:rPr>
          <w:rFonts w:eastAsia="方正黑体_GBK"/>
          <w:szCs w:val="32"/>
        </w:rPr>
        <w:t>附表</w:t>
      </w:r>
      <w:r>
        <w:rPr>
          <w:rFonts w:hint="eastAsia" w:eastAsia="方正黑体_GBK"/>
          <w:szCs w:val="32"/>
        </w:rPr>
        <w:t>3</w:t>
      </w:r>
      <w:r>
        <w:rPr>
          <w:rFonts w:eastAsia="方正黑体_GBK"/>
          <w:szCs w:val="32"/>
        </w:rPr>
        <w:t>-</w:t>
      </w:r>
      <w:r>
        <w:rPr>
          <w:rFonts w:hint="eastAsia" w:eastAsia="方正黑体_GBK"/>
          <w:szCs w:val="32"/>
        </w:rPr>
        <w:t>1</w:t>
      </w:r>
    </w:p>
    <w:p>
      <w:pPr>
        <w:pStyle w:val="18"/>
        <w:snapToGrid w:val="0"/>
        <w:spacing w:beforeLines="10" w:afterLines="20"/>
        <w:ind w:firstLine="0"/>
        <w:jc w:val="center"/>
        <w:rPr>
          <w:rFonts w:eastAsia="方正小标宋_GBK" w:cs="方正小标宋_GBK"/>
          <w:sz w:val="40"/>
          <w:szCs w:val="40"/>
        </w:rPr>
      </w:pPr>
      <w:r>
        <w:rPr>
          <w:rFonts w:hint="eastAsia" w:eastAsia="方正小标宋_GBK" w:cs="方正小标宋_GBK"/>
          <w:sz w:val="40"/>
          <w:szCs w:val="40"/>
        </w:rPr>
        <w:t>中央大气污染防治资金项目绩效目标表（项目1）</w:t>
      </w:r>
    </w:p>
    <w:tbl>
      <w:tblPr>
        <w:tblStyle w:val="7"/>
        <w:tblW w:w="91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08"/>
        <w:gridCol w:w="1142"/>
        <w:gridCol w:w="424"/>
        <w:gridCol w:w="652"/>
        <w:gridCol w:w="856"/>
        <w:gridCol w:w="689"/>
        <w:gridCol w:w="37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6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重庆建峰新材料有限责任公司能通分公司热岛#1炉脱硫系统超低排放改造项目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所属专项</w:t>
            </w:r>
          </w:p>
        </w:tc>
        <w:tc>
          <w:tcPr>
            <w:tcW w:w="746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大气污染防治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中央主管部门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生态环境部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省级财政部门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重庆市财政局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省级主管部门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重庆市生态环境局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具体实施单位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重庆建峰新材料有限责任公司能通分公司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资金情况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项目总投资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2378.62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其中：中央财政资金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630.475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地方财政资金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 xml:space="preserve">   其他资金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1748.145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847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对现有热岛#1高温高压CFB燃煤锅炉（440t/h）的脱硫系统进行改造，新建脱硫塔一座、新建浆液循环系统一套替换原有脱硫装置；并对烟气系统、智能控制系统进行改造，使锅炉烟气实现SO</w:t>
            </w:r>
            <w:r>
              <w:rPr>
                <w:rFonts w:hint="eastAsia" w:eastAsia="宋体" w:cs="宋体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eastAsia="宋体" w:cs="宋体"/>
                <w:sz w:val="21"/>
                <w:szCs w:val="21"/>
              </w:rPr>
              <w:t>排放满足国家《全面实施燃煤电厂超低排放和节能改造工作方案》的通知（环发〔2015〕164号）的限值要求，即SO</w:t>
            </w:r>
            <w:r>
              <w:rPr>
                <w:rFonts w:hint="eastAsia" w:eastAsia="宋体" w:cs="宋体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eastAsia="宋体" w:cs="宋体"/>
                <w:sz w:val="21"/>
                <w:szCs w:val="21"/>
              </w:rPr>
              <w:t>小于35mg/Nm</w:t>
            </w:r>
            <w:r>
              <w:rPr>
                <w:rFonts w:hint="eastAsia" w:eastAsia="宋体" w:cs="宋体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eastAsia="宋体" w:cs="宋体"/>
                <w:sz w:val="21"/>
                <w:szCs w:val="21"/>
              </w:rPr>
              <w:t>的超低排放目标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。在保持现有生产规模、工艺路线、厂址占地不变的基础上，经过本次超低排放改造，实现二氧化硫年减排量为715.47t，减排比率达到83.76%。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一级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指标1：废气治理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设施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#1锅炉脱硫吸收塔采用单塔单循环强化传质改造技术，在原1A、1B塔后新建1座碳钢衬玻璃鳞片吸收塔，直径为φ9 m，浆池直径为φ14 m，设置6层喷淋层，喷淋层材质采用FRP，喷嘴采用SiC空心锥喷嘴。新建吸收塔在新塔靠近引风机侧新增4台浆液循环泵。在吸收塔入口和最底层喷淋层之间设置湍流器，更换</w:t>
            </w:r>
            <w:r>
              <w:rPr>
                <w:rFonts w:hint="eastAsia" w:eastAsia="宋体" w:cs="宋体"/>
                <w:color w:val="000000"/>
                <w:sz w:val="22"/>
                <w:szCs w:val="22"/>
              </w:rPr>
              <w:t>管束式除雾器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。并对烟气系统、智能控制系统进行改造。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指标1：烟气SO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、烟尘浓度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预计深度治理后</w:t>
            </w:r>
            <w:r>
              <w:rPr>
                <w:rFonts w:hint="eastAsia" w:eastAsia="宋体" w:cs="宋体"/>
                <w:sz w:val="21"/>
                <w:szCs w:val="21"/>
              </w:rPr>
              <w:t>使#1锅炉烟气实现SO</w:t>
            </w:r>
            <w:r>
              <w:rPr>
                <w:rFonts w:hint="eastAsia" w:eastAsia="宋体" w:cs="宋体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eastAsia="宋体" w:cs="宋体"/>
                <w:sz w:val="21"/>
                <w:szCs w:val="21"/>
              </w:rPr>
              <w:t>小于35mg/Nm</w:t>
            </w:r>
            <w:r>
              <w:rPr>
                <w:rFonts w:hint="eastAsia" w:eastAsia="宋体" w:cs="宋体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eastAsia="宋体" w:cs="宋体"/>
                <w:sz w:val="21"/>
                <w:szCs w:val="21"/>
              </w:rPr>
              <w:t>的超低排放目标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指标2：脱硫、除尘效率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脱硫效率99.72%以上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指标1：开工时间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2024年12月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指标2：完工时间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2025年10月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指标1：总投资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2378.62万元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生态效益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指标1：SO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烟尘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减排量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SO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减排量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715.47t/a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可持续影响指标*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工程设施稳定运行率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服务对象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指标1：服务对象满意度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98.5%以上</w:t>
            </w:r>
          </w:p>
        </w:tc>
      </w:tr>
    </w:tbl>
    <w:p>
      <w:pPr>
        <w:adjustRightInd w:val="0"/>
        <w:snapToGrid w:val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附表</w:t>
      </w:r>
      <w:r>
        <w:rPr>
          <w:rFonts w:hint="eastAsia" w:eastAsia="方正黑体_GBK"/>
          <w:szCs w:val="32"/>
        </w:rPr>
        <w:t>3</w:t>
      </w:r>
      <w:r>
        <w:rPr>
          <w:rFonts w:eastAsia="方正黑体_GBK"/>
          <w:szCs w:val="32"/>
        </w:rPr>
        <w:t>-</w:t>
      </w:r>
      <w:r>
        <w:rPr>
          <w:rFonts w:hint="eastAsia" w:eastAsia="方正黑体_GBK"/>
          <w:szCs w:val="32"/>
        </w:rPr>
        <w:t>2</w:t>
      </w:r>
    </w:p>
    <w:p>
      <w:pPr>
        <w:pStyle w:val="18"/>
        <w:snapToGrid w:val="0"/>
        <w:spacing w:beforeLines="20" w:afterLines="20"/>
        <w:ind w:firstLine="0"/>
        <w:jc w:val="center"/>
        <w:rPr>
          <w:rFonts w:eastAsia="方正小标宋_GBK" w:cs="方正小标宋_GBK"/>
          <w:sz w:val="40"/>
          <w:szCs w:val="40"/>
        </w:rPr>
      </w:pPr>
      <w:r>
        <w:rPr>
          <w:rFonts w:hint="eastAsia" w:eastAsia="方正小标宋_GBK" w:cs="方正小标宋_GBK"/>
          <w:sz w:val="40"/>
          <w:szCs w:val="40"/>
        </w:rPr>
        <w:t>中央大气污染防治资金项目绩效目标表（项目2）</w:t>
      </w:r>
    </w:p>
    <w:tbl>
      <w:tblPr>
        <w:tblStyle w:val="7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12"/>
        <w:gridCol w:w="297"/>
        <w:gridCol w:w="2367"/>
        <w:gridCol w:w="2509"/>
        <w:gridCol w:w="163"/>
        <w:gridCol w:w="22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项目名称</w:t>
            </w:r>
          </w:p>
        </w:tc>
        <w:tc>
          <w:tcPr>
            <w:tcW w:w="7337" w:type="dxa"/>
            <w:gridSpan w:val="4"/>
            <w:vAlign w:val="center"/>
          </w:tcPr>
          <w:p>
            <w:pPr>
              <w:snapToGrid w:val="0"/>
              <w:spacing w:before="156" w:after="156"/>
              <w:ind w:firstLine="480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重庆紫金花门业有限公司喷漆房VOCs废气深度治理项目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所属专项</w:t>
            </w:r>
          </w:p>
        </w:tc>
        <w:tc>
          <w:tcPr>
            <w:tcW w:w="7337" w:type="dxa"/>
            <w:gridSpan w:val="4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大气污染防治专项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中央主管部门</w:t>
            </w:r>
          </w:p>
        </w:tc>
        <w:tc>
          <w:tcPr>
            <w:tcW w:w="2367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财政部、生态环境部</w:t>
            </w:r>
          </w:p>
        </w:tc>
        <w:tc>
          <w:tcPr>
            <w:tcW w:w="2509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省级财政部门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重庆市财政局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省级主管部门</w:t>
            </w:r>
          </w:p>
        </w:tc>
        <w:tc>
          <w:tcPr>
            <w:tcW w:w="2367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重庆市生态环境局</w:t>
            </w:r>
          </w:p>
        </w:tc>
        <w:tc>
          <w:tcPr>
            <w:tcW w:w="2509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具体实施单位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pStyle w:val="15"/>
              <w:snapToGrid w:val="0"/>
              <w:jc w:val="both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重庆紫金花门业有限公司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7" w:type="dxa"/>
            <w:gridSpan w:val="3"/>
            <w:vMerge w:val="restart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资金情况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（万元）</w:t>
            </w:r>
          </w:p>
        </w:tc>
        <w:tc>
          <w:tcPr>
            <w:tcW w:w="2367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项目总投资</w:t>
            </w:r>
          </w:p>
        </w:tc>
        <w:tc>
          <w:tcPr>
            <w:tcW w:w="4970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636.852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7" w:type="dxa"/>
            <w:gridSpan w:val="3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其中：中央财政资金</w:t>
            </w:r>
          </w:p>
        </w:tc>
        <w:tc>
          <w:tcPr>
            <w:tcW w:w="4970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299.151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7" w:type="dxa"/>
            <w:gridSpan w:val="3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地方财政资金</w:t>
            </w:r>
          </w:p>
        </w:tc>
        <w:tc>
          <w:tcPr>
            <w:tcW w:w="4970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7" w:type="dxa"/>
            <w:gridSpan w:val="3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 xml:space="preserve">    其他资金</w:t>
            </w:r>
          </w:p>
        </w:tc>
        <w:tc>
          <w:tcPr>
            <w:tcW w:w="4970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337.701（企业投资）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总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体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目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标</w:t>
            </w:r>
          </w:p>
        </w:tc>
        <w:tc>
          <w:tcPr>
            <w:tcW w:w="8346" w:type="dxa"/>
            <w:gridSpan w:val="6"/>
            <w:vAlign w:val="center"/>
          </w:tcPr>
          <w:p>
            <w:pPr>
              <w:pStyle w:val="15"/>
              <w:snapToGrid w:val="0"/>
              <w:jc w:val="both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企业生产套装门15万套，其中常规套装门14万套、定制套装门1万套，原料主要为白乳胶、固化剂、稀释剂、油性底漆、油性面漆等。目前我司2个喷涂车间的6个喷漆房现有治理设施为3套50000m</w:t>
            </w:r>
            <w:r>
              <w:rPr>
                <w:rFonts w:hint="eastAsia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eastAsia="宋体" w:cs="宋体"/>
                <w:szCs w:val="21"/>
              </w:rPr>
              <w:t>/h风量的“干式过滤+UV光解+活性炭吸附”装置，满足《家具制造业大气污染物排放标准》（DB 50/757-2017）标准。现计划喷涂房VOCs废气进行深度治理，将治理设施升级改造为3套50000m</w:t>
            </w:r>
            <w:r>
              <w:rPr>
                <w:rFonts w:hint="eastAsia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eastAsia="宋体" w:cs="宋体"/>
                <w:szCs w:val="21"/>
              </w:rPr>
              <w:t>/h风量“水旋混动塔+干式过滤+活性炭吸附+脱附/催化燃烧”装置进行治理。改造后喷涂废气中有机物的排放浓度（以非甲烷总烃计）预期达到15mg/m</w:t>
            </w:r>
            <w:r>
              <w:rPr>
                <w:rFonts w:hint="eastAsia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eastAsia="宋体" w:cs="宋体"/>
                <w:szCs w:val="21"/>
              </w:rPr>
              <w:t>以下，低于《家具制造业大气污染物排放标准》（DB 50/757-2017）表2其他区域标准限值的50%，改造前污染物排放量12.98吨/年，改造后污染物排放量4.8吨/年，预计减排8.18吨/年。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绩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效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标</w:t>
            </w:r>
          </w:p>
        </w:tc>
        <w:tc>
          <w:tcPr>
            <w:tcW w:w="712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一级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指标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二级指标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三级指标</w:t>
            </w:r>
          </w:p>
        </w:tc>
        <w:tc>
          <w:tcPr>
            <w:tcW w:w="2298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产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出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标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数量指标*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指标1：干式过滤+活性炭吸附+脱附/催化燃烧装置</w:t>
            </w:r>
          </w:p>
        </w:tc>
        <w:tc>
          <w:tcPr>
            <w:tcW w:w="2298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3套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质量指标*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指标1：非甲烷总烃排放浓度</w:t>
            </w:r>
          </w:p>
        </w:tc>
        <w:tc>
          <w:tcPr>
            <w:tcW w:w="2298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＜15mg/m</w:t>
            </w:r>
            <w:r>
              <w:rPr>
                <w:rFonts w:hint="eastAsia" w:eastAsia="宋体" w:cs="宋体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2664" w:type="dxa"/>
            <w:gridSpan w:val="2"/>
            <w:vMerge w:val="restart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时效指标*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指标1：开工时间</w:t>
            </w:r>
          </w:p>
        </w:tc>
        <w:tc>
          <w:tcPr>
            <w:tcW w:w="2298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2024年9月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2664" w:type="dxa"/>
            <w:gridSpan w:val="2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267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指标2：完工时间</w:t>
            </w:r>
          </w:p>
        </w:tc>
        <w:tc>
          <w:tcPr>
            <w:tcW w:w="2298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2026年6月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成本指标*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指标1：项目投资（万元）</w:t>
            </w:r>
          </w:p>
        </w:tc>
        <w:tc>
          <w:tcPr>
            <w:tcW w:w="2298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636.852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生态效益指标*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指标2：治理后，污染物预估减排量</w:t>
            </w:r>
          </w:p>
        </w:tc>
        <w:tc>
          <w:tcPr>
            <w:tcW w:w="2298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非甲烷总烃8.18吨/年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可持续影响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指标*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指标1：工程设施稳定运行期限</w:t>
            </w:r>
          </w:p>
        </w:tc>
        <w:tc>
          <w:tcPr>
            <w:tcW w:w="2298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≥10年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满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意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度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标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服务对象</w:t>
            </w:r>
          </w:p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满意度指标*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指标1：企业满意度</w:t>
            </w:r>
          </w:p>
        </w:tc>
        <w:tc>
          <w:tcPr>
            <w:tcW w:w="2298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92%</w:t>
            </w:r>
          </w:p>
        </w:tc>
      </w:tr>
    </w:tbl>
    <w:p>
      <w:pPr>
        <w:adjustRightInd w:val="0"/>
        <w:snapToGrid w:val="0"/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  <w:r>
        <w:rPr>
          <w:rFonts w:eastAsia="方正黑体_GBK"/>
          <w:szCs w:val="32"/>
        </w:rPr>
        <w:t>附表</w:t>
      </w:r>
      <w:r>
        <w:rPr>
          <w:rFonts w:hint="eastAsia" w:eastAsia="方正黑体_GBK"/>
          <w:szCs w:val="32"/>
        </w:rPr>
        <w:t>3</w:t>
      </w:r>
      <w:r>
        <w:rPr>
          <w:rFonts w:eastAsia="方正黑体_GBK"/>
          <w:szCs w:val="32"/>
        </w:rPr>
        <w:t>-</w:t>
      </w:r>
      <w:r>
        <w:rPr>
          <w:rFonts w:hint="eastAsia" w:eastAsia="方正黑体_GBK"/>
          <w:szCs w:val="32"/>
        </w:rPr>
        <w:t>3</w:t>
      </w:r>
    </w:p>
    <w:p>
      <w:pPr>
        <w:pStyle w:val="18"/>
        <w:snapToGrid w:val="0"/>
        <w:spacing w:beforeLines="20" w:afterLines="20"/>
        <w:ind w:firstLine="0"/>
        <w:jc w:val="center"/>
        <w:rPr>
          <w:rFonts w:eastAsia="方正小标宋_GBK" w:cs="方正小标宋_GBK"/>
          <w:sz w:val="40"/>
          <w:szCs w:val="40"/>
        </w:rPr>
      </w:pPr>
      <w:r>
        <w:rPr>
          <w:rFonts w:hint="eastAsia" w:eastAsia="方正小标宋_GBK" w:cs="方正小标宋_GBK"/>
          <w:sz w:val="40"/>
          <w:szCs w:val="40"/>
        </w:rPr>
        <w:t>中央大气污染防治资金项目绩效目标表（项目3）</w:t>
      </w:r>
    </w:p>
    <w:tbl>
      <w:tblPr>
        <w:tblStyle w:val="7"/>
        <w:tblW w:w="90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2"/>
        <w:gridCol w:w="297"/>
        <w:gridCol w:w="2915"/>
        <w:gridCol w:w="1962"/>
        <w:gridCol w:w="163"/>
        <w:gridCol w:w="22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1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项目名称</w:t>
            </w:r>
          </w:p>
        </w:tc>
        <w:tc>
          <w:tcPr>
            <w:tcW w:w="7335" w:type="dxa"/>
            <w:gridSpan w:val="4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重庆东盟包装有限公司印刷复合废气深度治理项目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1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所属专项</w:t>
            </w:r>
          </w:p>
        </w:tc>
        <w:tc>
          <w:tcPr>
            <w:tcW w:w="7335" w:type="dxa"/>
            <w:gridSpan w:val="4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大气污染防治专项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1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中央主管部门</w:t>
            </w:r>
          </w:p>
        </w:tc>
        <w:tc>
          <w:tcPr>
            <w:tcW w:w="291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财政部、生态环境部</w:t>
            </w:r>
          </w:p>
        </w:tc>
        <w:tc>
          <w:tcPr>
            <w:tcW w:w="1962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省级财政部门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重庆市财政局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1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省级主管部门</w:t>
            </w:r>
          </w:p>
        </w:tc>
        <w:tc>
          <w:tcPr>
            <w:tcW w:w="291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重庆市生态环境局</w:t>
            </w:r>
          </w:p>
        </w:tc>
        <w:tc>
          <w:tcPr>
            <w:tcW w:w="1962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具体实施单位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重庆东盟包装有限公司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1" w:type="dxa"/>
            <w:gridSpan w:val="3"/>
            <w:vMerge w:val="restart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资金情况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（万元）</w:t>
            </w:r>
          </w:p>
        </w:tc>
        <w:tc>
          <w:tcPr>
            <w:tcW w:w="291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项目总投资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289.7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1" w:type="dxa"/>
            <w:gridSpan w:val="3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291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其中：中央财政资金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127.65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1" w:type="dxa"/>
            <w:gridSpan w:val="3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291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地方财政资金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1" w:type="dxa"/>
            <w:gridSpan w:val="3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291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 xml:space="preserve">    其他资金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162.05（企业投资）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总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体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目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标</w:t>
            </w:r>
          </w:p>
        </w:tc>
        <w:tc>
          <w:tcPr>
            <w:tcW w:w="8344" w:type="dxa"/>
            <w:gridSpan w:val="6"/>
            <w:vAlign w:val="center"/>
          </w:tcPr>
          <w:p>
            <w:pPr>
              <w:pStyle w:val="15"/>
              <w:snapToGrid w:val="0"/>
              <w:jc w:val="both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企业生产铝箔塑料包装袋，主要原料为BOPA、BOPP、LOPE、聚氨酯粘合剂、丁酯、乙酸乙酯、正丙酯、油墨等，印刷和复合工艺产生VOCs。现有治理设施为1套20000m</w:t>
            </w:r>
            <w:r>
              <w:rPr>
                <w:rFonts w:hint="eastAsia" w:eastAsia="宋体" w:cs="宋体"/>
                <w:vertAlign w:val="superscript"/>
              </w:rPr>
              <w:t>3</w:t>
            </w:r>
            <w:r>
              <w:rPr>
                <w:rFonts w:hint="eastAsia" w:eastAsia="宋体" w:cs="宋体"/>
              </w:rPr>
              <w:t>/h风量的UV光解+活性炭吸附装置，非甲烷总体排放浓度为</w:t>
            </w:r>
            <w:r>
              <w:rPr>
                <w:rFonts w:hint="eastAsia" w:eastAsia="宋体" w:cs="宋体"/>
                <w:szCs w:val="32"/>
              </w:rPr>
              <w:t>56.3</w:t>
            </w:r>
            <w:r>
              <w:rPr>
                <w:rFonts w:hint="eastAsia" w:eastAsia="宋体" w:cs="宋体"/>
              </w:rPr>
              <w:t>mg/m</w:t>
            </w:r>
            <w:r>
              <w:rPr>
                <w:rFonts w:hint="eastAsia" w:eastAsia="宋体" w:cs="宋体"/>
                <w:vertAlign w:val="superscript"/>
              </w:rPr>
              <w:t>3</w:t>
            </w:r>
            <w:r>
              <w:rPr>
                <w:rFonts w:hint="eastAsia" w:eastAsia="宋体" w:cs="宋体"/>
              </w:rPr>
              <w:t>，满足《印刷工业大气污染物排放标准》(GB41616-2022)标准。现计划将治理设施改造为1套60000m</w:t>
            </w:r>
            <w:r>
              <w:rPr>
                <w:rFonts w:hint="eastAsia" w:eastAsia="宋体" w:cs="宋体"/>
                <w:vertAlign w:val="superscript"/>
              </w:rPr>
              <w:t>3</w:t>
            </w:r>
            <w:r>
              <w:rPr>
                <w:rFonts w:hint="eastAsia" w:eastAsia="宋体" w:cs="宋体"/>
              </w:rPr>
              <w:t>/h风量的干式过滤器+活性炭吸附+脱附/催化燃烧装置，改造后非甲烷总烃排放浓度预期达到30mg/m</w:t>
            </w:r>
            <w:r>
              <w:rPr>
                <w:rFonts w:hint="eastAsia" w:eastAsia="宋体" w:cs="宋体"/>
                <w:vertAlign w:val="superscript"/>
              </w:rPr>
              <w:t>3</w:t>
            </w:r>
            <w:r>
              <w:rPr>
                <w:rFonts w:hint="eastAsia" w:eastAsia="宋体" w:cs="宋体"/>
              </w:rPr>
              <w:t>。通过提高废气收集率和治理率，预计减排9.54吨/年。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绩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效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标</w:t>
            </w:r>
          </w:p>
        </w:tc>
        <w:tc>
          <w:tcPr>
            <w:tcW w:w="712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一级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指标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二级指标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三级指标</w:t>
            </w:r>
          </w:p>
        </w:tc>
        <w:tc>
          <w:tcPr>
            <w:tcW w:w="229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产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出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标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数量指标*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指标1：干式过滤+活性炭吸附+脱附/催化燃烧装置</w:t>
            </w:r>
          </w:p>
        </w:tc>
        <w:tc>
          <w:tcPr>
            <w:tcW w:w="229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质量指标*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指标1：非甲烷总烃排放浓度</w:t>
            </w:r>
          </w:p>
        </w:tc>
        <w:tc>
          <w:tcPr>
            <w:tcW w:w="229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＜30mg/m</w:t>
            </w:r>
            <w:r>
              <w:rPr>
                <w:rFonts w:hint="eastAsia" w:eastAsia="宋体" w:cs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3212" w:type="dxa"/>
            <w:gridSpan w:val="2"/>
            <w:vMerge w:val="restart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时效指标*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指标1：开工时间</w:t>
            </w:r>
          </w:p>
        </w:tc>
        <w:tc>
          <w:tcPr>
            <w:tcW w:w="229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2024年9月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3212" w:type="dxa"/>
            <w:gridSpan w:val="2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指标2：完工时间</w:t>
            </w:r>
          </w:p>
        </w:tc>
        <w:tc>
          <w:tcPr>
            <w:tcW w:w="229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2026年8月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成本指标*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指标1：项目投资（万元）</w:t>
            </w:r>
          </w:p>
        </w:tc>
        <w:tc>
          <w:tcPr>
            <w:tcW w:w="229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289.7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  <w:kern w:val="0"/>
                <w:szCs w:val="21"/>
              </w:rPr>
              <w:t>效</w:t>
            </w:r>
            <w:r>
              <w:rPr>
                <w:rFonts w:hint="eastAsia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Cs w:val="21"/>
              </w:rPr>
              <w:t>益</w:t>
            </w:r>
            <w:r>
              <w:rPr>
                <w:rFonts w:hint="eastAsia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Cs w:val="21"/>
              </w:rPr>
              <w:t>指</w:t>
            </w:r>
            <w:r>
              <w:rPr>
                <w:rFonts w:hint="eastAsia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Cs w:val="21"/>
              </w:rPr>
              <w:t>标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生态效益指标*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指标2：治理后，污染物预估减排量</w:t>
            </w:r>
          </w:p>
        </w:tc>
        <w:tc>
          <w:tcPr>
            <w:tcW w:w="229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非甲烷总烃9.54吨/年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可持续影响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指标*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指标1：工程设施稳定运行期限</w:t>
            </w:r>
          </w:p>
        </w:tc>
        <w:tc>
          <w:tcPr>
            <w:tcW w:w="229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≥10年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满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意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度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标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服务对象</w:t>
            </w:r>
          </w:p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满意度指标*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指标1：企业满意度</w:t>
            </w:r>
          </w:p>
        </w:tc>
        <w:tc>
          <w:tcPr>
            <w:tcW w:w="2295" w:type="dxa"/>
            <w:vAlign w:val="center"/>
          </w:tcPr>
          <w:p>
            <w:pPr>
              <w:pStyle w:val="15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92%</w:t>
            </w:r>
          </w:p>
        </w:tc>
      </w:tr>
    </w:tbl>
    <w:p>
      <w:pPr>
        <w:adjustRightInd w:val="0"/>
        <w:snapToGrid w:val="0"/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  <w:r>
        <w:rPr>
          <w:rFonts w:eastAsia="方正黑体_GBK"/>
          <w:szCs w:val="32"/>
        </w:rPr>
        <w:t>附表</w:t>
      </w:r>
      <w:r>
        <w:rPr>
          <w:rFonts w:hint="eastAsia" w:eastAsia="方正黑体_GBK"/>
          <w:szCs w:val="32"/>
        </w:rPr>
        <w:t>3</w:t>
      </w:r>
      <w:r>
        <w:rPr>
          <w:rFonts w:eastAsia="方正黑体_GBK"/>
          <w:szCs w:val="32"/>
        </w:rPr>
        <w:t>-</w:t>
      </w:r>
      <w:r>
        <w:rPr>
          <w:rFonts w:hint="eastAsia" w:eastAsia="方正黑体_GBK"/>
          <w:szCs w:val="32"/>
        </w:rPr>
        <w:t>4</w:t>
      </w:r>
    </w:p>
    <w:p>
      <w:pPr>
        <w:pStyle w:val="18"/>
        <w:snapToGrid w:val="0"/>
        <w:spacing w:beforeLines="20" w:afterLines="20"/>
        <w:ind w:firstLine="0"/>
        <w:jc w:val="center"/>
        <w:rPr>
          <w:rFonts w:eastAsia="方正小标宋_GBK" w:cs="方正小标宋_GBK"/>
          <w:sz w:val="40"/>
          <w:szCs w:val="40"/>
        </w:rPr>
      </w:pPr>
      <w:r>
        <w:rPr>
          <w:rFonts w:hint="eastAsia" w:eastAsia="方正小标宋_GBK" w:cs="方正小标宋_GBK"/>
          <w:sz w:val="40"/>
          <w:szCs w:val="40"/>
        </w:rPr>
        <w:t>中央大气污染防治资金项目绩效目标表（项目4）</w:t>
      </w:r>
    </w:p>
    <w:tbl>
      <w:tblPr>
        <w:tblStyle w:val="7"/>
        <w:tblW w:w="90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09"/>
        <w:gridCol w:w="197"/>
        <w:gridCol w:w="2435"/>
        <w:gridCol w:w="125"/>
        <w:gridCol w:w="1658"/>
        <w:gridCol w:w="900"/>
        <w:gridCol w:w="2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33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重庆华峰化工有限公司5号，6号锅炉脱硝系统超低排放改造项目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所属专项</w:t>
            </w:r>
          </w:p>
        </w:tc>
        <w:tc>
          <w:tcPr>
            <w:tcW w:w="733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中央大气污染防治专项资金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中央主管部门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生态环境部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省级财政部门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省级主管部门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市生态环境局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具体实施单位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重庆华峰化工有限公司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资金情况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项目总投资</w:t>
            </w:r>
          </w:p>
        </w:tc>
        <w:tc>
          <w:tcPr>
            <w:tcW w:w="470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650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其中：中央财政资金</w:t>
            </w:r>
          </w:p>
        </w:tc>
        <w:tc>
          <w:tcPr>
            <w:tcW w:w="470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267.5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地方财政资金</w:t>
            </w:r>
          </w:p>
        </w:tc>
        <w:tc>
          <w:tcPr>
            <w:tcW w:w="470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470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382.5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834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拟对华峰化工公司5号，6号锅炉脱硝系统进行改造，实施改造后，达到《</w:t>
            </w:r>
            <w:r>
              <w:rPr>
                <w:rFonts w:hint="eastAsia" w:eastAsia="宋体" w:cs="宋体"/>
                <w:sz w:val="21"/>
                <w:szCs w:val="21"/>
              </w:rPr>
              <w:t>火电厂大气污染物排放标准》GB 13223-2011）超低排放标准，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氮氧化物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45mg/m³，项目完成后氮氧化物预计减排约96吨/年。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一级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产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出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新增SCR系统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一套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燃煤锅炉氮氧化物排放浓度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＜45mg/m³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开工日期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2024年8月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完工日期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2025年12月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减排氮氧化物（吨）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满意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群众满意度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90%</w:t>
            </w:r>
          </w:p>
        </w:tc>
      </w:tr>
    </w:tbl>
    <w:p>
      <w:pPr>
        <w:adjustRightInd w:val="0"/>
        <w:snapToGrid w:val="0"/>
        <w:rPr>
          <w:rFonts w:eastAsia="方正仿宋_GBK"/>
          <w:sz w:val="22"/>
          <w:szCs w:val="22"/>
        </w:rPr>
      </w:pPr>
    </w:p>
    <w:sectPr>
      <w:pgSz w:w="11907" w:h="16840"/>
      <w:pgMar w:top="1814" w:right="1474" w:bottom="1814" w:left="1588" w:header="851" w:footer="1474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B2"/>
    <w:rsid w:val="0013063B"/>
    <w:rsid w:val="001808B2"/>
    <w:rsid w:val="001A7B0D"/>
    <w:rsid w:val="00372C7E"/>
    <w:rsid w:val="00383EED"/>
    <w:rsid w:val="00672C22"/>
    <w:rsid w:val="006A7CEC"/>
    <w:rsid w:val="006B2902"/>
    <w:rsid w:val="1C282F67"/>
    <w:rsid w:val="59A1072D"/>
    <w:rsid w:val="879D6CB4"/>
    <w:rsid w:val="AEFBA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ind w:firstLine="420"/>
      <w:textAlignment w:val="baseline"/>
    </w:pPr>
    <w:rPr>
      <w:szCs w:val="20"/>
    </w:rPr>
  </w:style>
  <w:style w:type="paragraph" w:styleId="3">
    <w:name w:val="Document Map"/>
    <w:basedOn w:val="1"/>
    <w:link w:val="12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Body Text Indent"/>
    <w:basedOn w:val="1"/>
    <w:link w:val="14"/>
    <w:qFormat/>
    <w:uiPriority w:val="0"/>
    <w:pPr>
      <w:ind w:firstLine="626"/>
    </w:pPr>
    <w:rPr>
      <w:rFonts w:ascii="仿宋_GB2312"/>
      <w:bCs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文档结构图 Char"/>
    <w:basedOn w:val="8"/>
    <w:link w:val="3"/>
    <w:qFormat/>
    <w:uiPriority w:val="0"/>
    <w:rPr>
      <w:rFonts w:ascii="宋体"/>
      <w:sz w:val="18"/>
      <w:szCs w:val="18"/>
    </w:rPr>
  </w:style>
  <w:style w:type="character" w:customStyle="1" w:styleId="13">
    <w:name w:val="文档结构图 Char1"/>
    <w:basedOn w:val="8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14">
    <w:name w:val="正文文本缩进 Char"/>
    <w:basedOn w:val="8"/>
    <w:link w:val="4"/>
    <w:qFormat/>
    <w:uiPriority w:val="0"/>
    <w:rPr>
      <w:rFonts w:ascii="仿宋_GB2312" w:hAnsi="Times New Roman" w:eastAsia="仿宋_GB2312" w:cs="Times New Roman"/>
      <w:bCs/>
      <w:sz w:val="32"/>
      <w:szCs w:val="24"/>
    </w:rPr>
  </w:style>
  <w:style w:type="paragraph" w:customStyle="1" w:styleId="15">
    <w:name w:val="表格"/>
    <w:basedOn w:val="1"/>
    <w:qFormat/>
    <w:uiPriority w:val="0"/>
    <w:pPr>
      <w:jc w:val="center"/>
    </w:pPr>
    <w:rPr>
      <w:sz w:val="21"/>
    </w:rPr>
  </w:style>
  <w:style w:type="paragraph" w:customStyle="1" w:styleId="1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0"/>
      <w:szCs w:val="20"/>
      <w:lang w:eastAsia="en-US"/>
    </w:rPr>
  </w:style>
  <w:style w:type="paragraph" w:customStyle="1" w:styleId="1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18">
    <w:name w:val="样式 正文缩进正文缩进2正文缩进 Char Char正文缩进 Char Char Char Char正文缩进 Char ..."/>
    <w:basedOn w:val="2"/>
    <w:qFormat/>
    <w:uiPriority w:val="0"/>
    <w:pPr>
      <w:ind w:firstLine="200"/>
    </w:pPr>
    <w:rPr>
      <w:rFonts w:cs="宋体"/>
      <w:sz w:val="24"/>
    </w:rPr>
  </w:style>
  <w:style w:type="table" w:customStyle="1" w:styleId="19">
    <w:name w:val="Table Normal"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470</Words>
  <Characters>2681</Characters>
  <Lines>22</Lines>
  <Paragraphs>6</Paragraphs>
  <TotalTime>38</TotalTime>
  <ScaleCrop>false</ScaleCrop>
  <LinksUpToDate>false</LinksUpToDate>
  <CharactersWithSpaces>3145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2024-12-06T16:25:00Z</dcterms:created>
  <dc:creator>彭颖</dc:creator>
  <cp:lastModifiedBy>Administrator</cp:lastModifiedBy>
  <cp:lastPrinted>2024-12-19T07:01:52Z</cp:lastPrinted>
  <dcterms:modified xsi:type="dcterms:W3CDTF">2024-12-19T07:02:04Z</dcterms:modified>
  <dc:title>附表4-1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1484B92D728EF9BCE9C15267DA2EC4AD</vt:lpwstr>
  </property>
</Properties>
</file>