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Cs/>
          <w:sz w:val="36"/>
          <w:szCs w:val="36"/>
        </w:rPr>
      </w:pPr>
      <w:bookmarkStart w:id="0" w:name="_GoBack"/>
      <w:bookmarkEnd w:id="0"/>
      <w:r>
        <w:rPr>
          <w:rFonts w:hint="eastAsia" w:eastAsia="方正黑体_GBK"/>
          <w:bCs/>
          <w:szCs w:val="32"/>
        </w:rPr>
        <w:t>附件2—1</w:t>
      </w:r>
    </w:p>
    <w:p>
      <w:pPr>
        <w:adjustRightInd w:val="0"/>
        <w:spacing w:afterLines="30" w:line="540" w:lineRule="exact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中央土壤污染防治资金项目绩效目标表（项目</w:t>
      </w:r>
      <w:r>
        <w:rPr>
          <w:rFonts w:hint="eastAsia" w:eastAsia="方正小标宋_GBK"/>
          <w:bCs/>
          <w:sz w:val="36"/>
          <w:szCs w:val="36"/>
        </w:rPr>
        <w:t>1</w:t>
      </w:r>
      <w:r>
        <w:rPr>
          <w:rFonts w:eastAsia="方正小标宋_GBK"/>
          <w:bCs/>
          <w:sz w:val="36"/>
          <w:szCs w:val="36"/>
        </w:rPr>
        <w:t>）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851"/>
        <w:gridCol w:w="1458"/>
        <w:gridCol w:w="2556"/>
        <w:gridCol w:w="32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重庆市涪陵区耕地土壤重金属污染成因排查项目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所属专项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土壤污染防治资金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中央主管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部门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生态环境部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省级财政部门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重庆市财政局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省级主管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部门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重庆市生态环境局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具体实施单位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涪陵区生态环境监测站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资金情况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项目总投资</w:t>
            </w:r>
          </w:p>
        </w:tc>
        <w:tc>
          <w:tcPr>
            <w:tcW w:w="580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403.1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其中：中央财政资金</w:t>
            </w:r>
          </w:p>
        </w:tc>
        <w:tc>
          <w:tcPr>
            <w:tcW w:w="580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362.79（其中2025年提前批57）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地方财政资金</w:t>
            </w:r>
          </w:p>
        </w:tc>
        <w:tc>
          <w:tcPr>
            <w:tcW w:w="580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40.31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企业自筹</w:t>
            </w:r>
          </w:p>
        </w:tc>
        <w:tc>
          <w:tcPr>
            <w:tcW w:w="580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总体目标</w:t>
            </w:r>
          </w:p>
        </w:tc>
        <w:tc>
          <w:tcPr>
            <w:tcW w:w="811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目标1：通过资料收集、现场踏勘等，排查土壤重金属污染成因，对影响土壤环境质量的输入因素和输出因素进行补充调查监测，确定调查区域内的土壤主要污染源，识别需要管控的污染成因并提出管控措施及下一步工作建议；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目标2：厘清涪陵区约15107亩受污染耕地土壤重金属污染成因，为该区域耕地土壤污染精准防控提供数据支撑，降低重金属向耕地土壤的输入或切断污染物进入农田的链条，保障农产品质量安全。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一级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产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出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指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4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厘清受污染耕地土壤重金属污染成因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*亩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完成补充调查监测区域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3个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点位数量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spacing w:line="320" w:lineRule="exac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大气沉降不少于52个点位，灌溉水和底泥不少于16个；农业投入品点位不少于12个；畜禽粪便点位不少于13个；作物移除不少于30个；地表径流不少于20个；地下渗滤不少于13个；土壤及农产品不少于10个表层，3个剖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完成方案布点监测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按照标准进行调查监测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56" w:type="dxa"/>
            <w:vAlign w:val="center"/>
          </w:tcPr>
          <w:p>
            <w:pPr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规定时间内完成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按照时间进度完成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成本经费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严格把控，不超总金额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效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益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指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经济效益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点位布设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优化代表性点位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社会效益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保障粮食和人居安全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spacing w:line="320" w:lineRule="exac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为该区域耕地土壤污染精准防控提供数据支撑，降低重金属向耕地土壤的输入或切断污染物进入农田的链条，保障农产品质量安全。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生态效益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成因排查的面积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*km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源头防治的预期效果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厘清源头，提出源头预防建议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可查明多少亩农用地污染成因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*亩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服务对象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大众满意度</w:t>
            </w:r>
          </w:p>
        </w:tc>
        <w:tc>
          <w:tcPr>
            <w:tcW w:w="32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　≥90%</w:t>
            </w:r>
          </w:p>
        </w:tc>
      </w:tr>
    </w:tbl>
    <w:p>
      <w:pPr>
        <w:adjustRightInd w:val="0"/>
        <w:snapToGrid w:val="0"/>
        <w:spacing w:afterLines="40"/>
        <w:jc w:val="center"/>
        <w:outlineLvl w:val="0"/>
        <w:rPr>
          <w:rFonts w:eastAsia="方正小标宋_GBK"/>
          <w:bCs/>
          <w:sz w:val="36"/>
          <w:szCs w:val="36"/>
        </w:rPr>
      </w:pPr>
    </w:p>
    <w:p>
      <w:pPr>
        <w:rPr>
          <w:rFonts w:eastAsia="方正黑体_GBK"/>
          <w:bCs/>
          <w:szCs w:val="32"/>
        </w:rPr>
      </w:pPr>
      <w:r>
        <w:rPr>
          <w:rFonts w:eastAsia="方正小标宋_GBK"/>
          <w:bCs/>
          <w:sz w:val="36"/>
          <w:szCs w:val="36"/>
        </w:rPr>
        <w:br w:type="page"/>
      </w:r>
    </w:p>
    <w:p>
      <w:pPr>
        <w:rPr>
          <w:rFonts w:eastAsia="方正黑体_GBK"/>
          <w:bCs/>
          <w:sz w:val="36"/>
          <w:szCs w:val="36"/>
        </w:rPr>
      </w:pPr>
      <w:r>
        <w:rPr>
          <w:rFonts w:hint="eastAsia" w:eastAsia="方正黑体_GBK"/>
          <w:bCs/>
          <w:szCs w:val="32"/>
        </w:rPr>
        <w:t>附件2—2</w:t>
      </w:r>
    </w:p>
    <w:p>
      <w:pPr>
        <w:adjustRightInd w:val="0"/>
        <w:spacing w:afterLines="30" w:line="540" w:lineRule="exact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中央土壤污染防治资金项目绩效目标表（项目</w:t>
      </w:r>
      <w:r>
        <w:rPr>
          <w:rFonts w:hint="eastAsia" w:eastAsia="方正小标宋_GBK"/>
          <w:bCs/>
          <w:sz w:val="36"/>
          <w:szCs w:val="36"/>
        </w:rPr>
        <w:t>2</w:t>
      </w:r>
      <w:r>
        <w:rPr>
          <w:rFonts w:eastAsia="方正小标宋_GBK"/>
          <w:bCs/>
          <w:sz w:val="36"/>
          <w:szCs w:val="36"/>
        </w:rPr>
        <w:t>）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58"/>
        <w:gridCol w:w="366"/>
        <w:gridCol w:w="1178"/>
        <w:gridCol w:w="1662"/>
        <w:gridCol w:w="2008"/>
        <w:gridCol w:w="25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重庆天原化工有限公司土壤污染源头预防项目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所属专项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中央土壤污染防治专项资金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中央主管部门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　生态环境部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省级财政部门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　重庆市财政局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省级主管部门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　重庆市生态环境局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具体实施单位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　重庆天原化工有限公司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资金情况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项目总投资</w:t>
            </w:r>
          </w:p>
        </w:tc>
        <w:tc>
          <w:tcPr>
            <w:tcW w:w="617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3055.66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其中：中央财政资金</w:t>
            </w:r>
          </w:p>
        </w:tc>
        <w:tc>
          <w:tcPr>
            <w:tcW w:w="617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1018.55（其中2025年提前批316）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地方财政资金</w:t>
            </w:r>
          </w:p>
        </w:tc>
        <w:tc>
          <w:tcPr>
            <w:tcW w:w="617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企业自筹资金</w:t>
            </w:r>
          </w:p>
        </w:tc>
        <w:tc>
          <w:tcPr>
            <w:tcW w:w="617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2037.11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6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8374" w:type="dxa"/>
            <w:gridSpan w:val="6"/>
            <w:vAlign w:val="center"/>
          </w:tcPr>
          <w:p>
            <w:pPr>
              <w:pStyle w:val="3"/>
              <w:autoSpaceDE w:val="0"/>
              <w:autoSpaceDN w:val="0"/>
              <w:snapToGrid w:val="0"/>
              <w:spacing w:after="0"/>
              <w:ind w:firstLine="412" w:firstLineChars="200"/>
              <w:rPr>
                <w:rFonts w:hint="default"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目标1：通过罐区防腐防渗改造、废水收集池防腐防渗改造、泵区地面防腐防渗改造，从源头避免重金属污染物因跑、冒、滴、漏进入土壤环境。</w:t>
            </w:r>
          </w:p>
          <w:p>
            <w:pPr>
              <w:pStyle w:val="3"/>
              <w:autoSpaceDE w:val="0"/>
              <w:autoSpaceDN w:val="0"/>
              <w:snapToGrid w:val="0"/>
              <w:spacing w:after="0"/>
              <w:ind w:firstLine="412" w:firstLineChars="200"/>
              <w:rPr>
                <w:rFonts w:hint="default"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目标2：污水暗管及物料管道可视化改造，实现明沟明管可视化敷设。</w:t>
            </w:r>
          </w:p>
          <w:p>
            <w:pPr>
              <w:autoSpaceDE w:val="0"/>
              <w:autoSpaceDN w:val="0"/>
              <w:snapToGrid w:val="0"/>
              <w:ind w:firstLine="412" w:firstLineChars="20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目标3：老化设备进行升级更换，避免储罐物质泄露。</w:t>
            </w:r>
          </w:p>
          <w:p>
            <w:pPr>
              <w:autoSpaceDE w:val="0"/>
              <w:autoSpaceDN w:val="0"/>
              <w:snapToGrid w:val="0"/>
              <w:ind w:firstLine="412" w:firstLineChars="20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目标4：污水处理工艺提标改造，削减污染物排放量。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一级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4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数量指标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（防腐防渗）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V7761废水收集池修建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30m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V7761AC盐酸储罐更换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2个（1000m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/个）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盐酸罐区防腐改造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499m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利尔酸罐区防腐改造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150m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离子膜二期树脂塔界区防腐改造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160m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氯氢硫酸围堰防腐改造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225m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702C硫酸罐区防腐改造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285m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702C盐酸罐区防腐改造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312m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V7761副产盐酸罐区防腐改造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1776m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次钠罐区防腐改造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528m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脱盐水界区沟防腐改造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80m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一次盐水界区防腐改造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100m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液碱罐区防腐改造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1472m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片碱罐区防腐改造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1045m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污水处理池防腐改造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2245m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数量指标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（管道架空）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机电仪分厂污水管网架空长度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DN200：120m</w:t>
            </w:r>
          </w:p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DN100：400m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甲烷氯化物分厂V7761管道架空长度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60m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甲烷氯化物分厂次氯酸钠收集管道长度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DN80：80m</w:t>
            </w:r>
          </w:p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DN100：75m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甲烷氯化物分厂污水回收管道架空长度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有机物回收管道：100m</w:t>
            </w:r>
          </w:p>
          <w:p>
            <w:pPr>
              <w:widowControl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四氯乙烯冷凝水管道：150m</w:t>
            </w:r>
          </w:p>
          <w:p>
            <w:pPr>
              <w:pStyle w:val="18"/>
              <w:snapToGrid w:val="0"/>
              <w:spacing w:afterLines="0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甲烷冷凝水回收管道：150m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甲烷氯化物分厂甲烷罐区污水管道架空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DN80：200m</w:t>
            </w:r>
          </w:p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DN100：300m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数量指标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（提标改造）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二期激冷塔更换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二期激冷槽更换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E2401BHCL一级吸收器更换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E2402B二级吸收器更换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E01301一级吸收器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E01302盐酸换热器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四氯乙烯高氟物回收量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500t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离子膜树脂塔再生废水利用量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32000m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树脂塔再生周期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24h延长至48h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离子膜二精盐水钙镁在线检测仪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第一阶段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2023年3月—2023年12月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第二阶段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2024年1月—2024年12月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第三阶段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2025年1月—2025年12月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质量指标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(废水排放）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pH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6—9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COD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80mg/L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BOD5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20mg/L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石油类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3mg/L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氨氮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10mg/L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总磷（以P计）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0.5mg/L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总氮（以N计）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20mg/L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SS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70mg/L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苯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0.1mg/L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质量指标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（臭气）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污水处理站臭气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2000（无量纲）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质量指标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(固盐热解尾气）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pStyle w:val="20"/>
              <w:snapToGrid w:val="0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SO</w:t>
            </w:r>
            <w:r>
              <w:rPr>
                <w:rFonts w:hint="eastAsia" w:ascii="Times New Roman" w:hAnsi="Times New Roman" w:cs="宋体"/>
                <w:kern w:val="0"/>
                <w:vertAlign w:val="subscript"/>
              </w:rPr>
              <w:t>2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300mg/m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pStyle w:val="20"/>
              <w:snapToGrid w:val="0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NOX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500mg/m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pStyle w:val="20"/>
              <w:snapToGrid w:val="0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烟尘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80mg/m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pStyle w:val="20"/>
              <w:snapToGrid w:val="0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HCL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70mg/m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pStyle w:val="20"/>
              <w:snapToGrid w:val="0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CO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80mg/m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二恶英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0.5TEQng/m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非甲烷总烃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120mg/m</w:t>
            </w:r>
            <w:r>
              <w:rPr>
                <w:rFonts w:hint="eastAsia" w:eastAsia="宋体" w:cs="宋体"/>
                <w:kern w:val="0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质量指标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（固盐处理）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氯化钠含量%wt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≥98.5%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水分%wt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≤1.0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水不溶物%wt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≤0.1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TOC mg/kg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≤20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总铵mg/kg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≤4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项目总投资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控制在预算以内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质量指标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（工程）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pStyle w:val="20"/>
              <w:snapToGrid w:val="0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工程验收合格率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生态效益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54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3670" w:type="dxa"/>
            <w:gridSpan w:val="2"/>
          </w:tcPr>
          <w:p>
            <w:pPr>
              <w:snapToGrid w:val="0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避免重金属污染物因跑、冒、滴、漏进入环境土壤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降低厂区内土壤污染风险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COD削减量（废水）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308.66 t/a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SS削减量（废水）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11.153 t/a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总磷削减量（废水）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1.52 t/a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苯系物（废水）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8.099 t/a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服务对象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企业满意度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90%</w:t>
            </w:r>
          </w:p>
        </w:tc>
      </w:tr>
    </w:tbl>
    <w:p>
      <w:pPr>
        <w:adjustRightInd w:val="0"/>
        <w:snapToGrid w:val="0"/>
        <w:spacing w:afterLines="40"/>
        <w:jc w:val="center"/>
        <w:outlineLvl w:val="0"/>
        <w:rPr>
          <w:rFonts w:eastAsia="方正小标宋_GBK"/>
          <w:bCs/>
          <w:sz w:val="36"/>
          <w:szCs w:val="36"/>
        </w:rPr>
      </w:pP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</w:t>
      </w:r>
    </w:p>
    <w:p/>
    <w:sectPr>
      <w:pgSz w:w="11907" w:h="16840"/>
      <w:pgMar w:top="2098" w:right="1474" w:bottom="1985" w:left="1588" w:header="851" w:footer="1474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74"/>
    <w:rsid w:val="000537A9"/>
    <w:rsid w:val="00677574"/>
    <w:rsid w:val="00694087"/>
    <w:rsid w:val="007D366D"/>
    <w:rsid w:val="00852D5A"/>
    <w:rsid w:val="008C7242"/>
    <w:rsid w:val="00951C56"/>
    <w:rsid w:val="009F79CD"/>
    <w:rsid w:val="00B0789B"/>
    <w:rsid w:val="00C954ED"/>
    <w:rsid w:val="2BE318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iPriority w:val="0"/>
    <w:rPr>
      <w:rFonts w:ascii="宋体" w:hAnsiTheme="minorHAnsi" w:eastAsiaTheme="minorEastAsia" w:cstheme="minorBidi"/>
      <w:sz w:val="18"/>
      <w:szCs w:val="18"/>
    </w:rPr>
  </w:style>
  <w:style w:type="paragraph" w:styleId="3">
    <w:name w:val="Body Text"/>
    <w:basedOn w:val="1"/>
    <w:next w:val="4"/>
    <w:link w:val="15"/>
    <w:qFormat/>
    <w:uiPriority w:val="0"/>
    <w:pPr>
      <w:spacing w:after="120"/>
    </w:pPr>
    <w:rPr>
      <w:rFonts w:hint="eastAsia"/>
    </w:rPr>
  </w:style>
  <w:style w:type="paragraph" w:customStyle="1" w:styleId="4">
    <w:name w:val="标题 2 Char1"/>
    <w:basedOn w:val="1"/>
    <w:qFormat/>
    <w:uiPriority w:val="0"/>
  </w:style>
  <w:style w:type="paragraph" w:styleId="5">
    <w:name w:val="Body Text Indent"/>
    <w:basedOn w:val="1"/>
    <w:link w:val="16"/>
    <w:uiPriority w:val="0"/>
    <w:pPr>
      <w:ind w:firstLine="626"/>
    </w:pPr>
    <w:rPr>
      <w:rFonts w:ascii="仿宋_GB2312"/>
      <w:bCs/>
    </w:rPr>
  </w:style>
  <w:style w:type="paragraph" w:styleId="6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page number"/>
    <w:basedOn w:val="9"/>
    <w:uiPriority w:val="0"/>
  </w:style>
  <w:style w:type="character" w:customStyle="1" w:styleId="11">
    <w:name w:val="页眉 Char"/>
    <w:basedOn w:val="9"/>
    <w:link w:val="7"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uiPriority w:val="99"/>
    <w:rPr>
      <w:sz w:val="18"/>
      <w:szCs w:val="18"/>
    </w:rPr>
  </w:style>
  <w:style w:type="character" w:customStyle="1" w:styleId="13">
    <w:name w:val="文档结构图 Char"/>
    <w:basedOn w:val="9"/>
    <w:link w:val="2"/>
    <w:uiPriority w:val="0"/>
    <w:rPr>
      <w:rFonts w:ascii="宋体"/>
      <w:sz w:val="18"/>
      <w:szCs w:val="18"/>
    </w:rPr>
  </w:style>
  <w:style w:type="character" w:customStyle="1" w:styleId="14">
    <w:name w:val="文档结构图 Char1"/>
    <w:basedOn w:val="9"/>
    <w:semiHidden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15">
    <w:name w:val="正文文本 Char"/>
    <w:basedOn w:val="9"/>
    <w:link w:val="3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6">
    <w:name w:val="正文文本缩进 Char"/>
    <w:basedOn w:val="9"/>
    <w:link w:val="5"/>
    <w:uiPriority w:val="0"/>
    <w:rPr>
      <w:rFonts w:ascii="仿宋_GB2312" w:hAnsi="Times New Roman" w:eastAsia="仿宋_GB2312" w:cs="Times New Roman"/>
      <w:bCs/>
      <w:sz w:val="32"/>
      <w:szCs w:val="24"/>
    </w:r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eastAsia="en-US"/>
    </w:rPr>
  </w:style>
  <w:style w:type="paragraph" w:customStyle="1" w:styleId="18">
    <w:name w:val="正文四号"/>
    <w:basedOn w:val="1"/>
    <w:next w:val="1"/>
    <w:qFormat/>
    <w:uiPriority w:val="0"/>
    <w:pPr>
      <w:spacing w:afterLines="50"/>
    </w:pPr>
    <w:rPr>
      <w:rFonts w:ascii="Calibri" w:hAnsi="Calibri" w:eastAsia="宋体" w:cs="Calibri"/>
      <w:sz w:val="21"/>
      <w:szCs w:val="28"/>
    </w:rPr>
  </w:style>
  <w:style w:type="paragraph" w:customStyle="1" w:styleId="19">
    <w:name w:val="表内"/>
    <w:basedOn w:val="1"/>
    <w:qFormat/>
    <w:uiPriority w:val="0"/>
    <w:pPr>
      <w:jc w:val="center"/>
    </w:pPr>
    <w:rPr>
      <w:sz w:val="21"/>
    </w:rPr>
  </w:style>
  <w:style w:type="paragraph" w:customStyle="1" w:styleId="20">
    <w:name w:val="表格字体"/>
    <w:basedOn w:val="1"/>
    <w:qFormat/>
    <w:uiPriority w:val="0"/>
    <w:pPr>
      <w:jc w:val="center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421</Words>
  <Characters>2402</Characters>
  <Lines>20</Lines>
  <Paragraphs>5</Paragraphs>
  <TotalTime>1</TotalTime>
  <ScaleCrop>false</ScaleCrop>
  <LinksUpToDate>false</LinksUpToDate>
  <CharactersWithSpaces>2818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2024-12-06T10:59:00Z</dcterms:created>
  <dc:creator>彭颖</dc:creator>
  <cp:lastModifiedBy>Administrator</cp:lastModifiedBy>
  <cp:lastPrinted>2024-12-19T06:34:35Z</cp:lastPrinted>
  <dcterms:modified xsi:type="dcterms:W3CDTF">2024-12-19T06:34:50Z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