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方正小标宋_GBK" w:eastAsia="方正小标宋_GBK"/>
          <w:spacing w:val="-14"/>
          <w:w w:val="42"/>
        </w:rPr>
      </w:pPr>
    </w:p>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3665" distR="113665" simplePos="0" relativeHeight="251659264" behindDoc="0" locked="0" layoutInCell="1" allowOverlap="1">
                <wp:simplePos x="0" y="0"/>
                <wp:positionH relativeFrom="column">
                  <wp:align>center</wp:align>
                </wp:positionH>
                <wp:positionV relativeFrom="paragraph">
                  <wp:posOffset>185420</wp:posOffset>
                </wp:positionV>
                <wp:extent cx="635" cy="635"/>
                <wp:effectExtent l="0" t="0" r="0" b="0"/>
                <wp:wrapTight wrapText="bothSides">
                  <wp:wrapPolygon>
                    <wp:start x="0" y="0"/>
                    <wp:lineTo x="0" y="21600"/>
                    <wp:lineTo x="21600" y="21600"/>
                    <wp:lineTo x="21600" y="0"/>
                    <wp:lineTo x="0" y="0"/>
                  </wp:wrapPolygon>
                </wp:wrapTight>
                <wp:docPr id="4" name="直线 4"/>
                <wp:cNvGraphicFramePr/>
                <a:graphic xmlns:a="http://schemas.openxmlformats.org/drawingml/2006/main">
                  <a:graphicData uri="http://schemas.microsoft.com/office/word/2010/wordprocessingShape">
                    <wps:wsp>
                      <wps:cNvCnPr/>
                      <wps:spPr>
                        <a:xfrm>
                          <a:off x="0" y="0"/>
                          <a:ext cx="952" cy="952"/>
                        </a:xfrm>
                        <a:prstGeom prst="line">
                          <a:avLst/>
                        </a:prstGeom>
                        <a:noFill/>
                        <a:ln w="25400" cap="flat" cmpd="sng">
                          <a:solidFill>
                            <a:srgbClr val="000000"/>
                          </a:solidFill>
                          <a:prstDash val="solid"/>
                          <a:round/>
                        </a:ln>
                      </wps:spPr>
                      <wps:bodyPr vert="horz" wrap="square" lIns="91440" tIns="45720" rIns="91440" bIns="45720" anchor="t" anchorCtr="false" upright="true">
                        <a:noAutofit/>
                      </wps:bodyPr>
                    </wps:wsp>
                  </a:graphicData>
                </a:graphic>
              </wp:anchor>
            </w:drawing>
          </mc:Choice>
          <mc:Fallback>
            <w:pict>
              <v:line id="直线 4" o:spid="_x0000_s1026" o:spt="20" style="position:absolute;left:0pt;margin-top:14.6pt;height:0.05pt;width:0.05pt;mso-position-horizontal:center;mso-wrap-distance-left:8.95pt;mso-wrap-distance-right:8.95pt;z-index:251659264;mso-width-relative:page;mso-height-relative:page;" filled="f" stroked="t" coordsize="21600,21600" wrapcoords="0 0 0 21600 21600 21600 21600 0 0 0" o:gfxdata="UEsFBgAAAAAAAAAAAAAAAAAAAAAAAFBLAwQKAAAAAACHTuJAAAAAAAAAAAAAAAAABAAAAGRycy9Q&#10;SwMEFAAAAAgAh07iQI/8Us7RAAAAAwEAAA8AAABkcnMvZG93bnJldi54bWxNjzFPwzAUhHck/oP1&#10;kNio0yBBCXE6VEUdWEqKxPoSP+Io8XOw3Tb8e1wWGE93uvuuXM92FCfyoXesYLnIQBC3TvfcKXg/&#10;vNytQISIrHF0TAq+KcC6ur4qsdDuzG90qmMnUgmHAhWYGKdCytAashgWbiJO3qfzFmOSvpPa4zmV&#10;21HmWfYgLfacFgxOtDHUDvXRKhi3zexX+6E2u/3r8PWxxd3jBpW6vVlmzyAizfEvDBf8hA5VYmrc&#10;kXUQo4J0JCrIn3IQv65oLuoeZFXK/+zVD1BLAwQUAAAACACHTuJAKkDqFvgBAADVAwAADgAAAGRy&#10;cy9lMm9Eb2MueG1srVNNrtMwEN4jcQfLe5q2SoEXNX1CrR5CQlAJOMDUsRNLjm3GbtNyFa7Big3H&#10;eddg7JS2wA6RhTN//jzf5/Hy/tgbdpAYtLM1n02mnEkrXKNtW/NPHx+eveQsRLANGGdlzU8y8PvV&#10;0yfLwVdy7jpnGomMQGyoBl/zLkZfFUUQnewhTJyXlpLKYQ+RXGyLBmEg9N4U8+n0eTE4bDw6IUOg&#10;6GZM8lXGV0qK+F6pICMzNafeYl4xr7u0FqslVC2C77Q4twH/0EUP2tKhF6gNRGB71H9B9VqgC07F&#10;iXB94ZTSQmYOxGY2/YPNhw68zFxInOAvMoX/ByveHbbIdFPzkjMLPV3R49dvj99/sDJpM/hQUcna&#10;bvHsBb/FRPSosE9/osCOWc/TRU95jExQ8G4x50xQPBm0v7hu8xjia+l6loyaG20TUajg8DbEsfRX&#10;SQpb96CNoThUxrKh5vNFOaX7FEAzowxEMntPLIJtM05wRjdpT9oSsN2tDbIDpCnI37md38rSgRsI&#10;3ViXU6kMKnR724xNGUs0kiqjDsnaueZEGtIjICKdwy+cDTRQ1MvnPaDkzLyxdGN3s7JME5idcvFi&#10;Tg7eZna3GbCCoGpOxEZzHclTYAIB7j3qtqPTIu5H2ax7tY9O6SzdtalzrzQ7WfzznKfhvPVz1fU1&#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xSztEAAAADAQAADwAAAAAAAAABACAAAAA4AAAA&#10;ZHJzL2Rvd25yZXYueG1sUEsBAhQAFAAAAAgAh07iQCpA6hb4AQAA1QMAAA4AAAAAAAAAAQAgAAAA&#10;NgEAAGRycy9lMm9Eb2MueG1sUEsFBgAAAAAGAAYAWQEAAKAFA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sz w:val="32"/>
          <w:szCs w:val="32"/>
        </w:rPr>
      </w:pPr>
    </w:p>
    <w:p>
      <w:pPr>
        <w:tabs>
          <w:tab w:val="left" w:pos="158"/>
          <w:tab w:val="left" w:pos="8690"/>
        </w:tabs>
        <w:spacing w:line="1180" w:lineRule="exact"/>
        <w:jc w:val="center"/>
        <w:rPr>
          <w:rFonts w:hint="eastAsia" w:ascii="方正小标宋_GBK" w:eastAsia="方正小标宋_GBK"/>
          <w:b/>
          <w:bCs/>
          <w:color w:val="FF0000"/>
          <w:spacing w:val="24"/>
          <w:w w:val="52"/>
          <w:sz w:val="108"/>
          <w:szCs w:val="108"/>
        </w:rPr>
      </w:pPr>
      <w:r>
        <w:rPr>
          <w:rFonts w:hint="eastAsia" w:ascii="方正小标宋_GBK" w:eastAsia="方正小标宋_GBK"/>
          <w:b/>
          <w:bCs/>
          <w:color w:val="FF0000"/>
          <w:spacing w:val="24"/>
          <w:w w:val="52"/>
          <w:sz w:val="108"/>
          <w:szCs w:val="108"/>
        </w:rPr>
        <w:t>重庆市涪陵区发展和改革委员会</w:t>
      </w:r>
    </w:p>
    <w:p>
      <w:pPr>
        <w:spacing w:line="480" w:lineRule="exact"/>
        <w:jc w:val="center"/>
        <w:rPr>
          <w:rFonts w:hint="eastAsia" w:ascii="仿宋_GB2312" w:hAnsi="仿宋_GB2312"/>
        </w:rPr>
      </w:pPr>
    </w:p>
    <w:p>
      <w:pPr>
        <w:spacing w:line="460" w:lineRule="exact"/>
        <w:jc w:val="center"/>
        <w:rPr>
          <w:rFonts w:hint="eastAsia" w:ascii="仿宋_GB2312" w:hAnsi="仿宋_GB2312"/>
        </w:rPr>
      </w:pPr>
    </w:p>
    <w:p>
      <w:pPr>
        <w:tabs>
          <w:tab w:val="left" w:pos="316"/>
        </w:tabs>
        <w:jc w:val="center"/>
        <w:rPr>
          <w:rFonts w:hint="eastAsia" w:ascii="方正仿宋_GBK" w:eastAsia="方正仿宋_GBK"/>
          <w:lang w:val="en-US" w:eastAsia="zh-CN"/>
        </w:rPr>
      </w:pPr>
      <w:r>
        <w:rPr>
          <w:rFonts w:hint="eastAsia" w:ascii="方正仿宋_GBK"/>
          <w:lang w:val="en-US" w:eastAsia="zh-CN"/>
        </w:rPr>
        <w:t>涪发改委发</w:t>
      </w:r>
      <w:r>
        <w:rPr>
          <w:rFonts w:hint="eastAsia" w:ascii="方正仿宋_GBK" w:eastAsia="方正仿宋_GBK" w:cs="方正仿宋_GBK"/>
          <w:sz w:val="32"/>
          <w:szCs w:val="32"/>
        </w:rPr>
        <w:t>〔</w:t>
      </w:r>
      <w:r>
        <w:rPr>
          <w:rFonts w:hint="eastAsia" w:eastAsia="方正仿宋_GBK" w:cs="方正仿宋_GBK"/>
          <w:sz w:val="32"/>
          <w:szCs w:val="32"/>
        </w:rPr>
        <w:t>202</w:t>
      </w:r>
      <w:r>
        <w:rPr>
          <w:rFonts w:hint="eastAsia" w:cs="方正仿宋_GBK"/>
          <w:sz w:val="32"/>
          <w:szCs w:val="32"/>
          <w:lang w:val="en-US" w:eastAsia="zh-CN"/>
        </w:rPr>
        <w:t>4</w:t>
      </w:r>
      <w:r>
        <w:rPr>
          <w:rFonts w:hint="eastAsia" w:ascii="方正仿宋_GBK" w:eastAsia="方正仿宋_GBK" w:cs="方正仿宋_GBK"/>
          <w:sz w:val="32"/>
          <w:szCs w:val="32"/>
        </w:rPr>
        <w:t>〕</w:t>
      </w:r>
      <w:r>
        <w:rPr>
          <w:rFonts w:hint="eastAsia" w:eastAsia="方正仿宋_GBK" w:cs="方正仿宋_GBK"/>
          <w:sz w:val="32"/>
          <w:szCs w:val="32"/>
          <w:lang w:val="en-US" w:eastAsia="zh-CN"/>
        </w:rPr>
        <w:t>408</w:t>
      </w:r>
      <w:r>
        <w:rPr>
          <w:rFonts w:hint="eastAsia" w:asci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ascii="黑体" w:eastAsia="黑体"/>
          <w:sz w:val="20"/>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82550</wp:posOffset>
                </wp:positionV>
                <wp:extent cx="5615940" cy="635"/>
                <wp:effectExtent l="0" t="0" r="0" b="0"/>
                <wp:wrapSquare wrapText="bothSides"/>
                <wp:docPr id="6" name="直线 6"/>
                <wp:cNvGraphicFramePr/>
                <a:graphic xmlns:a="http://schemas.openxmlformats.org/drawingml/2006/main">
                  <a:graphicData uri="http://schemas.microsoft.com/office/word/2010/wordprocessingShape">
                    <wps:wsp>
                      <wps:cNvCnPr/>
                      <wps:spPr>
                        <a:xfrm>
                          <a:off x="0" y="0"/>
                          <a:ext cx="5615940" cy="952"/>
                        </a:xfrm>
                        <a:prstGeom prst="line">
                          <a:avLst/>
                        </a:prstGeom>
                        <a:noFill/>
                        <a:ln w="28575" cap="flat" cmpd="sng">
                          <a:solidFill>
                            <a:srgbClr val="FF0000"/>
                          </a:solidFill>
                          <a:prstDash val="solid"/>
                          <a:round/>
                        </a:ln>
                      </wps:spPr>
                      <wps:bodyPr vert="horz" wrap="square" lIns="91440" tIns="45720" rIns="91440" bIns="45720" anchor="t" anchorCtr="false" upright="true">
                        <a:noAutofit/>
                      </wps:bodyPr>
                    </wps:wsp>
                  </a:graphicData>
                </a:graphic>
              </wp:anchor>
            </w:drawing>
          </mc:Choice>
          <mc:Fallback>
            <w:pict>
              <v:line id="直线 6" o:spid="_x0000_s1026" o:spt="20" style="position:absolute;left:0pt;margin-left:0pt;margin-top:6.5pt;height:0.05pt;width:442.2pt;mso-wrap-distance-bottom:0pt;mso-wrap-distance-left:8.95pt;mso-wrap-distance-right:8.95pt;mso-wrap-distance-top:0pt;z-index:251659264;mso-width-relative:page;mso-height-relative:page;" filled="f" stroked="t" coordsize="21600,21600" o:gfxdata="UEsFBgAAAAAAAAAAAAAAAAAAAAAAAFBLAwQKAAAAAACHTuJAAAAAAAAAAAAAAAAABAAAAGRycy9Q&#10;SwMEFAAAAAgAh07iQO6nylbVAAAABgEAAA8AAABkcnMvZG93bnJldi54bWxNj81uwjAQhO+VeAdr&#10;K/VWnFBURSEOKlV7q1SR/nA18RJHxOsoNiG8fZcTPa12ZjX7TbGeXCdGHELrSUE6T0Ag1d601Cj4&#10;/np/zECEqMnozhMquGCAdTm7K3Ru/Jm2OFaxERxCIdcKbIx9LmWoLTod5r5HYu/gB6cjr0MjzaDP&#10;HO46uUiSZ+l0S/zB6h5fLdbH6uQUTL/Zi919xM2b//m0x2lXuXFxUerhPk1WICJO8XYMV3xGh5KZ&#10;9v5EJohOAReJrD7xZDfLlksQ+6uQgiwL+R+//ANQSwMEFAAAAAgAh07iQMw66LIAAgAA2QMAAA4A&#10;AABkcnMvZTJvRG9jLnhtbK1TTY7TMBTeI3EHy3uatmo606jpCLUqQkIwEnCAV8dOLDm2eXablqtw&#10;DVZsOM5cY56T0hbYIbJw3p8/v+/z8/Lh2Bp2kBi0syWfjMacSStcpW1d8s+ftq/uOQsRbAXGWVny&#10;kwz8YfXyxbLzhZy6xplKIiMQG4rOl7yJ0RdZFkQjWwgj56WlpHLYQiQX66xC6Ai9Ndl0PJ5nncPK&#10;oxMyBIpuhiRf9fhKSRE/KBVkZKbk1FvsV+zXXVqz1RKKGsE3WpzbgH/oogVt6dAL1AYisD3qv6Ba&#10;LdAFp+JIuDZzSmkhew7EZjL+g83HBrzsuZA4wV9kCv8PVrw/PCLTVcnnnFlo6Yqevn1/+vGTzZM2&#10;nQ8FlaztI5694B8xET0qbNOfKLBjr+fpoqc8RiYomM8n+WJGsgvKLfJpQsyuWz2G+Ea6liWj5Ebb&#10;RBYKOLwLcSj9VZLC1m21MRSHwljWlXx6n9/lBA40N8pAJLP1xCTYuscJzugq7UlbAta7tUF2AJqE&#10;7XZM37md38rSgRsIzVDXp1IZFOj2thqaMpZoJGUGLZK1c9WJdKSHQEQah18562ioqJcve0DJmXlr&#10;6dYWk1mSI/bOLL+bkoO3md1tBqwgqJITscFcR/IUmECAe4+6bui0iPtBNute76NTupfu2tS5V5qf&#10;XvzzrKcBvfX7quuLXD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7qfKVtUAAAAGAQAADwAAAAAA&#10;AAABACAAAAA4AAAAZHJzL2Rvd25yZXYueG1sUEsBAhQAFAAAAAgAh07iQMw66LIAAgAA2QMAAA4A&#10;AAAAAAAAAQAgAAAAOgEAAGRycy9lMm9Eb2MueG1sUEsFBgAAAAAGAAYAWQEAAKwFAAAAAA==&#10;">
                <v:fill on="f" focussize="0,0"/>
                <v:stroke weight="2.25pt" color="#FF0000" joinstyle="round"/>
                <v:imagedata o:title=""/>
                <o:lock v:ext="edit" aspectratio="f"/>
                <w10:wrap type="square"/>
              </v:line>
            </w:pict>
          </mc:Fallback>
        </mc:AlternateConten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hAnsi="Times New Roman" w:eastAsia="宋体" w:cs="Times New Roman"/>
          <w:caps w:val="0"/>
          <w:smallCaps w:val="0"/>
          <w:color w:val="auto"/>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hAnsi="Times New Roman" w:eastAsia="宋体" w:cs="Times New Roman"/>
          <w:caps w:val="0"/>
          <w:smallCaps w:val="0"/>
          <w:color w:val="auto"/>
          <w:sz w:val="21"/>
          <w:szCs w:val="21"/>
          <w:vertAlign w:val="baseline"/>
        </w:rPr>
      </w:pPr>
    </w:p>
    <w:p>
      <w:pPr>
        <w:pStyle w:val="2"/>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0"/>
        <w:jc w:val="center"/>
        <w:textAlignment w:val="auto"/>
        <w:outlineLvl w:val="0"/>
        <w:rPr>
          <w:rFonts w:hint="eastAsia" w:ascii="方正小标宋_GBK" w:eastAsia="方正小标宋_GBK"/>
          <w:b w:val="0"/>
          <w:sz w:val="44"/>
          <w:szCs w:val="44"/>
          <w:lang w:eastAsia="zh-CN"/>
        </w:rPr>
      </w:pPr>
      <w:r>
        <w:rPr>
          <w:rFonts w:hint="eastAsia" w:ascii="方正小标宋_GBK" w:eastAsia="方正小标宋_GBK"/>
          <w:b w:val="0"/>
          <w:sz w:val="44"/>
          <w:szCs w:val="44"/>
          <w:lang w:eastAsia="zh-CN"/>
        </w:rPr>
        <w:t>重庆市</w:t>
      </w:r>
      <w:r>
        <w:rPr>
          <w:rFonts w:hint="eastAsia" w:ascii="方正小标宋_GBK" w:eastAsia="方正小标宋_GBK"/>
          <w:b w:val="0"/>
          <w:sz w:val="44"/>
          <w:szCs w:val="44"/>
        </w:rPr>
        <w:t>涪陵区</w:t>
      </w:r>
      <w:r>
        <w:rPr>
          <w:rFonts w:hint="eastAsia" w:ascii="方正小标宋_GBK" w:eastAsia="方正小标宋_GBK"/>
          <w:b w:val="0"/>
          <w:sz w:val="44"/>
          <w:szCs w:val="44"/>
          <w:lang w:eastAsia="zh-CN"/>
        </w:rPr>
        <w:t>发展和改革委员会</w:t>
      </w:r>
    </w:p>
    <w:p>
      <w:pPr>
        <w:pStyle w:val="2"/>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0"/>
        <w:jc w:val="center"/>
        <w:textAlignment w:val="auto"/>
        <w:outlineLvl w:val="0"/>
        <w:rPr>
          <w:rFonts w:hint="eastAsia" w:ascii="方正小标宋_GBK" w:eastAsia="方正小标宋_GBK"/>
          <w:b w:val="0"/>
          <w:i w:val="0"/>
          <w:iCs w:val="0"/>
          <w:caps w:val="0"/>
          <w:smallCaps w:val="0"/>
          <w:vanish w:val="0"/>
          <w:spacing w:val="0"/>
          <w:kern w:val="36"/>
          <w:sz w:val="44"/>
          <w:szCs w:val="44"/>
        </w:rPr>
      </w:pPr>
      <w:r>
        <w:rPr>
          <w:rFonts w:hint="eastAsia" w:ascii="方正小标宋_GBK" w:eastAsia="方正小标宋_GBK"/>
          <w:b w:val="0"/>
          <w:i w:val="0"/>
          <w:iCs w:val="0"/>
          <w:caps w:val="0"/>
          <w:smallCaps w:val="0"/>
          <w:vanish w:val="0"/>
          <w:spacing w:val="0"/>
          <w:kern w:val="36"/>
          <w:sz w:val="44"/>
          <w:szCs w:val="44"/>
          <w:lang w:eastAsia="zh-CN"/>
        </w:rPr>
        <w:t>关于印发涪陵区</w:t>
      </w:r>
      <w:r>
        <w:rPr>
          <w:rFonts w:hint="eastAsia" w:ascii="方正小标宋_GBK" w:eastAsia="方正小标宋_GBK"/>
          <w:b w:val="0"/>
          <w:i w:val="0"/>
          <w:iCs w:val="0"/>
          <w:caps w:val="0"/>
          <w:smallCaps w:val="0"/>
          <w:vanish w:val="0"/>
          <w:spacing w:val="0"/>
          <w:kern w:val="36"/>
          <w:sz w:val="44"/>
          <w:szCs w:val="44"/>
        </w:rPr>
        <w:t>优化营商环境投诉举报</w:t>
      </w:r>
    </w:p>
    <w:p>
      <w:pPr>
        <w:pStyle w:val="2"/>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0"/>
        <w:jc w:val="center"/>
        <w:textAlignment w:val="auto"/>
        <w:outlineLvl w:val="0"/>
        <w:rPr>
          <w:rFonts w:hint="eastAsia" w:ascii="方正小标宋_GBK" w:eastAsia="方正小标宋_GBK"/>
          <w:b w:val="0"/>
          <w:i w:val="0"/>
          <w:iCs w:val="0"/>
          <w:caps w:val="0"/>
          <w:smallCaps w:val="0"/>
          <w:vanish w:val="0"/>
          <w:spacing w:val="0"/>
          <w:kern w:val="36"/>
          <w:sz w:val="44"/>
          <w:szCs w:val="44"/>
          <w:lang w:eastAsia="zh-CN"/>
        </w:rPr>
      </w:pPr>
      <w:r>
        <w:rPr>
          <w:rFonts w:hint="eastAsia" w:ascii="方正小标宋_GBK" w:eastAsia="方正小标宋_GBK"/>
          <w:b w:val="0"/>
          <w:i w:val="0"/>
          <w:iCs w:val="0"/>
          <w:caps w:val="0"/>
          <w:smallCaps w:val="0"/>
          <w:vanish w:val="0"/>
          <w:spacing w:val="0"/>
          <w:kern w:val="36"/>
          <w:sz w:val="44"/>
          <w:szCs w:val="44"/>
        </w:rPr>
        <w:t>受理工作机制</w:t>
      </w:r>
      <w:r>
        <w:rPr>
          <w:rFonts w:hint="eastAsia" w:ascii="方正小标宋_GBK" w:eastAsia="方正小标宋_GBK"/>
          <w:b w:val="0"/>
          <w:i w:val="0"/>
          <w:iCs w:val="0"/>
          <w:caps w:val="0"/>
          <w:smallCaps w:val="0"/>
          <w:vanish w:val="0"/>
          <w:spacing w:val="0"/>
          <w:kern w:val="36"/>
          <w:sz w:val="44"/>
          <w:szCs w:val="44"/>
          <w:lang w:eastAsia="zh-CN"/>
        </w:rPr>
        <w:t>的通知</w:t>
      </w:r>
    </w:p>
    <w:p>
      <w:pPr>
        <w:pStyle w:val="2"/>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0"/>
        <w:jc w:val="center"/>
        <w:textAlignment w:val="auto"/>
        <w:outlineLvl w:val="0"/>
        <w:rPr>
          <w:rFonts w:hint="eastAsia" w:ascii="方正楷体_GBK" w:eastAsia="方正楷体_GBK"/>
          <w:b w:val="0"/>
          <w:i w:val="0"/>
          <w:iCs w:val="0"/>
          <w:caps w:val="0"/>
          <w:smallCaps w:val="0"/>
          <w:vanish w:val="0"/>
          <w:spacing w:val="0"/>
          <w:kern w:val="36"/>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eastAsia="方正仿宋_GBK"/>
          <w:b w:val="0"/>
          <w:bCs w:val="0"/>
          <w:i w:val="0"/>
          <w:iCs w:val="0"/>
          <w:caps w:val="0"/>
          <w:smallCaps w:val="0"/>
          <w:spacing w:val="0"/>
          <w:sz w:val="32"/>
          <w:szCs w:val="32"/>
          <w:shd w:val="clear" w:color="auto" w:fill="FFFFFF"/>
          <w:lang w:eastAsia="zh-CN"/>
        </w:rPr>
      </w:pPr>
      <w:r>
        <w:rPr>
          <w:rFonts w:hint="eastAsia" w:ascii="方正仿宋_GBK" w:eastAsia="方正仿宋_GBK"/>
          <w:b w:val="0"/>
          <w:bCs w:val="0"/>
          <w:i w:val="0"/>
          <w:iCs w:val="0"/>
          <w:caps w:val="0"/>
          <w:smallCaps w:val="0"/>
          <w:spacing w:val="0"/>
          <w:sz w:val="32"/>
          <w:szCs w:val="32"/>
          <w:shd w:val="clear" w:color="auto" w:fill="FFFFFF"/>
          <w:lang w:eastAsia="zh-CN"/>
        </w:rPr>
        <w:t>涪陵高新区（涪陵综保区）、白涛工业园区（白涛新材料科技城），各乡镇人民政府、街道办事处，区政府各部门，有关单位：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b w:val="0"/>
          <w:bCs w:val="0"/>
          <w:i w:val="0"/>
          <w:iCs w:val="0"/>
          <w:caps w:val="0"/>
          <w:smallCaps w:val="0"/>
          <w:spacing w:val="0"/>
          <w:sz w:val="32"/>
          <w:szCs w:val="32"/>
          <w:shd w:val="clear" w:color="auto" w:fill="FFFFFF"/>
        </w:rPr>
      </w:pPr>
      <w:r>
        <w:rPr>
          <w:rFonts w:hint="eastAsia" w:ascii="方正仿宋_GBK" w:eastAsia="方正仿宋_GBK"/>
          <w:b w:val="0"/>
          <w:bCs w:val="0"/>
          <w:i w:val="0"/>
          <w:iCs w:val="0"/>
          <w:caps w:val="0"/>
          <w:smallCaps w:val="0"/>
          <w:spacing w:val="0"/>
          <w:sz w:val="32"/>
          <w:szCs w:val="32"/>
          <w:shd w:val="clear" w:color="auto" w:fill="FFFFFF"/>
        </w:rPr>
        <w:t>为进一步畅通营商环境过程中的投诉举报渠道，及时解决群众企业反映的“急、难、愁、盼”问题，持续优化营商环境，</w:t>
      </w:r>
      <w:r>
        <w:rPr>
          <w:rFonts w:ascii="方正仿宋_GBK" w:eastAsia="方正仿宋_GBK"/>
          <w:b w:val="0"/>
          <w:bCs w:val="0"/>
          <w:i w:val="0"/>
          <w:iCs w:val="0"/>
          <w:caps w:val="0"/>
          <w:smallCaps w:val="0"/>
          <w:spacing w:val="0"/>
          <w:sz w:val="32"/>
          <w:szCs w:val="32"/>
          <w:shd w:val="clear" w:color="auto" w:fill="FFFFFF"/>
        </w:rPr>
        <w:t>特建立涪陵区营商环境监督举报机制，加强和规范营商环境投诉举报处理工作，广泛征集损害营商环境问题线索，通报损害营商环境问题典型案例，打击破坏营商环境的不良行为，</w:t>
      </w:r>
      <w:r>
        <w:rPr>
          <w:rFonts w:hint="eastAsia" w:ascii="方正仿宋_GBK" w:eastAsia="方正仿宋_GBK"/>
          <w:b w:val="0"/>
          <w:bCs w:val="0"/>
          <w:i w:val="0"/>
          <w:iCs w:val="0"/>
          <w:caps w:val="0"/>
          <w:smallCaps w:val="0"/>
          <w:spacing w:val="0"/>
          <w:sz w:val="32"/>
          <w:szCs w:val="32"/>
          <w:shd w:val="clear" w:color="auto" w:fill="FFFFFF"/>
        </w:rPr>
        <w:t>确保营商环境问题投诉“件件有着落，事事有回音”，切实为</w:t>
      </w:r>
      <w:r>
        <w:rPr>
          <w:rFonts w:ascii="方正仿宋_GBK" w:eastAsia="方正仿宋_GBK"/>
          <w:b w:val="0"/>
          <w:bCs w:val="0"/>
          <w:i w:val="0"/>
          <w:iCs w:val="0"/>
          <w:caps w:val="0"/>
          <w:smallCaps w:val="0"/>
          <w:spacing w:val="0"/>
          <w:sz w:val="32"/>
          <w:szCs w:val="32"/>
          <w:shd w:val="clear" w:color="auto" w:fill="FFFFFF"/>
        </w:rPr>
        <w:t>经营</w:t>
      </w:r>
      <w:r>
        <w:rPr>
          <w:rFonts w:hint="eastAsia" w:ascii="方正仿宋_GBK" w:eastAsia="方正仿宋_GBK"/>
          <w:b w:val="0"/>
          <w:bCs w:val="0"/>
          <w:i w:val="0"/>
          <w:iCs w:val="0"/>
          <w:caps w:val="0"/>
          <w:smallCaps w:val="0"/>
          <w:spacing w:val="0"/>
          <w:sz w:val="32"/>
          <w:szCs w:val="32"/>
          <w:shd w:val="clear" w:color="auto" w:fill="FFFFFF"/>
        </w:rPr>
        <w:t>主体纾</w:t>
      </w:r>
      <w:r>
        <w:rPr>
          <w:rFonts w:ascii="方正仿宋_GBK" w:eastAsia="方正仿宋_GBK"/>
          <w:b w:val="0"/>
          <w:bCs w:val="0"/>
          <w:i w:val="0"/>
          <w:iCs w:val="0"/>
          <w:caps w:val="0"/>
          <w:smallCaps w:val="0"/>
          <w:spacing w:val="0"/>
          <w:sz w:val="32"/>
          <w:szCs w:val="32"/>
          <w:shd w:val="clear" w:color="auto" w:fill="FFFFFF"/>
        </w:rPr>
        <w:t>困</w:t>
      </w:r>
      <w:r>
        <w:rPr>
          <w:rFonts w:hint="eastAsia" w:ascii="方正仿宋_GBK" w:eastAsia="方正仿宋_GBK"/>
          <w:b w:val="0"/>
          <w:bCs w:val="0"/>
          <w:i w:val="0"/>
          <w:iCs w:val="0"/>
          <w:caps w:val="0"/>
          <w:smallCaps w:val="0"/>
          <w:spacing w:val="0"/>
          <w:sz w:val="32"/>
          <w:szCs w:val="32"/>
          <w:shd w:val="clear" w:color="auto" w:fill="FFFFFF"/>
        </w:rPr>
        <w:t>解</w:t>
      </w:r>
      <w:r>
        <w:rPr>
          <w:rFonts w:ascii="方正仿宋_GBK" w:eastAsia="方正仿宋_GBK"/>
          <w:b w:val="0"/>
          <w:bCs w:val="0"/>
          <w:i w:val="0"/>
          <w:iCs w:val="0"/>
          <w:caps w:val="0"/>
          <w:smallCaps w:val="0"/>
          <w:spacing w:val="0"/>
          <w:sz w:val="32"/>
          <w:szCs w:val="32"/>
          <w:shd w:val="clear" w:color="auto" w:fill="FFFFFF"/>
        </w:rPr>
        <w:t>难</w:t>
      </w:r>
      <w:r>
        <w:rPr>
          <w:rFonts w:hint="eastAsia" w:ascii="方正仿宋_GBK" w:eastAsia="方正仿宋_GBK"/>
          <w:b w:val="0"/>
          <w:bCs w:val="0"/>
          <w:i w:val="0"/>
          <w:iCs w:val="0"/>
          <w:caps w:val="0"/>
          <w:smallCaps w:val="0"/>
          <w:spacing w:val="0"/>
          <w:sz w:val="32"/>
          <w:szCs w:val="32"/>
          <w:shd w:val="clear" w:color="auto" w:fill="FFFFFF"/>
        </w:rPr>
        <w:t>。</w:t>
      </w:r>
      <w:r>
        <w:rPr>
          <w:rFonts w:ascii="方正仿宋_GBK" w:eastAsia="方正仿宋_GBK"/>
          <w:b w:val="0"/>
          <w:bCs w:val="0"/>
          <w:i w:val="0"/>
          <w:iCs w:val="0"/>
          <w:caps w:val="0"/>
          <w:smallCaps w:val="0"/>
          <w:spacing w:val="0"/>
          <w:sz w:val="32"/>
          <w:szCs w:val="32"/>
          <w:shd w:val="clear" w:color="auto" w:fill="FFFFFF"/>
        </w:rPr>
        <w:t>涪陵区优化营商环境工作领导小组办公室</w:t>
      </w:r>
      <w:r>
        <w:rPr>
          <w:rFonts w:hint="eastAsia" w:ascii="方正仿宋_GBK" w:eastAsia="方正仿宋_GBK"/>
          <w:b w:val="0"/>
          <w:bCs w:val="0"/>
          <w:i w:val="0"/>
          <w:iCs w:val="0"/>
          <w:caps w:val="0"/>
          <w:smallCaps w:val="0"/>
          <w:spacing w:val="0"/>
          <w:sz w:val="32"/>
          <w:szCs w:val="32"/>
          <w:shd w:val="clear" w:color="auto" w:fill="FFFFFF"/>
        </w:rPr>
        <w:t>（以下简称</w:t>
      </w:r>
      <w:r>
        <w:rPr>
          <w:rFonts w:hint="eastAsia" w:ascii="方正仿宋_GBK" w:eastAsia="方正仿宋_GBK"/>
          <w:b w:val="0"/>
          <w:bCs w:val="0"/>
          <w:i w:val="0"/>
          <w:iCs w:val="0"/>
          <w:caps w:val="0"/>
          <w:smallCaps w:val="0"/>
          <w:spacing w:val="0"/>
          <w:sz w:val="32"/>
          <w:szCs w:val="32"/>
          <w:shd w:val="clear" w:color="auto" w:fill="FFFFFF"/>
          <w:lang w:eastAsia="zh-CN"/>
        </w:rPr>
        <w:t>区</w:t>
      </w:r>
      <w:r>
        <w:rPr>
          <w:rFonts w:hint="eastAsia" w:ascii="方正仿宋_GBK" w:eastAsia="方正仿宋_GBK"/>
          <w:b w:val="0"/>
          <w:bCs w:val="0"/>
          <w:i w:val="0"/>
          <w:iCs w:val="0"/>
          <w:caps w:val="0"/>
          <w:smallCaps w:val="0"/>
          <w:spacing w:val="0"/>
          <w:sz w:val="32"/>
          <w:szCs w:val="32"/>
          <w:shd w:val="clear" w:color="auto" w:fill="FFFFFF"/>
        </w:rPr>
        <w:t>营商办）为投诉受理机构，具体负责全</w:t>
      </w:r>
      <w:r>
        <w:rPr>
          <w:rFonts w:ascii="方正仿宋_GBK" w:eastAsia="方正仿宋_GBK"/>
          <w:b w:val="0"/>
          <w:bCs w:val="0"/>
          <w:i w:val="0"/>
          <w:iCs w:val="0"/>
          <w:caps w:val="0"/>
          <w:smallCaps w:val="0"/>
          <w:spacing w:val="0"/>
          <w:sz w:val="32"/>
          <w:szCs w:val="32"/>
          <w:shd w:val="clear" w:color="auto" w:fill="FFFFFF"/>
        </w:rPr>
        <w:t>区</w:t>
      </w:r>
      <w:r>
        <w:rPr>
          <w:rFonts w:hint="eastAsia" w:ascii="方正仿宋_GBK" w:eastAsia="方正仿宋_GBK"/>
          <w:b w:val="0"/>
          <w:bCs w:val="0"/>
          <w:i w:val="0"/>
          <w:iCs w:val="0"/>
          <w:caps w:val="0"/>
          <w:smallCaps w:val="0"/>
          <w:spacing w:val="0"/>
          <w:sz w:val="32"/>
          <w:szCs w:val="32"/>
          <w:shd w:val="clear" w:color="auto" w:fill="FFFFFF"/>
        </w:rPr>
        <w:t>营商环境投诉举报的受理、转办、跟踪督办等工作。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一、工作目标</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围绕以市场评价为第一评价、以企业感受为第一感受、以群众满意为第一标准，建立营商环境问题投诉、处置、回应联动机制，充分发挥社会公众监督作用，解决企业和群众最关心、最现实、最紧迫的营商环境突出问题，全力优化提升我</w:t>
      </w:r>
      <w:r>
        <w:rPr>
          <w:rFonts w:ascii="方正仿宋_GBK" w:eastAsia="方正仿宋_GBK"/>
          <w:sz w:val="32"/>
          <w:szCs w:val="32"/>
          <w:shd w:val="clear" w:color="auto" w:fill="FFFFFF"/>
        </w:rPr>
        <w:t>区</w:t>
      </w:r>
      <w:r>
        <w:rPr>
          <w:rFonts w:hint="eastAsia" w:ascii="方正仿宋_GBK" w:eastAsia="方正仿宋_GBK"/>
          <w:sz w:val="32"/>
          <w:szCs w:val="32"/>
          <w:shd w:val="clear" w:color="auto" w:fill="FFFFFF"/>
        </w:rPr>
        <w:t>营商环境。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kern w:val="2"/>
          <w:sz w:val="32"/>
          <w:szCs w:val="32"/>
          <w:lang w:val="en-US" w:eastAsia="zh-CN" w:bidi="ar-SA"/>
        </w:rPr>
      </w:pPr>
      <w:r>
        <w:rPr>
          <w:rFonts w:hint="eastAsia" w:ascii="方正黑体_GBK" w:eastAsia="方正黑体_GBK"/>
          <w:sz w:val="32"/>
          <w:szCs w:val="32"/>
        </w:rPr>
        <w:t>二、投诉受理机制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（一）投诉处理原则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eastAsia="方正仿宋_GBK" w:cs="方正仿宋_GBK"/>
          <w:b w:val="0"/>
          <w:bCs w:val="0"/>
          <w:sz w:val="32"/>
          <w:szCs w:val="32"/>
          <w:lang w:val="en-US" w:eastAsia="zh-CN"/>
        </w:rPr>
      </w:pPr>
      <w:r>
        <w:rPr>
          <w:rFonts w:hint="default" w:eastAsia="方正仿宋_GBK" w:cs="方正仿宋_GBK"/>
          <w:b w:val="0"/>
          <w:bCs w:val="0"/>
          <w:sz w:val="32"/>
          <w:szCs w:val="32"/>
          <w:lang w:val="en-US" w:eastAsia="zh-CN"/>
        </w:rPr>
        <w:t>营商环境问题投诉处理工作遵循依法依规、规范高效、属地管理、“谁主管谁负责”的原则。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（二）投诉方式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eastAsia="方正仿宋_GBK" w:cs="方正仿宋_GBK"/>
          <w:b/>
          <w:bCs/>
          <w:sz w:val="32"/>
          <w:szCs w:val="32"/>
          <w:lang w:val="en-US" w:eastAsia="zh-CN"/>
        </w:rPr>
      </w:pPr>
      <w:r>
        <w:rPr>
          <w:rFonts w:hint="eastAsia" w:ascii="方正楷体_GBK" w:hAnsi="方正楷体_GBK" w:eastAsia="方正楷体_GBK" w:cs="方正楷体_GBK"/>
          <w:b/>
          <w:bCs/>
          <w:kern w:val="2"/>
          <w:sz w:val="32"/>
          <w:szCs w:val="32"/>
          <w:lang w:val="en-US" w:eastAsia="zh-CN" w:bidi="ar-SA"/>
        </w:rPr>
        <w:t>投诉人可通过以下渠道进行投诉</w:t>
      </w:r>
      <w:r>
        <w:rPr>
          <w:rFonts w:hint="eastAsia" w:eastAsia="方正仿宋_GBK" w:cs="方正仿宋_GBK"/>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eastAsia="方正仿宋_GBK" w:cs="方正仿宋_GBK"/>
          <w:b w:val="0"/>
          <w:bCs w:val="0"/>
          <w:sz w:val="32"/>
          <w:szCs w:val="32"/>
          <w:lang w:val="en-US" w:eastAsia="zh-CN"/>
        </w:rPr>
      </w:pPr>
      <w:r>
        <w:rPr>
          <w:rFonts w:hint="eastAsia" w:eastAsia="方正仿宋_GBK" w:cs="方正仿宋_GBK"/>
          <w:b w:val="0"/>
          <w:bCs w:val="0"/>
          <w:sz w:val="32"/>
          <w:szCs w:val="32"/>
          <w:lang w:val="en-US" w:eastAsia="zh-CN"/>
        </w:rPr>
        <w:t>1. 信箱地址：涪陵区新区大厦12楼（监控盲区内）；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eastAsia="方正仿宋_GBK" w:cs="方正仿宋_GBK"/>
          <w:b w:val="0"/>
          <w:bCs w:val="0"/>
          <w:sz w:val="32"/>
          <w:szCs w:val="32"/>
          <w:lang w:val="en-US" w:eastAsia="zh-CN"/>
        </w:rPr>
      </w:pPr>
      <w:r>
        <w:rPr>
          <w:rFonts w:hint="eastAsia" w:eastAsia="方正仿宋_GBK" w:cs="方正仿宋_GBK"/>
          <w:b w:val="0"/>
          <w:bCs w:val="0"/>
          <w:sz w:val="32"/>
          <w:szCs w:val="32"/>
          <w:lang w:val="en-US" w:eastAsia="zh-CN"/>
        </w:rPr>
        <w:t>2. 电子邮箱：flqyshj@163.com；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b w:val="0"/>
          <w:bCs w:val="0"/>
          <w:sz w:val="32"/>
          <w:szCs w:val="32"/>
          <w:lang w:val="en-US" w:eastAsia="zh-CN"/>
        </w:rPr>
      </w:pPr>
      <w:r>
        <w:rPr>
          <w:rFonts w:hint="eastAsia" w:eastAsia="方正仿宋_GBK" w:cs="方正仿宋_GBK"/>
          <w:b w:val="0"/>
          <w:bCs w:val="0"/>
          <w:sz w:val="32"/>
          <w:szCs w:val="32"/>
          <w:lang w:val="en-US" w:eastAsia="zh-CN"/>
        </w:rPr>
        <w:t>3. 投诉热线：023-72887729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default"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（三）投诉受理范围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default"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予以受理范围：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属于职责范围内应受理的事项，但不予受理的；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在行政审批和公共服务过程中私设门槛、提高条件、故意刁难，不履行一次性告知、限时办结等相关规定的；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未按规定时限、承诺时限要求办理的；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事项办理过程中，敷衍塞责、推诿扯皮、态度生冷、故意刁难的；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eastAsia="方正仿宋_GBK" w:cs="方正仿宋_GBK"/>
          <w:sz w:val="32"/>
          <w:szCs w:val="32"/>
          <w:lang w:val="en-US" w:eastAsia="zh-CN"/>
        </w:rPr>
        <w:t>事项办理过程中“吃、拿、卡</w:t>
      </w:r>
      <w:r>
        <w:rPr>
          <w:rFonts w:hint="eastAsia" w:ascii="方正仿宋_GBK" w:hAnsi="方正仿宋_GBK" w:eastAsia="方正仿宋_GBK" w:cs="方正仿宋_GBK"/>
          <w:b w:val="0"/>
          <w:bCs w:val="0"/>
          <w:sz w:val="32"/>
          <w:szCs w:val="32"/>
          <w:lang w:val="en-US" w:eastAsia="zh-CN"/>
        </w:rPr>
        <w:t>、要”，乱收费、乱罚款、乱摊派的；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事项</w:t>
      </w:r>
      <w:r>
        <w:rPr>
          <w:rFonts w:hint="eastAsia" w:eastAsia="方正仿宋_GBK" w:cs="方正仿宋_GBK"/>
          <w:sz w:val="32"/>
          <w:szCs w:val="32"/>
          <w:lang w:val="en-US" w:eastAsia="zh-CN"/>
        </w:rPr>
        <w:t>办理过程中违规向企业、群众谋取私利的；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违反规定检查，在涉企收费目录清单外擅自设立收费项目，提高收费标准，扩大收费范围的。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对中央、重庆市、涪陵区出台的惠企政策执行不到位、打折扣、搞变通的。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执法不规范、简单粗暴，损害企业和群众利益的；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泄露企业商业秘密和群众隐私信息的；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对投诉举报的服务对象威胁、恐吓、打击报复的；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其他影响营商环境情形的。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outlineLvl w:val="1"/>
        <w:rPr>
          <w:rFonts w:hint="default"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不予受理范围：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属于经营主体之间民事纠纷的；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无明确投诉对象，或投诉对象不是党政机关或者具有公共服务职能的单位及其工作人员；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已通过或已进入司法程序、行政复议、仲裁或信访程序处理的；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诉求事项已依法依规办结，但同一对象仍以同一理由重复提出的事项；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事实不清，证据资料不全，重复投诉举报的；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治安和刑事案件；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eastAsia="方正仿宋_GBK" w:cs="方正仿宋_GBK"/>
          <w:sz w:val="32"/>
          <w:szCs w:val="32"/>
          <w:lang w:val="en-US" w:eastAsia="zh-CN"/>
        </w:rPr>
        <w:t>因不可抗力造成的；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eastAsia="方正仿宋_GBK" w:cs="方正仿宋_GBK"/>
          <w:sz w:val="32"/>
          <w:szCs w:val="32"/>
          <w:lang w:val="en-US" w:eastAsia="zh-CN"/>
        </w:rPr>
        <w:t>法律法规以规定应当由其他区县办理的；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eastAsia="方正楷体_GBK"/>
          <w:sz w:val="32"/>
          <w:szCs w:val="32"/>
        </w:rPr>
      </w:pPr>
      <w:r>
        <w:rPr>
          <w:rFonts w:hint="eastAsia" w:eastAsia="方正仿宋_GBK" w:cs="方正仿宋_GBK"/>
          <w:sz w:val="32"/>
          <w:szCs w:val="32"/>
          <w:lang w:val="en-US" w:eastAsia="zh-CN"/>
        </w:rPr>
        <w:t>其他不属于营商环境投诉举报范围的。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方正仿宋_GBK" w:cs="方正仿宋_GBK"/>
          <w:b w:val="0"/>
          <w:bCs w:val="0"/>
          <w:sz w:val="32"/>
          <w:szCs w:val="32"/>
          <w:lang w:val="en-US" w:eastAsia="zh-CN"/>
        </w:rPr>
      </w:pPr>
      <w:r>
        <w:rPr>
          <w:rFonts w:hint="eastAsia" w:ascii="方正黑体_GBK" w:eastAsia="方正黑体_GBK"/>
          <w:sz w:val="32"/>
          <w:szCs w:val="32"/>
        </w:rPr>
        <w:t>三、投诉处置机制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K" w:cs="方正仿宋_GBK"/>
          <w:sz w:val="32"/>
          <w:szCs w:val="32"/>
          <w:lang w:val="en-US" w:eastAsia="zh-CN"/>
        </w:rPr>
      </w:pPr>
      <w:r>
        <w:rPr>
          <w:rFonts w:hint="default" w:ascii="方正楷体_GBK" w:hAnsi="方正楷体_GBK" w:eastAsia="方正楷体_GBK" w:cs="方正楷体_GBK"/>
          <w:b/>
          <w:bCs/>
          <w:kern w:val="2"/>
          <w:sz w:val="32"/>
          <w:szCs w:val="32"/>
          <w:lang w:val="en-US" w:eastAsia="zh-CN" w:bidi="ar-SA"/>
        </w:rPr>
        <w:t>（一）</w:t>
      </w:r>
      <w:r>
        <w:rPr>
          <w:rFonts w:hint="eastAsia" w:ascii="方正楷体_GBK" w:hAnsi="方正楷体_GBK" w:eastAsia="方正楷体_GBK" w:cs="方正楷体_GBK"/>
          <w:b/>
          <w:bCs/>
          <w:kern w:val="2"/>
          <w:sz w:val="32"/>
          <w:szCs w:val="32"/>
          <w:lang w:val="en-US" w:eastAsia="zh-CN" w:bidi="ar-SA"/>
        </w:rPr>
        <w:t>线索收集</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区营商办</w:t>
      </w:r>
      <w:r>
        <w:rPr>
          <w:rFonts w:hint="default" w:ascii="Times New Roman" w:hAnsi="Times New Roman" w:eastAsia="方正仿宋_GBK" w:cs="方正仿宋_GBK"/>
          <w:sz w:val="32"/>
          <w:szCs w:val="32"/>
          <w:lang w:val="en-US" w:eastAsia="zh-CN"/>
        </w:rPr>
        <w:t>在收到投诉事项后，对涉及营商环境的投诉事项在1个工作日签收，在2个工作日内对投诉的资料进行审查，决定是否受理，对不予受理的情形告知投诉人不予受理的原因或通知投诉人</w:t>
      </w:r>
      <w:r>
        <w:rPr>
          <w:rFonts w:hint="eastAsia" w:eastAsia="方正仿宋_GBK" w:cs="方正仿宋_GBK"/>
          <w:sz w:val="32"/>
          <w:szCs w:val="32"/>
          <w:lang w:val="en-US" w:eastAsia="zh-CN"/>
        </w:rPr>
        <w:t>补齐</w:t>
      </w:r>
      <w:r>
        <w:rPr>
          <w:rFonts w:hint="default" w:ascii="Times New Roman" w:hAnsi="Times New Roman" w:eastAsia="方正仿宋_GBK" w:cs="方正仿宋_GBK"/>
          <w:sz w:val="32"/>
          <w:szCs w:val="32"/>
          <w:lang w:val="en-US" w:eastAsia="zh-CN"/>
        </w:rPr>
        <w:t>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K" w:cs="方正仿宋_GBK"/>
          <w:sz w:val="32"/>
          <w:szCs w:val="32"/>
          <w:lang w:val="en-US" w:eastAsia="zh-CN"/>
        </w:rPr>
      </w:pPr>
      <w:r>
        <w:rPr>
          <w:rFonts w:hint="default" w:ascii="方正楷体_GBK" w:hAnsi="方正楷体_GBK" w:eastAsia="方正楷体_GBK" w:cs="方正楷体_GBK"/>
          <w:b/>
          <w:bCs/>
          <w:kern w:val="2"/>
          <w:sz w:val="32"/>
          <w:szCs w:val="32"/>
          <w:lang w:val="en-US" w:eastAsia="zh-CN" w:bidi="ar-SA"/>
        </w:rPr>
        <w:t>（二）分办处理</w:t>
      </w:r>
      <w:r>
        <w:rPr>
          <w:rFonts w:hint="default" w:ascii="Times New Roman" w:hAnsi="Times New Roman" w:eastAsia="方正仿宋_GBK" w:cs="方正仿宋_GBK"/>
          <w:sz w:val="32"/>
          <w:szCs w:val="32"/>
          <w:lang w:val="en-US" w:eastAsia="zh-CN"/>
        </w:rPr>
        <w:t>。对已受理的投诉事项，</w:t>
      </w:r>
      <w:r>
        <w:rPr>
          <w:rFonts w:hint="eastAsia" w:ascii="Times New Roman" w:hAnsi="Times New Roman" w:eastAsia="方正仿宋_GBK" w:cs="方正仿宋_GBK"/>
          <w:sz w:val="32"/>
          <w:szCs w:val="32"/>
          <w:lang w:val="en-US" w:eastAsia="zh-CN"/>
        </w:rPr>
        <w:t>由区营商办</w:t>
      </w:r>
      <w:r>
        <w:rPr>
          <w:rFonts w:hint="default" w:ascii="Times New Roman" w:hAnsi="Times New Roman" w:eastAsia="方正仿宋_GBK" w:cs="方正仿宋_GBK"/>
          <w:sz w:val="32"/>
          <w:szCs w:val="32"/>
          <w:lang w:val="en-US" w:eastAsia="zh-CN"/>
        </w:rPr>
        <w:t>按照投诉内容、职责分工，转交有关承办单位进行办理</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对投诉事项涉及多个部门（单位）的，由</w:t>
      </w:r>
      <w:r>
        <w:rPr>
          <w:rFonts w:hint="eastAsia" w:ascii="Times New Roman" w:hAnsi="Times New Roman" w:eastAsia="方正仿宋_GBK" w:cs="方正仿宋_GBK"/>
          <w:sz w:val="32"/>
          <w:szCs w:val="32"/>
          <w:lang w:val="en-US" w:eastAsia="zh-CN"/>
        </w:rPr>
        <w:t>区营商办</w:t>
      </w:r>
      <w:r>
        <w:rPr>
          <w:rFonts w:hint="default" w:ascii="Times New Roman" w:hAnsi="Times New Roman" w:eastAsia="方正仿宋_GBK" w:cs="方正仿宋_GBK"/>
          <w:sz w:val="32"/>
          <w:szCs w:val="32"/>
          <w:lang w:val="en-US" w:eastAsia="zh-CN"/>
        </w:rPr>
        <w:t>指定一个牵头部门（单位）负责办理，其他责任部门（单位）协助办理。承办</w:t>
      </w:r>
      <w:r>
        <w:rPr>
          <w:rFonts w:hint="eastAsia" w:ascii="Times New Roman" w:hAnsi="Times New Roman" w:eastAsia="方正仿宋_GBK" w:cs="方正仿宋_GBK"/>
          <w:sz w:val="32"/>
          <w:szCs w:val="32"/>
          <w:lang w:val="en-US" w:eastAsia="zh-CN"/>
        </w:rPr>
        <w:t>单位</w:t>
      </w:r>
      <w:r>
        <w:rPr>
          <w:rFonts w:hint="default" w:ascii="Times New Roman" w:hAnsi="Times New Roman" w:eastAsia="方正仿宋_GBK" w:cs="方正仿宋_GBK"/>
          <w:sz w:val="32"/>
          <w:szCs w:val="32"/>
          <w:lang w:val="en-US" w:eastAsia="zh-CN"/>
        </w:rPr>
        <w:t>认为投诉事项不属于本单位职责范围内的，应当自收到转办通知之日起，2个工作日内退回</w:t>
      </w:r>
      <w:r>
        <w:rPr>
          <w:rFonts w:hint="eastAsia" w:ascii="Times New Roman" w:hAnsi="Times New Roman" w:eastAsia="方正仿宋_GBK" w:cs="方正仿宋_GBK"/>
          <w:sz w:val="32"/>
          <w:szCs w:val="32"/>
          <w:lang w:val="en-US" w:eastAsia="zh-CN"/>
        </w:rPr>
        <w:t>区营商办</w:t>
      </w:r>
      <w:r>
        <w:rPr>
          <w:rFonts w:hint="default" w:ascii="Times New Roman" w:hAnsi="Times New Roman" w:eastAsia="方正仿宋_GBK" w:cs="方正仿宋_GBK"/>
          <w:sz w:val="32"/>
          <w:szCs w:val="32"/>
          <w:lang w:val="en-US" w:eastAsia="zh-CN"/>
        </w:rPr>
        <w:t>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K" w:cs="方正仿宋_GBK"/>
          <w:sz w:val="32"/>
          <w:szCs w:val="32"/>
          <w:lang w:val="en-US" w:eastAsia="zh-CN"/>
        </w:rPr>
      </w:pPr>
      <w:r>
        <w:rPr>
          <w:rFonts w:hint="default" w:ascii="方正楷体_GBK" w:hAnsi="方正楷体_GBK" w:eastAsia="方正楷体_GBK" w:cs="方正楷体_GBK"/>
          <w:b/>
          <w:bCs/>
          <w:kern w:val="2"/>
          <w:sz w:val="32"/>
          <w:szCs w:val="32"/>
          <w:lang w:val="en-US" w:eastAsia="zh-CN" w:bidi="ar-SA"/>
        </w:rPr>
        <w:t>（三）调查核实</w:t>
      </w:r>
      <w:r>
        <w:rPr>
          <w:rFonts w:hint="default" w:ascii="Times New Roman" w:hAnsi="Times New Roman" w:eastAsia="方正仿宋_GBK" w:cs="方正仿宋_GBK"/>
          <w:sz w:val="32"/>
          <w:szCs w:val="32"/>
          <w:lang w:val="en-US" w:eastAsia="zh-CN"/>
        </w:rPr>
        <w:t>。承办</w:t>
      </w:r>
      <w:r>
        <w:rPr>
          <w:rFonts w:hint="eastAsia" w:ascii="Times New Roman" w:hAnsi="Times New Roman" w:eastAsia="方正仿宋_GBK" w:cs="方正仿宋_GBK"/>
          <w:sz w:val="32"/>
          <w:szCs w:val="32"/>
          <w:lang w:val="en-US" w:eastAsia="zh-CN"/>
        </w:rPr>
        <w:t>单位</w:t>
      </w:r>
      <w:r>
        <w:rPr>
          <w:rFonts w:hint="default" w:ascii="Times New Roman" w:hAnsi="Times New Roman" w:eastAsia="方正仿宋_GBK" w:cs="方正仿宋_GBK"/>
          <w:sz w:val="32"/>
          <w:szCs w:val="32"/>
          <w:lang w:val="en-US" w:eastAsia="zh-CN"/>
        </w:rPr>
        <w:t>应当采取约见双方当事人或者现场走访等多种方式对投诉事项进行调查核实分析，根据事实和相关法律法规、政策，提出公正合理的处理意见，督促被投诉对象迅速整改。需要有关单位配合查清事实或者提供相关证据的，应当协调有关单位共同参与调查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K" w:cs="方正仿宋_GBK"/>
          <w:sz w:val="32"/>
          <w:szCs w:val="32"/>
          <w:lang w:val="en-US" w:eastAsia="zh-CN"/>
        </w:rPr>
      </w:pPr>
      <w:r>
        <w:rPr>
          <w:rFonts w:hint="default" w:ascii="方正楷体_GBK" w:hAnsi="方正楷体_GBK" w:eastAsia="方正楷体_GBK" w:cs="方正楷体_GBK"/>
          <w:b/>
          <w:bCs/>
          <w:kern w:val="2"/>
          <w:sz w:val="32"/>
          <w:szCs w:val="32"/>
          <w:lang w:val="en-US" w:eastAsia="zh-CN" w:bidi="ar-SA"/>
        </w:rPr>
        <w:t>（四）办理时限</w:t>
      </w:r>
      <w:r>
        <w:rPr>
          <w:rFonts w:hint="default" w:ascii="Times New Roman" w:hAnsi="Times New Roman" w:eastAsia="方正仿宋_GBK" w:cs="方正仿宋_GBK"/>
          <w:sz w:val="32"/>
          <w:szCs w:val="32"/>
          <w:lang w:val="en-US" w:eastAsia="zh-CN"/>
        </w:rPr>
        <w:t>。各承办</w:t>
      </w:r>
      <w:r>
        <w:rPr>
          <w:rFonts w:hint="eastAsia" w:ascii="Times New Roman" w:hAnsi="Times New Roman" w:eastAsia="方正仿宋_GBK" w:cs="方正仿宋_GBK"/>
          <w:sz w:val="32"/>
          <w:szCs w:val="32"/>
          <w:lang w:val="en-US" w:eastAsia="zh-CN"/>
        </w:rPr>
        <w:t>单位</w:t>
      </w:r>
      <w:r>
        <w:rPr>
          <w:rFonts w:hint="default" w:ascii="Times New Roman" w:hAnsi="Times New Roman" w:eastAsia="方正仿宋_GBK" w:cs="方正仿宋_GBK"/>
          <w:sz w:val="32"/>
          <w:szCs w:val="32"/>
          <w:lang w:val="en-US" w:eastAsia="zh-CN"/>
        </w:rPr>
        <w:t>对办理行为和办理结果负责。自收到转办通知之日起，一般应在5个工作日内将办理结果回复</w:t>
      </w:r>
      <w:r>
        <w:rPr>
          <w:rFonts w:hint="eastAsia" w:ascii="Times New Roman" w:hAnsi="Times New Roman" w:eastAsia="方正仿宋_GBK" w:cs="方正仿宋_GBK"/>
          <w:sz w:val="32"/>
          <w:szCs w:val="32"/>
          <w:lang w:val="en-US" w:eastAsia="zh-CN"/>
        </w:rPr>
        <w:t>区营商办</w:t>
      </w:r>
      <w:r>
        <w:rPr>
          <w:rFonts w:hint="default" w:ascii="Times New Roman" w:hAnsi="Times New Roman" w:eastAsia="方正仿宋_GBK" w:cs="方正仿宋_GBK"/>
          <w:sz w:val="32"/>
          <w:szCs w:val="32"/>
          <w:lang w:val="en-US" w:eastAsia="zh-CN"/>
        </w:rPr>
        <w:t>，因特殊原因需要延期回复的，需书面报告受理机构，但延长期限不得超过10个工作日，对办理过程中需启动行政程序或者法律程序的，办理时限按照有关法律法规执行。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bCs/>
          <w:kern w:val="2"/>
          <w:sz w:val="32"/>
          <w:szCs w:val="32"/>
          <w:lang w:val="en-US" w:eastAsia="zh-CN" w:bidi="ar-SA"/>
        </w:rPr>
        <w:t>（五）反馈结果</w:t>
      </w:r>
      <w:r>
        <w:rPr>
          <w:rFonts w:hint="default" w:ascii="Times New Roman" w:hAnsi="Times New Roman" w:eastAsia="方正仿宋_GBK" w:cs="方正仿宋_GBK"/>
          <w:sz w:val="32"/>
          <w:szCs w:val="32"/>
          <w:lang w:val="en-US" w:eastAsia="zh-CN"/>
        </w:rPr>
        <w:t>。投诉受理机构应当对办理结果进行核查，在收到办理结果5个工作日内，将结果反馈投诉人，并听取投诉人意见。投诉人对办理结果不满意，且能够提供新的证据和理由的，可发回承办</w:t>
      </w:r>
      <w:r>
        <w:rPr>
          <w:rFonts w:hint="eastAsia" w:ascii="Times New Roman" w:hAnsi="Times New Roman" w:eastAsia="方正仿宋_GBK" w:cs="方正仿宋_GBK"/>
          <w:sz w:val="32"/>
          <w:szCs w:val="32"/>
          <w:lang w:val="en-US" w:eastAsia="zh-CN"/>
        </w:rPr>
        <w:t>单位</w:t>
      </w:r>
      <w:r>
        <w:rPr>
          <w:rFonts w:hint="default" w:ascii="Times New Roman" w:hAnsi="Times New Roman" w:eastAsia="方正仿宋_GBK" w:cs="方正仿宋_GBK"/>
          <w:sz w:val="32"/>
          <w:szCs w:val="32"/>
          <w:lang w:val="en-US" w:eastAsia="zh-CN"/>
        </w:rPr>
        <w:t>重新办理，重新办理时限不得超过15个工作日。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四、投诉办结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有下列情形之一的，投诉事项视为办结</w:t>
      </w:r>
      <w:r>
        <w:rPr>
          <w:rFonts w:hint="eastAsia" w:eastAsia="方正仿宋_GBK" w:cs="方正仿宋_GBK"/>
          <w:b/>
          <w:bCs/>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经协调，投诉人与被投诉人达成和解协议的（但被投诉人未执行和解协议的除外）；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在投诉办理期间，投诉人就投诉申请行政复议、仲裁或提起行政诉讼的；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在投诉办理期间，投诉人自行提出终止办理或自愿撤回投诉的；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在投诉办理期间，需要补充相关证据材料，3个工作日内未补充或不予提供的；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投诉与事实不符或者无法核实的；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在投诉办理期间，公安检察机关或纪检监察机关依法依规介入调查的；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投诉违背法律法规及相关政策的；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在投诉办理期间，投诉人不予配合的；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eastAsia="方正仿宋_GBK" w:cs="方正仿宋_GBK"/>
          <w:sz w:val="32"/>
          <w:szCs w:val="32"/>
          <w:lang w:val="en-US" w:eastAsia="zh-CN"/>
        </w:rPr>
        <w:t>法律、法规规定的其他情形。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lang w:val="en-US" w:eastAsia="zh-CN"/>
        </w:rPr>
        <w:t>五</w:t>
      </w:r>
      <w:r>
        <w:rPr>
          <w:rFonts w:hint="eastAsia" w:ascii="方正黑体_GBK" w:eastAsia="方正黑体_GBK"/>
          <w:sz w:val="32"/>
          <w:szCs w:val="32"/>
        </w:rPr>
        <w:t>、处置联动机制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（一）加强信息共享</w:t>
      </w:r>
      <w:r>
        <w:rPr>
          <w:rFonts w:hint="eastAsia" w:eastAsia="方正仿宋_GBK" w:cs="方正仿宋_GBK"/>
          <w:sz w:val="32"/>
          <w:szCs w:val="32"/>
          <w:lang w:val="en-US" w:eastAsia="zh-CN"/>
        </w:rPr>
        <w:t>。各单位涉及营商环境的投诉事项在转交承办机构办理时，应同时抄送区营商办；对于办理过程中遇到的难点、堵点问题，应及时向区营商办反馈；办理完毕后应将结果反馈投诉人时，一并抄送区营商办。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（二）开展联席会商</w:t>
      </w:r>
      <w:r>
        <w:rPr>
          <w:rFonts w:hint="eastAsia" w:eastAsia="方正仿宋_GBK" w:cs="方正仿宋_GBK"/>
          <w:sz w:val="32"/>
          <w:szCs w:val="32"/>
          <w:lang w:val="en-US" w:eastAsia="zh-CN"/>
        </w:rPr>
        <w:t>。对受理、办理、督办工作中较复杂的难点问题或涉及两个以上牵头部门的事项，由受理单位组织协调，适时由区营商办开展会商研究，共同推进解决，加强联动互通，形成工作合力。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（三）实施归档整理</w:t>
      </w:r>
      <w:r>
        <w:rPr>
          <w:rFonts w:hint="eastAsia" w:eastAsia="方正仿宋_GBK" w:cs="方正仿宋_GBK"/>
          <w:sz w:val="32"/>
          <w:szCs w:val="32"/>
          <w:lang w:val="en-US" w:eastAsia="zh-CN"/>
        </w:rPr>
        <w:t>。区营商办对投诉受理、转办过程、办理结果等资料进行归档；各级牵头承办部门（单位）应当对投诉问题调查处理过程资料和办理结果做好专门归档。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lang w:val="en-US" w:eastAsia="zh-CN"/>
        </w:rPr>
        <w:t>六</w:t>
      </w:r>
      <w:r>
        <w:rPr>
          <w:rFonts w:hint="eastAsia" w:ascii="方正黑体_GBK" w:eastAsia="方正黑体_GBK"/>
          <w:sz w:val="32"/>
          <w:szCs w:val="32"/>
        </w:rPr>
        <w:t>、督办问效机制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eastAsia="方正仿宋_GBK" w:cs="方正仿宋_GBK"/>
          <w:sz w:val="32"/>
          <w:szCs w:val="32"/>
          <w:lang w:val="en-US" w:eastAsia="zh-CN"/>
        </w:rPr>
      </w:pPr>
      <w:r>
        <w:rPr>
          <w:rFonts w:hint="eastAsia" w:ascii="方正楷体_GBK" w:hAnsi="方正楷体_GBK" w:eastAsia="方正楷体_GBK" w:cs="方正楷体_GBK"/>
          <w:b/>
          <w:bCs/>
          <w:kern w:val="2"/>
          <w:sz w:val="32"/>
          <w:szCs w:val="32"/>
          <w:lang w:val="en-US" w:eastAsia="zh-CN" w:bidi="ar-SA"/>
        </w:rPr>
        <w:t>（一）定期回访</w:t>
      </w:r>
      <w:r>
        <w:rPr>
          <w:rFonts w:hint="eastAsia" w:eastAsia="方正仿宋_GBK" w:cs="方正仿宋_GBK"/>
          <w:sz w:val="32"/>
          <w:szCs w:val="32"/>
          <w:lang w:val="en-US" w:eastAsia="zh-CN"/>
        </w:rPr>
        <w:t>。区营商办定期抽取办结投诉事项的投诉人对其进行电话或上门回访，并完善投诉举报事件台账，力求投诉问题“事事有交待、案案有结果”，回访结果将适时纳入区级营商便利度考核。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（二）问责追责</w:t>
      </w:r>
      <w:r>
        <w:rPr>
          <w:rFonts w:hint="eastAsia" w:eastAsia="方正仿宋_GBK" w:cs="方正仿宋_GBK"/>
          <w:sz w:val="32"/>
          <w:szCs w:val="32"/>
          <w:lang w:val="en-US" w:eastAsia="zh-CN"/>
        </w:rPr>
        <w:t>。对办理不及时、效果不明显的，由区营商办挂牌督办；情节严重的，区纪委监委对责任单位或者责任人给予警示约谈、通报批评处理；涉嫌违纪、违法、犯罪的，依法移送有关机关处理。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（三）季度通报</w:t>
      </w:r>
      <w:r>
        <w:rPr>
          <w:rFonts w:hint="eastAsia" w:eastAsia="方正仿宋_GBK" w:cs="方正仿宋_GBK"/>
          <w:sz w:val="32"/>
          <w:szCs w:val="32"/>
          <w:lang w:val="en-US" w:eastAsia="zh-CN"/>
        </w:rPr>
        <w:t>。区营商办建立营商环境季通报制度，对投诉举报案件办理情况进行梳理，分析问题产生原因、提出改进措施，将分析报告呈送区委、区政府，同时对本行政区域内损害营商环境的典型案例进行通报。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附件：1. 涪陵区营商环境投诉举报申请表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eastAsia="方正仿宋_GBK" w:cs="方正仿宋_GBK"/>
          <w:sz w:val="32"/>
          <w:szCs w:val="32"/>
          <w:lang w:val="en-US" w:eastAsia="zh-CN"/>
        </w:rPr>
      </w:pPr>
      <w:r>
        <w:rPr>
          <w:rFonts w:hint="eastAsia" w:ascii="Times New Roman" w:hAnsi="Times New Roman" w:eastAsia="方正仿宋_GBK" w:cs="方正仿宋_GBK"/>
          <w:kern w:val="2"/>
          <w:sz w:val="32"/>
          <w:szCs w:val="32"/>
          <w:lang w:val="en-US" w:eastAsia="zh-CN" w:bidi="ar-SA"/>
        </w:rPr>
        <w:t>2.</w:t>
      </w:r>
      <w:r>
        <w:rPr>
          <w:rFonts w:hint="eastAsia" w:eastAsia="方正仿宋_GBK" w:cs="方正仿宋_GBK"/>
          <w:sz w:val="32"/>
          <w:szCs w:val="32"/>
          <w:lang w:val="en-US" w:eastAsia="zh-CN"/>
        </w:rPr>
        <w:t xml:space="preserve"> 涪陵区营商环境投诉举报处理台账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重庆市涪陵区发展和改革委员会</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2024年9月</w:t>
      </w:r>
      <w:r>
        <w:rPr>
          <w:rFonts w:hint="eastAsia" w:cs="方正仿宋_GBK"/>
          <w:sz w:val="32"/>
          <w:szCs w:val="32"/>
          <w:lang w:val="en-US" w:eastAsia="zh-CN"/>
        </w:rPr>
        <w:t>11</w:t>
      </w:r>
      <w:r>
        <w:rPr>
          <w:rFonts w:hint="eastAsia" w:eastAsia="方正仿宋_GBK" w:cs="方正仿宋_GBK"/>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方正仿宋_GBK"/>
          <w:sz w:val="32"/>
          <w:szCs w:val="32"/>
          <w:lang w:val="en-US" w:eastAsia="zh-CN"/>
        </w:rPr>
      </w:pPr>
      <w:r>
        <w:rPr>
          <w:rFonts w:hint="eastAsia"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涪陵区营商环境投诉举报申请表</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2844"/>
        <w:gridCol w:w="1531"/>
        <w:gridCol w:w="3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3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举报（申诉）者</w:t>
            </w:r>
          </w:p>
        </w:tc>
        <w:tc>
          <w:tcPr>
            <w:tcW w:w="453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被举报（申诉）者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姓名</w:t>
            </w:r>
          </w:p>
        </w:tc>
        <w:tc>
          <w:tcPr>
            <w:tcW w:w="2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姓名</w:t>
            </w:r>
          </w:p>
        </w:tc>
        <w:tc>
          <w:tcPr>
            <w:tcW w:w="30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单位</w:t>
            </w:r>
          </w:p>
        </w:tc>
        <w:tc>
          <w:tcPr>
            <w:tcW w:w="2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单位</w:t>
            </w:r>
          </w:p>
        </w:tc>
        <w:tc>
          <w:tcPr>
            <w:tcW w:w="30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联系电话</w:t>
            </w:r>
          </w:p>
        </w:tc>
        <w:tc>
          <w:tcPr>
            <w:tcW w:w="2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联系电话</w:t>
            </w:r>
          </w:p>
        </w:tc>
        <w:tc>
          <w:tcPr>
            <w:tcW w:w="30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1" w:hRule="atLeast"/>
        </w:trPr>
        <w:tc>
          <w:tcPr>
            <w:tcW w:w="9061" w:type="dxa"/>
            <w:gridSpan w:val="4"/>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举报（申诉）内容（包括申诉的请求、理由和事实经过、相关证据）：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日期：xx年xx月xx日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sectPr>
          <w:footerReference r:id="rId3" w:type="default"/>
          <w:pgSz w:w="11907" w:h="16840"/>
          <w:pgMar w:top="2098" w:right="1474" w:bottom="1985"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涪陵区营商环境投诉举报处理台账</w:t>
      </w:r>
    </w:p>
    <w:tbl>
      <w:tblPr>
        <w:tblStyle w:val="9"/>
        <w:tblW w:w="140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626"/>
        <w:gridCol w:w="1537"/>
        <w:gridCol w:w="1482"/>
        <w:gridCol w:w="3330"/>
        <w:gridCol w:w="3866"/>
        <w:gridCol w:w="14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62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受理时间</w:t>
            </w:r>
          </w:p>
        </w:tc>
        <w:tc>
          <w:tcPr>
            <w:tcW w:w="15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投诉单位或投诉人</w:t>
            </w:r>
          </w:p>
        </w:tc>
        <w:tc>
          <w:tcPr>
            <w:tcW w:w="14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承办单位</w:t>
            </w:r>
          </w:p>
        </w:tc>
        <w:tc>
          <w:tcPr>
            <w:tcW w:w="33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投诉内容</w:t>
            </w:r>
          </w:p>
        </w:tc>
        <w:tc>
          <w:tcPr>
            <w:tcW w:w="38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办理情况</w:t>
            </w:r>
          </w:p>
        </w:tc>
        <w:tc>
          <w:tcPr>
            <w:tcW w:w="146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办理结果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62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5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3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8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6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62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5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3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8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6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62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5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3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8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6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62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5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3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8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6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62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5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3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38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c>
          <w:tcPr>
            <w:tcW w:w="146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_GBK" w:hAnsi="方正小标宋_GBK" w:eastAsia="方正小标宋_GBK" w:cs="方正小标宋_GBK"/>
                <w:sz w:val="21"/>
                <w:szCs w:val="21"/>
                <w:vertAlign w:val="baseline"/>
                <w:lang w:val="en-US" w:eastAsia="zh-CN"/>
              </w:rPr>
            </w:pPr>
          </w:p>
        </w:tc>
      </w:tr>
    </w:tbl>
    <w:p>
      <w:pPr>
        <w:spacing w:line="500" w:lineRule="exact"/>
        <w:ind w:right="320" w:rightChars="100"/>
      </w:pPr>
    </w:p>
    <w:sectPr>
      <w:footerReference r:id="rId4" w:type="default"/>
      <w:pgSz w:w="16840" w:h="11907" w:orient="landscape"/>
      <w:pgMar w:top="1588" w:right="2098" w:bottom="1474" w:left="1985" w:header="851" w:footer="992" w:gutter="0"/>
      <w:pgNumType w:fmt="decimal"/>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40" w:lineRule="auto"/>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t xml:space="preserve">— </w:t>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  \* MERGEFORMAT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1</w:t>
                          </w:r>
                          <w:r>
                            <w:rPr>
                              <w:rFonts w:ascii="Times New Roman" w:hAnsi="Times New Roman" w:eastAsia="宋体" w:cs="Times New Roman"/>
                              <w:kern w:val="2"/>
                              <w:sz w:val="32"/>
                              <w:szCs w:val="32"/>
                              <w:lang w:val="en-US" w:eastAsia="zh-CN" w:bidi="ar-SA"/>
                            </w:rPr>
                            <w:fldChar w:fldCharType="end"/>
                          </w:r>
                          <w:r>
                            <w:rPr>
                              <w:rFonts w:ascii="Times New Roman" w:hAnsi="Times New Roman" w:eastAsia="宋体" w:cs="Times New Roman"/>
                              <w:kern w:val="2"/>
                              <w:sz w:val="32"/>
                              <w:szCs w:val="32"/>
                              <w:lang w:val="en-US" w:eastAsia="zh-CN" w:bidi="ar-SA"/>
                            </w:rPr>
                            <w:t xml:space="preserve"> </w:t>
                          </w:r>
                          <w:r>
                            <w:rPr>
                              <w:rFonts w:ascii="Times New Roman" w:hAnsi="Times New Roman" w:eastAsia="宋体" w:cs="Times New Roman"/>
                              <w:kern w:val="2"/>
                              <w:sz w:val="18"/>
                              <w:lang w:val="en-US" w:eastAsia="zh-CN" w:bidi="ar-SA"/>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widowControl w:val="0"/>
                      <w:snapToGrid w:val="0"/>
                      <w:spacing w:line="240" w:lineRule="auto"/>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t xml:space="preserve">— </w:t>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  \* MERGEFORMAT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1</w:t>
                    </w:r>
                    <w:r>
                      <w:rPr>
                        <w:rFonts w:ascii="Times New Roman" w:hAnsi="Times New Roman" w:eastAsia="宋体" w:cs="Times New Roman"/>
                        <w:kern w:val="2"/>
                        <w:sz w:val="32"/>
                        <w:szCs w:val="32"/>
                        <w:lang w:val="en-US" w:eastAsia="zh-CN" w:bidi="ar-SA"/>
                      </w:rPr>
                      <w:fldChar w:fldCharType="end"/>
                    </w:r>
                    <w:r>
                      <w:rPr>
                        <w:rFonts w:ascii="Times New Roman" w:hAnsi="Times New Roman" w:eastAsia="宋体" w:cs="Times New Roman"/>
                        <w:kern w:val="2"/>
                        <w:sz w:val="32"/>
                        <w:szCs w:val="32"/>
                        <w:lang w:val="en-US" w:eastAsia="zh-CN" w:bidi="ar-SA"/>
                      </w:rPr>
                      <w:t xml:space="preserve"> </w:t>
                    </w:r>
                    <w:r>
                      <w:rPr>
                        <w:rFonts w:ascii="Times New Roman" w:hAnsi="Times New Roman" w:eastAsia="宋体" w:cs="Times New Roman"/>
                        <w:kern w:val="2"/>
                        <w:sz w:val="18"/>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14300" cy="131445"/>
              <wp:effectExtent l="0" t="0" r="0" b="0"/>
              <wp:wrapNone/>
              <wp:docPr id="1" name="矩形 1"/>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0.35pt;width:9pt;mso-position-horizontal:outside;mso-position-horizontal-relative:margin;mso-wrap-style:none;z-index:251659264;mso-width-relative:page;mso-height-relative:page;" filled="f" stroked="f" coordsize="21600,21600" o:gfxdata="UEsFBgAAAAAAAAAAAAAAAAAAAAAAAFBLAwQKAAAAAACHTuJAAAAAAAAAAAAAAAAABAAAAGRycy9Q&#10;SwMEFAAAAAgAh07iQBdFJcnVAAAAAwEAAA8AAABkcnMvZG93bnJldi54bWxNj8FOwzAQRO9I/IO1&#10;SFwqajcHqEI2PYAACcGBUCFxc+NtHDVeh9hNCl+P2wtcRhrNauZtsTq4Tow0hNYzwmKuQBDX3rTc&#10;IKzfH66WIELUbHTnmRC+KcCqPD8rdG78xG80VrERqYRDrhFsjH0uZagtOR3mvidO2dYPTsdkh0aa&#10;QU+p3HUyU+paOt1yWrC6pztL9a7aO4SX+8fPj5l9Vtnrz2zrp2o9fj3tEC8vFuoWRKRD/DuGI35C&#10;hzIxbfyeTRAdQnoknvSYLZPbIGTqBmRZyP/s5S9QSwMEFAAAAAgAh07iQKP2XZbmAQAAqwMAAA4A&#10;AABkcnMvZTJvRG9jLnhtbK1TS44TMRDdI3EHy3vS6QkZQWs6I0Q0CAnBSAMHqLjttCX/5HLSHS6D&#10;xI5DcBzENabszmcEO8TGXWWXn+u9en1zO1rD9jKi9q7l9WzOmXTCd9ptW/7l892LV5xhAteB8U62&#10;/CCR366eP7sZQiOvfO9NJyMjEIfNEFrepxSaqkLRSws480E6OlQ+WkiUxm3VRRgI3Zrqaj6/rgYf&#10;uxC9kIi0u54O+argKyVF+qQUysRMy6m3VNZY1k1eq9UNNNsIodfi2Ab8QxcWtKNHz1BrSMB2Uf8F&#10;ZbWIHr1KM+Ft5ZXSQhYOxKae/8HmoYcgCxcSB8NZJvx/sOLj/j4y3dHsOHNgaUS/v/349fM7q7M2&#10;Q8CGSh7CfTxmSGEmOqpo85cosLHoeTjrKcfEBG3W9cvFnFQXdFQv6uXydcasLpdDxPROesty0PJI&#10;4yoqwv4Dpqn0VJLfcv5OG0P70BjHhpZfL5YZHsg4ykCi0Aaigm5bYJ7UZ5g1YM/2QE5Ab3Q3zT76&#10;neump4yj5jLjiWOO0rgZ6TCHG98dSCryOnXa+/iVs4F803JHxubMvHc0lmyxUxBPweYUgBN0seXU&#10;6BS+TZQpMEgAuxD1tifsKc8kMbzZJeJcpLj0cOySHFHEPLo3W+5pXqou/9jq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dFJcnVAAAAAwEAAA8AAAAAAAAAAQAgAAAAOAAAAGRycy9kb3ducmV2Lnht&#10;bFBLAQIUABQAAAAIAIdO4kCj9l2W5gEAAKsDAAAOAAAAAAAAAAEAIAAAADoBAABkcnMvZTJvRG9j&#10;LnhtbFBLBQYAAAAABgAGAFkBAACSBQAAAAA=&#10;">
              <v:fill on="f" focussize="0,0"/>
              <v:stroke on="f" weight="0.5pt" joinstyle="round"/>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96DF9"/>
    <w:multiLevelType w:val="singleLevel"/>
    <w:tmpl w:val="BD096DF9"/>
    <w:lvl w:ilvl="0" w:tentative="0">
      <w:start w:val="1"/>
      <w:numFmt w:val="decimal"/>
      <w:suff w:val="space"/>
      <w:lvlText w:val="%1."/>
      <w:lvlJc w:val="left"/>
      <w:pPr>
        <w:ind w:left="425" w:hanging="425"/>
      </w:pPr>
      <w:rPr>
        <w:rFonts w:hint="default"/>
      </w:rPr>
    </w:lvl>
  </w:abstractNum>
  <w:abstractNum w:abstractNumId="1">
    <w:nsid w:val="CBA8B6C1"/>
    <w:multiLevelType w:val="singleLevel"/>
    <w:tmpl w:val="CBA8B6C1"/>
    <w:lvl w:ilvl="0" w:tentative="0">
      <w:start w:val="1"/>
      <w:numFmt w:val="decimal"/>
      <w:suff w:val="space"/>
      <w:lvlText w:val="%1."/>
      <w:lvlJc w:val="left"/>
      <w:pPr>
        <w:ind w:left="425" w:hanging="425"/>
      </w:pPr>
      <w:rPr>
        <w:rFonts w:hint="default" w:ascii="Times New Roman" w:hAnsi="Times New Roman" w:cs="Times New Roman"/>
      </w:rPr>
    </w:lvl>
  </w:abstractNum>
  <w:abstractNum w:abstractNumId="2">
    <w:nsid w:val="4EB3882E"/>
    <w:multiLevelType w:val="singleLevel"/>
    <w:tmpl w:val="4EB3882E"/>
    <w:lvl w:ilvl="0" w:tentative="0">
      <w:start w:val="1"/>
      <w:numFmt w:val="decimal"/>
      <w:suff w:val="space"/>
      <w:lvlText w:val="%1."/>
      <w:lvlJc w:val="left"/>
      <w:pPr>
        <w:ind w:left="425" w:hanging="425"/>
      </w:pPr>
      <w:rPr>
        <w:rFonts w:hint="default"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zMxNjcyYzA3Yjc3NzM3NGYyNDRiMzVlOTdiYTRiZTgifQ=="/>
  </w:docVars>
  <w:rsids>
    <w:rsidRoot w:val="00000000"/>
    <w:rsid w:val="38E62ABD"/>
    <w:rsid w:val="4792415F"/>
    <w:rsid w:val="4FEF8127"/>
    <w:rsid w:val="6FD93890"/>
    <w:rsid w:val="79C7D532"/>
    <w:rsid w:val="7BF404C5"/>
    <w:rsid w:val="7D2C2438"/>
    <w:rsid w:val="F77FFE7A"/>
    <w:rsid w:val="FB9DEB55"/>
    <w:rsid w:val="FBF879B1"/>
    <w:rsid w:val="FDABC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color w:val="000000"/>
      <w:kern w:val="2"/>
      <w:sz w:val="32"/>
      <w:szCs w:val="32"/>
      <w:lang w:val="en-US" w:eastAsia="zh-CN" w:bidi="ar-SA"/>
    </w:rPr>
  </w:style>
  <w:style w:type="paragraph" w:styleId="2">
    <w:name w:val="heading 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hAnsi="Times New Roman" w:eastAsia="宋体" w:cs="Times New Roman"/>
      <w:b/>
      <w:snapToGrid/>
      <w:color w:val="auto"/>
      <w:spacing w:val="0"/>
      <w:w w:val="100"/>
      <w:kern w:val="36"/>
      <w:position w:val="0"/>
      <w:sz w:val="48"/>
      <w:szCs w:val="21"/>
      <w:u w:val="none" w:color="auto"/>
      <w:vertAlign w:val="baseline"/>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before="0" w:beforeAutospacing="0" w:after="0" w:afterAutospacing="0" w:line="240" w:lineRule="auto"/>
      <w:ind w:left="0" w:firstLine="0"/>
      <w:jc w:val="both"/>
    </w:pPr>
    <w:rPr>
      <w:rFonts w:ascii="Calibri" w:hAnsi="Calibri" w:eastAsia="仿宋_GB2312" w:cs="Times New Roman"/>
      <w:kern w:val="2"/>
      <w:sz w:val="21"/>
      <w:szCs w:val="21"/>
      <w:lang w:val="en-US"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7"/>
    <w:basedOn w:val="1"/>
    <w:next w:val="1"/>
    <w:qFormat/>
    <w:uiPriority w:val="0"/>
    <w:pPr>
      <w:ind w:left="1200" w:leftChars="1200"/>
    </w:pPr>
  </w:style>
  <w:style w:type="paragraph" w:styleId="7">
    <w:name w:val="Normal (Web)"/>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4"/>
      <w:szCs w:val="21"/>
      <w:u w:val="none" w:color="auto"/>
      <w:shd w:val="clear" w:color="auto" w:fill="auto"/>
      <w:vertAlign w:val="baseline"/>
      <w:lang w:val="en-US" w:eastAsia="zh-CN" w:bidi="ar-SA"/>
    </w:rPr>
  </w:style>
  <w:style w:type="table" w:styleId="9">
    <w:name w:val="Table Grid"/>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 Char Char Char1 Char Char Char Char Char Char Char Char Char Char"/>
    <w:basedOn w:val="1"/>
    <w:qFormat/>
    <w:uiPriority w:val="0"/>
    <w:pPr>
      <w:adjustRightInd w:val="0"/>
      <w:snapToGrid w:val="0"/>
      <w:spacing w:line="360" w:lineRule="auto"/>
      <w:ind w:firstLine="200" w:firstLineChars="200"/>
    </w:pPr>
    <w:rPr>
      <w:rFonts w:ascii="宋体" w:eastAsia="宋体" w:cs="宋体"/>
      <w:color w:val="auto"/>
      <w:sz w:val="24"/>
      <w:szCs w:val="26"/>
    </w:rPr>
  </w:style>
  <w:style w:type="paragraph" w:customStyle="1" w:styleId="14">
    <w:name w:val="默认"/>
    <w:basedOn w:val="1"/>
    <w:next w:val="6"/>
    <w:qFormat/>
    <w:uiPriority w:val="0"/>
    <w:pPr>
      <w:keepNext w:val="0"/>
      <w:keepLines w:val="0"/>
      <w:widowControl/>
      <w:suppressLineNumbers w:val="0"/>
      <w:spacing w:before="0" w:beforeAutospacing="0" w:after="0" w:afterAutospacing="0" w:line="240" w:lineRule="auto"/>
      <w:ind w:left="0" w:firstLine="0"/>
      <w:jc w:val="left"/>
    </w:pPr>
    <w:rPr>
      <w:rFonts w:ascii="Helvetica" w:hAnsi="Helvetica" w:eastAsia="宋体" w:cs="Times New Roman"/>
      <w:kern w:val="0"/>
      <w:sz w:val="22"/>
      <w:szCs w:val="2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2781</Words>
  <Characters>2830</Characters>
  <Lines>1848</Lines>
  <Paragraphs>544</Paragraphs>
  <TotalTime>12</TotalTime>
  <ScaleCrop>false</ScaleCrop>
  <LinksUpToDate>false</LinksUpToDate>
  <CharactersWithSpaces>2846</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2023-07-15T09:42:00Z</dcterms:created>
  <dc:creator>Administrator</dc:creator>
  <cp:lastModifiedBy>user</cp:lastModifiedBy>
  <cp:lastPrinted>2023-11-04T14:28:00Z</cp:lastPrinted>
  <dcterms:modified xsi:type="dcterms:W3CDTF">2024-09-20T18:40:39Z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2586B22652C84A80A3CD4E30AD595665_13</vt:lpwstr>
  </property>
</Properties>
</file>