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jc w:val="center"/>
        <w:rPr>
          <w:rFonts w:hint="eastAsia" w:ascii="微软雅黑" w:hAnsi="微软雅黑" w:eastAsia="微软雅黑" w:cs="微软雅黑"/>
          <w:b/>
          <w:bCs/>
          <w:w w:val="95"/>
          <w:kern w:val="44"/>
          <w:sz w:val="32"/>
          <w:szCs w:val="32"/>
        </w:rPr>
      </w:pPr>
      <w:r>
        <w:rPr>
          <w:rFonts w:hint="eastAsia" w:ascii="微软雅黑" w:hAnsi="微软雅黑" w:eastAsia="微软雅黑" w:cs="微软雅黑"/>
          <w:b/>
          <w:bCs/>
          <w:w w:val="95"/>
          <w:kern w:val="44"/>
          <w:sz w:val="32"/>
          <w:szCs w:val="32"/>
        </w:rPr>
        <w:t>重庆市涪陵区国有资产监督管理委员会</w:t>
      </w:r>
    </w:p>
    <w:p>
      <w:pPr>
        <w:snapToGrid w:val="0"/>
        <w:spacing w:line="240" w:lineRule="auto"/>
        <w:jc w:val="center"/>
        <w:rPr>
          <w:rFonts w:hint="eastAsia" w:ascii="微软雅黑" w:hAnsi="微软雅黑" w:eastAsia="微软雅黑" w:cs="微软雅黑"/>
          <w:b/>
          <w:bCs/>
          <w:w w:val="95"/>
          <w:kern w:val="44"/>
          <w:sz w:val="32"/>
          <w:szCs w:val="32"/>
          <w:lang w:val="en-US" w:eastAsia="zh-CN"/>
        </w:rPr>
      </w:pPr>
      <w:r>
        <w:rPr>
          <w:rFonts w:hint="eastAsia" w:ascii="微软雅黑" w:hAnsi="微软雅黑" w:eastAsia="微软雅黑" w:cs="微软雅黑"/>
          <w:b/>
          <w:bCs/>
          <w:w w:val="95"/>
          <w:kern w:val="44"/>
          <w:sz w:val="32"/>
          <w:szCs w:val="32"/>
          <w:lang w:val="en-US" w:eastAsia="zh-CN"/>
        </w:rPr>
        <w:t>2024年政府信息公开工作年度报告</w:t>
      </w:r>
    </w:p>
    <w:p>
      <w:pPr>
        <w:numPr>
          <w:ilvl w:val="0"/>
          <w:numId w:val="0"/>
        </w:numPr>
        <w:spacing w:line="600" w:lineRule="exact"/>
        <w:ind w:firstLine="480" w:firstLineChars="200"/>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kern w:val="2"/>
          <w:sz w:val="24"/>
          <w:szCs w:val="24"/>
          <w:lang w:val="en-US" w:eastAsia="zh-CN" w:bidi="ar-SA"/>
        </w:rPr>
        <w:t>一、</w:t>
      </w:r>
      <w:r>
        <w:rPr>
          <w:rFonts w:hint="eastAsia" w:ascii="微软雅黑" w:hAnsi="微软雅黑" w:eastAsia="微软雅黑" w:cs="微软雅黑"/>
          <w:b/>
          <w:bCs/>
          <w:color w:val="000000"/>
          <w:sz w:val="24"/>
          <w:szCs w:val="24"/>
        </w:rPr>
        <w:t>总体情况</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微软雅黑" w:hAnsi="微软雅黑" w:eastAsia="微软雅黑" w:cs="微软雅黑"/>
          <w:bCs/>
          <w:w w:val="100"/>
          <w:kern w:val="2"/>
          <w:sz w:val="24"/>
          <w:szCs w:val="24"/>
          <w:lang w:eastAsia="zh-CN" w:bidi="ar-SA"/>
        </w:rPr>
      </w:pPr>
      <w:r>
        <w:rPr>
          <w:rFonts w:hint="eastAsia" w:ascii="微软雅黑" w:hAnsi="微软雅黑" w:eastAsia="微软雅黑" w:cs="微软雅黑"/>
          <w:bCs/>
          <w:w w:val="100"/>
          <w:kern w:val="2"/>
          <w:sz w:val="24"/>
          <w:szCs w:val="24"/>
          <w:lang w:bidi="ar-SA"/>
        </w:rPr>
        <w:t>（一）主动公开情况。</w:t>
      </w:r>
      <w:r>
        <w:rPr>
          <w:rFonts w:hint="eastAsia" w:ascii="微软雅黑" w:hAnsi="微软雅黑" w:eastAsia="微软雅黑" w:cs="微软雅黑"/>
          <w:bCs/>
          <w:w w:val="100"/>
          <w:kern w:val="2"/>
          <w:sz w:val="24"/>
          <w:szCs w:val="24"/>
          <w:lang w:val="en-US" w:eastAsia="zh-CN" w:bidi="ar-SA"/>
        </w:rPr>
        <w:t>我</w:t>
      </w:r>
      <w:r>
        <w:rPr>
          <w:rFonts w:hint="eastAsia" w:ascii="微软雅黑" w:hAnsi="微软雅黑" w:eastAsia="微软雅黑" w:cs="微软雅黑"/>
          <w:bCs/>
          <w:w w:val="100"/>
          <w:kern w:val="2"/>
          <w:sz w:val="24"/>
          <w:szCs w:val="24"/>
          <w:lang w:bidi="ar-SA"/>
        </w:rPr>
        <w:t>委坚持以“公开为常态、不公开为例外”</w:t>
      </w:r>
      <w:r>
        <w:rPr>
          <w:rFonts w:hint="eastAsia" w:ascii="微软雅黑" w:hAnsi="微软雅黑" w:eastAsia="微软雅黑" w:cs="微软雅黑"/>
          <w:bCs/>
          <w:w w:val="100"/>
          <w:kern w:val="2"/>
          <w:sz w:val="24"/>
          <w:szCs w:val="24"/>
          <w:lang w:eastAsia="zh-CN" w:bidi="ar-SA"/>
        </w:rPr>
        <w:t>，</w:t>
      </w:r>
      <w:r>
        <w:rPr>
          <w:rFonts w:hint="eastAsia" w:ascii="微软雅黑" w:hAnsi="微软雅黑" w:eastAsia="微软雅黑" w:cs="微软雅黑"/>
          <w:bCs/>
          <w:w w:val="100"/>
          <w:kern w:val="2"/>
          <w:sz w:val="24"/>
          <w:szCs w:val="24"/>
          <w:lang w:bidi="ar-SA"/>
        </w:rPr>
        <w:t>进一步明确政府信息公开的内容，及时充实更新政务信息</w:t>
      </w:r>
      <w:r>
        <w:rPr>
          <w:rFonts w:hint="eastAsia" w:ascii="微软雅黑" w:hAnsi="微软雅黑" w:eastAsia="微软雅黑" w:cs="微软雅黑"/>
          <w:bCs/>
          <w:w w:val="100"/>
          <w:kern w:val="2"/>
          <w:sz w:val="24"/>
          <w:szCs w:val="24"/>
          <w:lang w:eastAsia="zh-CN" w:bidi="ar-SA"/>
        </w:rPr>
        <w:t>，</w:t>
      </w:r>
      <w:r>
        <w:rPr>
          <w:rFonts w:hint="eastAsia" w:ascii="微软雅黑" w:hAnsi="微软雅黑" w:eastAsia="微软雅黑" w:cs="微软雅黑"/>
          <w:bCs/>
          <w:w w:val="100"/>
          <w:kern w:val="2"/>
          <w:sz w:val="24"/>
          <w:szCs w:val="24"/>
          <w:lang w:bidi="ar-SA"/>
        </w:rPr>
        <w:t>以主动公开促进依法行政和政策落地见效，充分保障企业和群众的知情权。2024年</w:t>
      </w:r>
      <w:r>
        <w:rPr>
          <w:rFonts w:hint="eastAsia" w:ascii="微软雅黑" w:hAnsi="微软雅黑" w:eastAsia="微软雅黑" w:cs="微软雅黑"/>
          <w:bCs/>
          <w:w w:val="100"/>
          <w:kern w:val="2"/>
          <w:sz w:val="24"/>
          <w:szCs w:val="24"/>
          <w:lang w:eastAsia="zh-CN" w:bidi="ar-SA"/>
        </w:rPr>
        <w:t>，</w:t>
      </w:r>
      <w:r>
        <w:rPr>
          <w:rFonts w:hint="eastAsia" w:ascii="微软雅黑" w:hAnsi="微软雅黑" w:eastAsia="微软雅黑" w:cs="微软雅黑"/>
          <w:bCs/>
          <w:w w:val="100"/>
          <w:kern w:val="2"/>
          <w:sz w:val="24"/>
          <w:szCs w:val="24"/>
          <w:lang w:val="en-US" w:eastAsia="zh-CN" w:bidi="ar-SA"/>
        </w:rPr>
        <w:t>区国资委</w:t>
      </w:r>
      <w:r>
        <w:rPr>
          <w:rFonts w:hint="eastAsia" w:ascii="微软雅黑" w:hAnsi="微软雅黑" w:eastAsia="微软雅黑" w:cs="微软雅黑"/>
          <w:bCs/>
          <w:w w:val="100"/>
          <w:kern w:val="2"/>
          <w:sz w:val="24"/>
          <w:szCs w:val="24"/>
          <w:lang w:bidi="ar-SA"/>
        </w:rPr>
        <w:t>共发布信息</w:t>
      </w:r>
      <w:r>
        <w:rPr>
          <w:rFonts w:hint="eastAsia" w:ascii="微软雅黑" w:hAnsi="微软雅黑" w:eastAsia="微软雅黑" w:cs="微软雅黑"/>
          <w:bCs/>
          <w:w w:val="100"/>
          <w:kern w:val="2"/>
          <w:sz w:val="24"/>
          <w:szCs w:val="24"/>
          <w:lang w:val="en-US" w:eastAsia="zh-CN" w:bidi="ar-SA"/>
        </w:rPr>
        <w:t>9</w:t>
      </w:r>
      <w:r>
        <w:rPr>
          <w:rFonts w:hint="eastAsia" w:ascii="微软雅黑" w:hAnsi="微软雅黑" w:eastAsia="微软雅黑" w:cs="微软雅黑"/>
          <w:bCs/>
          <w:w w:val="100"/>
          <w:kern w:val="2"/>
          <w:sz w:val="24"/>
          <w:szCs w:val="24"/>
          <w:lang w:bidi="ar-SA"/>
        </w:rPr>
        <w:t>条</w:t>
      </w:r>
      <w:r>
        <w:rPr>
          <w:rFonts w:hint="eastAsia" w:ascii="微软雅黑" w:hAnsi="微软雅黑" w:eastAsia="微软雅黑" w:cs="微软雅黑"/>
          <w:bCs/>
          <w:w w:val="100"/>
          <w:kern w:val="2"/>
          <w:sz w:val="24"/>
          <w:szCs w:val="24"/>
          <w:lang w:eastAsia="zh-CN" w:bidi="ar-SA"/>
        </w:rPr>
        <w:t>，内容涵盖了机构设置、职能职责、工作动态、财政预决算等多个方面。</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微软雅黑" w:hAnsi="微软雅黑" w:eastAsia="微软雅黑" w:cs="微软雅黑"/>
          <w:bCs/>
          <w:w w:val="100"/>
          <w:sz w:val="24"/>
          <w:szCs w:val="24"/>
        </w:rPr>
      </w:pPr>
      <w:r>
        <w:rPr>
          <w:rFonts w:hint="eastAsia" w:ascii="微软雅黑" w:hAnsi="微软雅黑" w:eastAsia="微软雅黑" w:cs="微软雅黑"/>
          <w:bCs/>
          <w:w w:val="100"/>
          <w:sz w:val="24"/>
          <w:szCs w:val="24"/>
        </w:rPr>
        <w:t>（二）依申请公开情况。本年度我委未接收到政府信息公开申请。</w:t>
      </w:r>
    </w:p>
    <w:p>
      <w:pPr>
        <w:keepNext w:val="0"/>
        <w:keepLines w:val="0"/>
        <w:pageBreakBefore w:val="0"/>
        <w:widowControl/>
        <w:kinsoku/>
        <w:wordWrap/>
        <w:overflowPunct/>
        <w:topLinePunct w:val="0"/>
        <w:autoSpaceDE/>
        <w:autoSpaceDN/>
        <w:bidi w:val="0"/>
        <w:adjustRightInd/>
        <w:spacing w:line="520" w:lineRule="exact"/>
        <w:ind w:firstLine="480" w:firstLineChars="200"/>
        <w:jc w:val="left"/>
        <w:textAlignment w:val="auto"/>
        <w:rPr>
          <w:rFonts w:hint="eastAsia" w:ascii="微软雅黑" w:hAnsi="微软雅黑" w:eastAsia="微软雅黑" w:cs="微软雅黑"/>
          <w:b/>
          <w:bCs w:val="0"/>
          <w:w w:val="100"/>
          <w:kern w:val="2"/>
          <w:sz w:val="24"/>
          <w:szCs w:val="24"/>
          <w:lang w:eastAsia="zh-CN" w:bidi="ar-SA"/>
        </w:rPr>
      </w:pPr>
      <w:r>
        <w:rPr>
          <w:rFonts w:hint="eastAsia" w:ascii="微软雅黑" w:hAnsi="微软雅黑" w:eastAsia="微软雅黑" w:cs="微软雅黑"/>
          <w:bCs/>
          <w:w w:val="100"/>
          <w:sz w:val="24"/>
          <w:szCs w:val="24"/>
        </w:rPr>
        <w:t>（三）政府信息管理情况。及时调整政府信息公开工作领导小组，</w:t>
      </w:r>
      <w:r>
        <w:rPr>
          <w:rFonts w:hint="eastAsia" w:ascii="微软雅黑" w:hAnsi="微软雅黑" w:eastAsia="微软雅黑" w:cs="微软雅黑"/>
          <w:bCs/>
          <w:w w:val="100"/>
          <w:kern w:val="2"/>
          <w:sz w:val="24"/>
          <w:szCs w:val="24"/>
          <w:lang w:bidi="ar-SA"/>
        </w:rPr>
        <w:t>确定机关办公室为政务公开日常管理的负责部门，进一步优化政务公开工作的领导架构。</w:t>
      </w:r>
      <w:r>
        <w:rPr>
          <w:rFonts w:hint="eastAsia" w:ascii="微软雅黑" w:hAnsi="微软雅黑" w:eastAsia="微软雅黑" w:cs="微软雅黑"/>
          <w:bCs/>
          <w:w w:val="100"/>
          <w:kern w:val="2"/>
          <w:sz w:val="24"/>
          <w:szCs w:val="24"/>
          <w:lang w:eastAsia="zh-CN" w:bidi="ar-SA"/>
        </w:rPr>
        <w:t>紧扣国企改革发展和国资监管重点</w:t>
      </w:r>
      <w:r>
        <w:rPr>
          <w:rFonts w:hint="eastAsia" w:ascii="微软雅黑" w:hAnsi="微软雅黑" w:eastAsia="微软雅黑" w:cs="微软雅黑"/>
          <w:bCs/>
          <w:w w:val="100"/>
          <w:kern w:val="2"/>
          <w:sz w:val="24"/>
          <w:szCs w:val="24"/>
          <w:lang w:val="en-US" w:eastAsia="zh-CN" w:bidi="ar-SA"/>
        </w:rPr>
        <w:t>工作</w:t>
      </w:r>
      <w:r>
        <w:rPr>
          <w:rFonts w:hint="eastAsia" w:ascii="微软雅黑" w:hAnsi="微软雅黑" w:eastAsia="微软雅黑" w:cs="微软雅黑"/>
          <w:bCs/>
          <w:w w:val="100"/>
          <w:kern w:val="2"/>
          <w:sz w:val="24"/>
          <w:szCs w:val="24"/>
          <w:lang w:eastAsia="zh-CN" w:bidi="ar-SA"/>
        </w:rPr>
        <w:t>，制定《</w:t>
      </w:r>
      <w:r>
        <w:rPr>
          <w:rFonts w:ascii="微软雅黑" w:hAnsi="微软雅黑" w:eastAsia="微软雅黑" w:cs="微软雅黑"/>
          <w:i w:val="0"/>
          <w:caps w:val="0"/>
          <w:color w:val="000000"/>
          <w:spacing w:val="0"/>
          <w:sz w:val="24"/>
          <w:szCs w:val="24"/>
        </w:rPr>
        <w:t>重庆市涪陵区国资委信息主动公开全清单</w:t>
      </w:r>
      <w:r>
        <w:rPr>
          <w:rFonts w:hint="eastAsia" w:ascii="微软雅黑" w:hAnsi="微软雅黑" w:eastAsia="微软雅黑" w:cs="微软雅黑"/>
          <w:bCs/>
          <w:w w:val="100"/>
          <w:kern w:val="2"/>
          <w:sz w:val="24"/>
          <w:szCs w:val="24"/>
          <w:lang w:eastAsia="zh-CN" w:bidi="ar-SA"/>
        </w:rPr>
        <w:t>》，加大政务公开信息资源的规范化、标准化管理力度。严格</w:t>
      </w:r>
      <w:r>
        <w:rPr>
          <w:rFonts w:hint="eastAsia" w:ascii="微软雅黑" w:hAnsi="微软雅黑" w:eastAsia="微软雅黑" w:cs="微软雅黑"/>
          <w:bCs/>
          <w:w w:val="100"/>
          <w:kern w:val="2"/>
          <w:sz w:val="24"/>
          <w:szCs w:val="24"/>
          <w:lang w:val="en-US" w:eastAsia="zh-CN" w:bidi="ar-SA"/>
        </w:rPr>
        <w:t>落实</w:t>
      </w:r>
      <w:r>
        <w:rPr>
          <w:rFonts w:hint="eastAsia" w:ascii="微软雅黑" w:hAnsi="微软雅黑" w:eastAsia="微软雅黑" w:cs="微软雅黑"/>
          <w:bCs/>
          <w:w w:val="100"/>
          <w:kern w:val="2"/>
          <w:sz w:val="24"/>
          <w:szCs w:val="24"/>
          <w:lang w:eastAsia="zh-CN" w:bidi="ar-SA"/>
        </w:rPr>
        <w:t>信息公开“三审三校”，规范主动公开流程，</w:t>
      </w:r>
      <w:r>
        <w:rPr>
          <w:rFonts w:hint="eastAsia" w:ascii="微软雅黑" w:hAnsi="微软雅黑" w:eastAsia="微软雅黑" w:cs="微软雅黑"/>
          <w:bCs/>
          <w:w w:val="100"/>
          <w:kern w:val="2"/>
          <w:sz w:val="24"/>
          <w:szCs w:val="24"/>
          <w:lang w:val="en-US" w:eastAsia="zh-CN" w:bidi="ar-SA"/>
        </w:rPr>
        <w:t>全年</w:t>
      </w:r>
      <w:r>
        <w:rPr>
          <w:rFonts w:hint="eastAsia" w:ascii="微软雅黑" w:hAnsi="微软雅黑" w:eastAsia="微软雅黑" w:cs="微软雅黑"/>
          <w:bCs/>
          <w:w w:val="100"/>
          <w:kern w:val="2"/>
          <w:sz w:val="24"/>
          <w:szCs w:val="24"/>
          <w:lang w:eastAsia="zh-CN" w:bidi="ar-SA"/>
        </w:rPr>
        <w:t>开展</w:t>
      </w:r>
      <w:r>
        <w:rPr>
          <w:rFonts w:hint="eastAsia" w:ascii="微软雅黑" w:hAnsi="微软雅黑" w:eastAsia="微软雅黑" w:cs="微软雅黑"/>
          <w:bCs/>
          <w:w w:val="100"/>
          <w:kern w:val="2"/>
          <w:sz w:val="24"/>
          <w:szCs w:val="24"/>
          <w:lang w:val="en-US" w:eastAsia="zh-CN" w:bidi="ar-SA"/>
        </w:rPr>
        <w:t xml:space="preserve"> 2次在政务新媒体账号</w:t>
      </w:r>
      <w:r>
        <w:rPr>
          <w:rFonts w:hint="eastAsia" w:ascii="微软雅黑" w:hAnsi="微软雅黑" w:eastAsia="微软雅黑" w:cs="微软雅黑"/>
          <w:bCs/>
          <w:w w:val="100"/>
          <w:kern w:val="2"/>
          <w:sz w:val="24"/>
          <w:szCs w:val="24"/>
          <w:lang w:eastAsia="zh-CN" w:bidi="ar-SA"/>
        </w:rPr>
        <w:t>专项排查，严格进行内容审核和保密审查，确保公开信息依法及时、全面、准确和合理。</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微软雅黑" w:hAnsi="微软雅黑" w:eastAsia="微软雅黑" w:cs="微软雅黑"/>
          <w:bCs/>
          <w:w w:val="100"/>
          <w:kern w:val="2"/>
          <w:sz w:val="24"/>
          <w:szCs w:val="24"/>
          <w:lang w:eastAsia="zh-CN" w:bidi="ar-SA"/>
        </w:rPr>
      </w:pPr>
      <w:r>
        <w:rPr>
          <w:rFonts w:hint="eastAsia" w:ascii="微软雅黑" w:hAnsi="微软雅黑" w:eastAsia="微软雅黑" w:cs="微软雅黑"/>
          <w:bCs/>
          <w:w w:val="100"/>
          <w:sz w:val="24"/>
          <w:szCs w:val="24"/>
        </w:rPr>
        <w:t>（四）政府信息公开平台建设情况。</w:t>
      </w:r>
      <w:r>
        <w:rPr>
          <w:rFonts w:hint="eastAsia" w:ascii="微软雅黑" w:hAnsi="微软雅黑" w:eastAsia="微软雅黑" w:cs="微软雅黑"/>
          <w:bCs/>
          <w:w w:val="100"/>
          <w:sz w:val="24"/>
          <w:szCs w:val="24"/>
          <w:lang w:val="en-US" w:eastAsia="zh-CN"/>
        </w:rPr>
        <w:t>一是</w:t>
      </w:r>
      <w:r>
        <w:rPr>
          <w:rFonts w:hint="eastAsia" w:ascii="微软雅黑" w:hAnsi="微软雅黑" w:eastAsia="微软雅黑" w:cs="微软雅黑"/>
          <w:bCs/>
          <w:w w:val="100"/>
          <w:kern w:val="2"/>
          <w:sz w:val="24"/>
          <w:szCs w:val="24"/>
          <w:lang w:val="en-US" w:eastAsia="zh-CN" w:bidi="ar-SA"/>
        </w:rPr>
        <w:t>依托涪陵区人民政府门户网站下的区国资委子网站作为主要的信息公开途径</w:t>
      </w:r>
      <w:r>
        <w:rPr>
          <w:rFonts w:hint="eastAsia" w:ascii="微软雅黑" w:hAnsi="微软雅黑" w:eastAsia="微软雅黑" w:cs="微软雅黑"/>
          <w:bCs/>
          <w:w w:val="100"/>
          <w:kern w:val="2"/>
          <w:sz w:val="24"/>
          <w:szCs w:val="24"/>
          <w:lang w:eastAsia="zh-CN" w:bidi="ar-SA"/>
        </w:rPr>
        <w:t>，</w:t>
      </w:r>
      <w:r>
        <w:rPr>
          <w:rFonts w:hint="eastAsia" w:ascii="微软雅黑" w:hAnsi="微软雅黑" w:eastAsia="微软雅黑" w:cs="微软雅黑"/>
          <w:bCs/>
          <w:w w:val="100"/>
          <w:kern w:val="2"/>
          <w:sz w:val="24"/>
          <w:szCs w:val="24"/>
          <w:lang w:val="en-US" w:eastAsia="zh-CN" w:bidi="ar-SA"/>
        </w:rPr>
        <w:t>指定专人负责日常</w:t>
      </w:r>
      <w:r>
        <w:rPr>
          <w:rFonts w:hint="eastAsia" w:ascii="微软雅黑" w:hAnsi="微软雅黑" w:eastAsia="微软雅黑" w:cs="微软雅黑"/>
          <w:bCs/>
          <w:w w:val="100"/>
          <w:kern w:val="2"/>
          <w:sz w:val="24"/>
          <w:szCs w:val="24"/>
          <w:lang w:eastAsia="zh-CN" w:bidi="ar-SA"/>
        </w:rPr>
        <w:t>管理，对各子栏目强化监管、及时更新，</w:t>
      </w:r>
      <w:r>
        <w:rPr>
          <w:rFonts w:hint="eastAsia" w:ascii="微软雅黑" w:hAnsi="微软雅黑" w:eastAsia="微软雅黑" w:cs="微软雅黑"/>
          <w:bCs/>
          <w:w w:val="100"/>
          <w:kern w:val="2"/>
          <w:sz w:val="24"/>
          <w:szCs w:val="24"/>
          <w:lang w:val="en-US" w:eastAsia="zh-CN" w:bidi="ar-SA"/>
        </w:rPr>
        <w:t>切实</w:t>
      </w:r>
      <w:r>
        <w:rPr>
          <w:rFonts w:hint="eastAsia" w:ascii="微软雅黑" w:hAnsi="微软雅黑" w:eastAsia="微软雅黑" w:cs="微软雅黑"/>
          <w:bCs/>
          <w:w w:val="100"/>
          <w:kern w:val="2"/>
          <w:sz w:val="24"/>
          <w:szCs w:val="24"/>
          <w:lang w:eastAsia="zh-CN" w:bidi="ar-SA"/>
        </w:rPr>
        <w:t>提高平台内容保障水平，推动公开内容进一步聚焦重点政务信息，公开方式更加统一规范。</w:t>
      </w:r>
      <w:r>
        <w:rPr>
          <w:rFonts w:hint="eastAsia" w:ascii="微软雅黑" w:hAnsi="微软雅黑" w:eastAsia="微软雅黑" w:cs="微软雅黑"/>
          <w:bCs/>
          <w:w w:val="100"/>
          <w:kern w:val="2"/>
          <w:sz w:val="24"/>
          <w:szCs w:val="24"/>
          <w:lang w:val="en-US" w:eastAsia="zh-CN" w:bidi="ar-SA"/>
        </w:rPr>
        <w:t>二是</w:t>
      </w:r>
      <w:r>
        <w:rPr>
          <w:rFonts w:hint="eastAsia" w:ascii="微软雅黑" w:hAnsi="微软雅黑" w:eastAsia="微软雅黑" w:cs="微软雅黑"/>
          <w:bCs/>
          <w:w w:val="100"/>
          <w:kern w:val="2"/>
          <w:sz w:val="24"/>
          <w:szCs w:val="24"/>
          <w:lang w:eastAsia="zh-CN" w:bidi="ar-SA"/>
        </w:rPr>
        <w:t>在信息公开的过程中，重视保护个人隐私和商业秘密，对涉及个人隐私和商业秘密的信息进行了严格的审查和处理，确保涉密信息不公开、公开信息不涉密。全年未发生信息错漏或延误情况。</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微软雅黑" w:hAnsi="微软雅黑" w:eastAsia="微软雅黑" w:cs="微软雅黑"/>
          <w:bCs/>
          <w:w w:val="100"/>
          <w:kern w:val="2"/>
          <w:sz w:val="24"/>
          <w:szCs w:val="24"/>
          <w:lang w:val="en-US" w:eastAsia="zh-CN" w:bidi="ar-SA"/>
        </w:rPr>
      </w:pPr>
      <w:r>
        <w:rPr>
          <w:rFonts w:hint="eastAsia" w:ascii="微软雅黑" w:hAnsi="微软雅黑" w:eastAsia="微软雅黑" w:cs="微软雅黑"/>
          <w:bCs/>
          <w:w w:val="100"/>
          <w:kern w:val="2"/>
          <w:sz w:val="24"/>
          <w:szCs w:val="24"/>
          <w:lang w:bidi="ar-SA"/>
        </w:rPr>
        <w:t>（五）监督保障情况。</w:t>
      </w:r>
      <w:r>
        <w:rPr>
          <w:rFonts w:hint="eastAsia" w:ascii="微软雅黑" w:hAnsi="微软雅黑" w:eastAsia="微软雅黑" w:cs="微软雅黑"/>
          <w:bCs/>
          <w:w w:val="100"/>
          <w:kern w:val="2"/>
          <w:sz w:val="24"/>
          <w:szCs w:val="24"/>
          <w:lang w:eastAsia="zh-CN" w:bidi="ar-SA"/>
        </w:rPr>
        <w:t>一是加强信息公开工作领导，坚持把政府信息公开工作作为重要工作来抓，委主要领导亲自关心指导，分管领导亲自部署安排，明确委办公室承担政府信息公开日常工作，认真分析研究工作中存在的问题并及时解决。</w:t>
      </w:r>
      <w:r>
        <w:rPr>
          <w:rFonts w:hint="eastAsia" w:ascii="微软雅黑" w:hAnsi="微软雅黑" w:eastAsia="微软雅黑" w:cs="微软雅黑"/>
          <w:bCs/>
          <w:w w:val="100"/>
          <w:kern w:val="2"/>
          <w:sz w:val="24"/>
          <w:szCs w:val="24"/>
          <w:lang w:val="en-US" w:eastAsia="zh-CN" w:bidi="ar-SA"/>
        </w:rPr>
        <w:t>二是</w:t>
      </w:r>
      <w:r>
        <w:rPr>
          <w:rFonts w:hint="eastAsia" w:ascii="微软雅黑" w:hAnsi="微软雅黑" w:eastAsia="微软雅黑" w:cs="微软雅黑"/>
          <w:bCs/>
          <w:w w:val="100"/>
          <w:kern w:val="2"/>
          <w:sz w:val="24"/>
          <w:szCs w:val="24"/>
          <w:lang w:bidi="ar-SA"/>
        </w:rPr>
        <w:t>指定专人定期开展政务信息内容的自查</w:t>
      </w:r>
      <w:r>
        <w:rPr>
          <w:rFonts w:hint="eastAsia" w:ascii="微软雅黑" w:hAnsi="微软雅黑" w:eastAsia="微软雅黑" w:cs="微软雅黑"/>
          <w:bCs/>
          <w:w w:val="100"/>
          <w:kern w:val="2"/>
          <w:sz w:val="24"/>
          <w:szCs w:val="24"/>
          <w:lang w:val="en-US" w:eastAsia="zh-CN" w:bidi="ar-SA"/>
        </w:rPr>
        <w:t>整改</w:t>
      </w:r>
      <w:r>
        <w:rPr>
          <w:rFonts w:hint="eastAsia" w:ascii="微软雅黑" w:hAnsi="微软雅黑" w:eastAsia="微软雅黑" w:cs="微软雅黑"/>
          <w:bCs/>
          <w:w w:val="100"/>
          <w:kern w:val="2"/>
          <w:sz w:val="24"/>
          <w:szCs w:val="24"/>
          <w:lang w:bidi="ar-SA"/>
        </w:rPr>
        <w:t>，确保发现的问题及时研究解决、迅速整改落实</w:t>
      </w:r>
      <w:r>
        <w:rPr>
          <w:rFonts w:hint="eastAsia" w:ascii="微软雅黑" w:hAnsi="微软雅黑" w:eastAsia="微软雅黑" w:cs="微软雅黑"/>
          <w:bCs/>
          <w:w w:val="100"/>
          <w:kern w:val="2"/>
          <w:sz w:val="24"/>
          <w:szCs w:val="24"/>
          <w:lang w:eastAsia="zh-CN" w:bidi="ar-SA"/>
        </w:rPr>
        <w:t>，</w:t>
      </w:r>
      <w:r>
        <w:rPr>
          <w:rFonts w:hint="eastAsia" w:ascii="微软雅黑" w:hAnsi="微软雅黑" w:eastAsia="微软雅黑" w:cs="微软雅黑"/>
          <w:bCs/>
          <w:w w:val="100"/>
          <w:kern w:val="2"/>
          <w:sz w:val="24"/>
          <w:szCs w:val="24"/>
          <w:lang w:bidi="ar-SA"/>
        </w:rPr>
        <w:t>持续促进区国资委政府信息公开栏目的建设标准化、规范化。</w:t>
      </w:r>
      <w:r>
        <w:rPr>
          <w:rFonts w:hint="eastAsia" w:ascii="微软雅黑" w:hAnsi="微软雅黑" w:eastAsia="微软雅黑" w:cs="微软雅黑"/>
          <w:bCs/>
          <w:w w:val="100"/>
          <w:kern w:val="2"/>
          <w:sz w:val="24"/>
          <w:szCs w:val="24"/>
          <w:lang w:val="en-US" w:eastAsia="zh-CN" w:bidi="ar-SA"/>
        </w:rPr>
        <w:t>三是</w:t>
      </w:r>
      <w:r>
        <w:rPr>
          <w:rFonts w:hint="eastAsia" w:ascii="微软雅黑" w:hAnsi="微软雅黑" w:eastAsia="微软雅黑" w:cs="微软雅黑"/>
          <w:bCs/>
          <w:w w:val="100"/>
          <w:kern w:val="2"/>
          <w:sz w:val="24"/>
          <w:szCs w:val="24"/>
          <w:lang w:bidi="ar-SA"/>
        </w:rPr>
        <w:t>全年针对区属国有企业信息公开工作进行2次专项检查，并将检查成果纳入企业负责人年度经营业绩考核体系，推动区属国有企业切实履行信息公开义务，确保国资国企信息公开工作有序进行。</w:t>
      </w:r>
      <w:r>
        <w:rPr>
          <w:rFonts w:hint="eastAsia" w:ascii="微软雅黑" w:hAnsi="微软雅黑" w:eastAsia="微软雅黑" w:cs="微软雅黑"/>
          <w:bCs/>
          <w:w w:val="100"/>
          <w:kern w:val="2"/>
          <w:sz w:val="24"/>
          <w:szCs w:val="24"/>
          <w:lang w:val="en-US" w:eastAsia="zh-CN" w:bidi="ar-SA"/>
        </w:rPr>
        <w:t>四是及时处理群众依申请公开，积极主动公开可以公开的政府信息，同时接受社会监督和评议，保障政务信息公开的渠道畅通，切实保障公众的知情权和监督权。</w:t>
      </w:r>
    </w:p>
    <w:p>
      <w:pPr>
        <w:numPr>
          <w:ilvl w:val="0"/>
          <w:numId w:val="0"/>
        </w:numPr>
        <w:spacing w:line="600" w:lineRule="exact"/>
        <w:ind w:firstLine="480" w:firstLineChars="200"/>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eastAsia="微软雅黑" w:cs="微软雅黑"/>
          <w:b/>
          <w:bCs/>
          <w:color w:val="000000"/>
          <w:kern w:val="2"/>
          <w:sz w:val="24"/>
          <w:szCs w:val="24"/>
          <w:lang w:val="en-US" w:eastAsia="zh-CN" w:bidi="ar-SA"/>
        </w:rPr>
        <w:t>二、主动公开政府信息情况</w:t>
      </w:r>
    </w:p>
    <w:tbl>
      <w:tblPr>
        <w:tblStyle w:val="5"/>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信息内容</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本年制发件数</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本年废止件数</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规章</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0</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0</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行政规范性文件</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0</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0</w:t>
            </w:r>
          </w:p>
        </w:tc>
        <w:tc>
          <w:tcPr>
            <w:tcW w:w="2435" w:type="dxa"/>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信息内容</w:t>
            </w:r>
          </w:p>
        </w:tc>
        <w:tc>
          <w:tcPr>
            <w:tcW w:w="7305" w:type="dxa"/>
            <w:gridSpan w:val="3"/>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行政许可</w:t>
            </w:r>
          </w:p>
        </w:tc>
        <w:tc>
          <w:tcPr>
            <w:tcW w:w="7305" w:type="dxa"/>
            <w:gridSpan w:val="3"/>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信息内容</w:t>
            </w:r>
          </w:p>
        </w:tc>
        <w:tc>
          <w:tcPr>
            <w:tcW w:w="7305" w:type="dxa"/>
            <w:gridSpan w:val="3"/>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行政处罚</w:t>
            </w:r>
          </w:p>
        </w:tc>
        <w:tc>
          <w:tcPr>
            <w:tcW w:w="7305" w:type="dxa"/>
            <w:gridSpan w:val="3"/>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行政强制</w:t>
            </w:r>
          </w:p>
        </w:tc>
        <w:tc>
          <w:tcPr>
            <w:tcW w:w="7305" w:type="dxa"/>
            <w:gridSpan w:val="3"/>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信息内容</w:t>
            </w:r>
          </w:p>
        </w:tc>
        <w:tc>
          <w:tcPr>
            <w:tcW w:w="7305" w:type="dxa"/>
            <w:gridSpan w:val="3"/>
            <w:shd w:val="clear" w:color="auto" w:fill="FFFFFF"/>
            <w:noWrap w:val="0"/>
            <w:tcMar>
              <w:left w:w="57" w:type="dxa"/>
              <w:right w:w="57" w:type="dxa"/>
            </w:tcMar>
            <w:vAlign w:val="center"/>
          </w:tcPr>
          <w:p>
            <w:pPr>
              <w:widowControl/>
              <w:jc w:val="center"/>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行政事业性收费</w:t>
            </w:r>
          </w:p>
        </w:tc>
        <w:tc>
          <w:tcPr>
            <w:tcW w:w="7305" w:type="dxa"/>
            <w:gridSpan w:val="3"/>
            <w:shd w:val="clear" w:color="auto" w:fill="FFFFFF"/>
            <w:noWrap w:val="0"/>
            <w:tcMar>
              <w:left w:w="57" w:type="dxa"/>
              <w:right w:w="57" w:type="dxa"/>
            </w:tcMar>
            <w:vAlign w:val="center"/>
          </w:tcPr>
          <w:p>
            <w:pPr>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0</w:t>
            </w:r>
          </w:p>
        </w:tc>
      </w:tr>
    </w:tbl>
    <w:p>
      <w:pPr>
        <w:spacing w:line="600" w:lineRule="exact"/>
        <w:rPr>
          <w:rFonts w:hint="eastAsia" w:ascii="微软雅黑" w:hAnsi="微软雅黑" w:eastAsia="微软雅黑" w:cs="微软雅黑"/>
          <w:b/>
          <w:bCs/>
          <w:color w:val="000000"/>
          <w:sz w:val="24"/>
          <w:szCs w:val="24"/>
        </w:rPr>
      </w:pPr>
      <w:r>
        <w:rPr>
          <w:rFonts w:hint="eastAsia" w:ascii="微软雅黑" w:hAnsi="微软雅黑" w:eastAsia="微软雅黑" w:cs="微软雅黑"/>
          <w:b/>
          <w:bCs/>
          <w:color w:val="000000"/>
          <w:sz w:val="24"/>
          <w:szCs w:val="24"/>
        </w:rPr>
        <w:t>三、收到和处理政府信息公开申请情况</w:t>
      </w:r>
    </w:p>
    <w:tbl>
      <w:tblPr>
        <w:tblStyle w:val="5"/>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4"/>
        <w:gridCol w:w="940"/>
        <w:gridCol w:w="3201"/>
        <w:gridCol w:w="685"/>
        <w:gridCol w:w="693"/>
        <w:gridCol w:w="693"/>
        <w:gridCol w:w="693"/>
        <w:gridCol w:w="693"/>
        <w:gridCol w:w="693"/>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05" w:type="dxa"/>
            <w:gridSpan w:val="3"/>
            <w:vMerge w:val="restart"/>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（本列数据的勾稽关系为：第一项加第二项之和，等于第三项加第四项之和）</w:t>
            </w:r>
          </w:p>
        </w:tc>
        <w:tc>
          <w:tcPr>
            <w:tcW w:w="4843" w:type="dxa"/>
            <w:gridSpan w:val="7"/>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05" w:type="dxa"/>
            <w:gridSpan w:val="3"/>
            <w:vMerge w:val="continue"/>
            <w:noWrap w:val="0"/>
            <w:tcMar>
              <w:left w:w="108" w:type="dxa"/>
              <w:right w:w="108" w:type="dxa"/>
            </w:tcMar>
            <w:vAlign w:val="center"/>
          </w:tcPr>
          <w:p>
            <w:pPr>
              <w:jc w:val="center"/>
              <w:rPr>
                <w:rFonts w:hint="eastAsia" w:ascii="微软雅黑" w:hAnsi="微软雅黑" w:eastAsia="微软雅黑" w:cs="微软雅黑"/>
                <w:color w:val="000000"/>
                <w:sz w:val="18"/>
                <w:szCs w:val="18"/>
              </w:rPr>
            </w:pPr>
          </w:p>
        </w:tc>
        <w:tc>
          <w:tcPr>
            <w:tcW w:w="685" w:type="dxa"/>
            <w:vMerge w:val="restart"/>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自然人</w:t>
            </w:r>
          </w:p>
        </w:tc>
        <w:tc>
          <w:tcPr>
            <w:tcW w:w="3465" w:type="dxa"/>
            <w:gridSpan w:val="5"/>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法人或其他组织</w:t>
            </w:r>
          </w:p>
        </w:tc>
        <w:tc>
          <w:tcPr>
            <w:tcW w:w="693" w:type="dxa"/>
            <w:vMerge w:val="restart"/>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05" w:type="dxa"/>
            <w:gridSpan w:val="3"/>
            <w:vMerge w:val="continue"/>
            <w:noWrap w:val="0"/>
            <w:tcMar>
              <w:left w:w="108" w:type="dxa"/>
              <w:right w:w="108" w:type="dxa"/>
            </w:tcMar>
            <w:vAlign w:val="center"/>
          </w:tcPr>
          <w:p>
            <w:pPr>
              <w:jc w:val="center"/>
              <w:rPr>
                <w:rFonts w:hint="eastAsia" w:ascii="微软雅黑" w:hAnsi="微软雅黑" w:eastAsia="微软雅黑" w:cs="微软雅黑"/>
                <w:color w:val="000000"/>
                <w:sz w:val="18"/>
                <w:szCs w:val="18"/>
              </w:rPr>
            </w:pPr>
          </w:p>
        </w:tc>
        <w:tc>
          <w:tcPr>
            <w:tcW w:w="685"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693"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商业</w:t>
            </w:r>
          </w:p>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企业</w:t>
            </w:r>
          </w:p>
        </w:tc>
        <w:tc>
          <w:tcPr>
            <w:tcW w:w="693"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科研</w:t>
            </w:r>
          </w:p>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机构</w:t>
            </w:r>
          </w:p>
        </w:tc>
        <w:tc>
          <w:tcPr>
            <w:tcW w:w="693"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社会公益组织</w:t>
            </w:r>
          </w:p>
        </w:tc>
        <w:tc>
          <w:tcPr>
            <w:tcW w:w="693"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法律服务机构</w:t>
            </w:r>
          </w:p>
        </w:tc>
        <w:tc>
          <w:tcPr>
            <w:tcW w:w="693"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其他</w:t>
            </w:r>
          </w:p>
        </w:tc>
        <w:tc>
          <w:tcPr>
            <w:tcW w:w="693" w:type="dxa"/>
            <w:vMerge w:val="continue"/>
            <w:noWrap w:val="0"/>
            <w:tcMar>
              <w:left w:w="108" w:type="dxa"/>
              <w:right w:w="108" w:type="dxa"/>
            </w:tcMar>
            <w:vAlign w:val="center"/>
          </w:tcPr>
          <w:p>
            <w:pPr>
              <w:jc w:val="center"/>
              <w:rPr>
                <w:rFonts w:hint="eastAsia" w:ascii="微软雅黑" w:hAnsi="微软雅黑" w:eastAsia="微软雅黑" w:cs="微软雅黑"/>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05" w:type="dxa"/>
            <w:gridSpan w:val="3"/>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一、本年新收政府信息公开申请数量</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05" w:type="dxa"/>
            <w:gridSpan w:val="3"/>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二、上年结转政府信息公开申请数量</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restart"/>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三、本年度办理结果</w:t>
            </w:r>
          </w:p>
        </w:tc>
        <w:tc>
          <w:tcPr>
            <w:tcW w:w="4141" w:type="dxa"/>
            <w:gridSpan w:val="2"/>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（一）予以公开</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4141" w:type="dxa"/>
            <w:gridSpan w:val="2"/>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（二）部分公开（区分处理的，只计这一情形，不计其他情形）</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restart"/>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（三）不予公开</w:t>
            </w: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1.属于国家秘密</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2.其他法律行政法规禁止公开</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3.危及“三安全一稳定”</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4.保护第三方合法权益</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5.属于三类内部事务信息</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6.属于四类过程性信息</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7.属于行政执法案卷</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8.属于行政查询事项</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restart"/>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（四）无法提供</w:t>
            </w: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1.本机关不掌握相关政府信息</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2.没有现成信息需要另行制作</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3.补正后申请内容仍不明确</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restart"/>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（五）不予处理</w:t>
            </w: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1.信访举报投诉类申请</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2.重复申请</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3.要求提供公开出版物</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4.无正当理由大量反复申请</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5.要求行政机关确认或重新出具已获取信息</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restart"/>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（六）其他处理</w:t>
            </w: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1.申请人无正当理由逾期不补正、行政机关不再处理其政府信息公开申请</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2.申请人逾期未按收费通知要求缴纳费用、行政机关不再处理其政府信息公开申请</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940"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3201"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3.其他</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4" w:type="dxa"/>
            <w:vMerge w:val="continue"/>
            <w:noWrap w:val="0"/>
            <w:tcMar>
              <w:left w:w="57" w:type="dxa"/>
              <w:right w:w="57" w:type="dxa"/>
            </w:tcMar>
            <w:vAlign w:val="center"/>
          </w:tcPr>
          <w:p>
            <w:pPr>
              <w:jc w:val="center"/>
              <w:rPr>
                <w:rFonts w:hint="eastAsia" w:ascii="微软雅黑" w:hAnsi="微软雅黑" w:eastAsia="微软雅黑" w:cs="微软雅黑"/>
                <w:color w:val="000000"/>
                <w:sz w:val="18"/>
                <w:szCs w:val="18"/>
              </w:rPr>
            </w:pPr>
          </w:p>
        </w:tc>
        <w:tc>
          <w:tcPr>
            <w:tcW w:w="4141" w:type="dxa"/>
            <w:gridSpan w:val="2"/>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（七）总计</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05" w:type="dxa"/>
            <w:gridSpan w:val="3"/>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四、结转下年度继续办理</w:t>
            </w:r>
          </w:p>
        </w:tc>
        <w:tc>
          <w:tcPr>
            <w:tcW w:w="685"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93" w:type="dxa"/>
            <w:noWrap w:val="0"/>
            <w:tcMar>
              <w:left w:w="57" w:type="dxa"/>
              <w:right w:w="57" w:type="dxa"/>
            </w:tcMar>
            <w:vAlign w:val="center"/>
          </w:tcPr>
          <w:p>
            <w:pPr>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0</w:t>
            </w:r>
          </w:p>
        </w:tc>
      </w:tr>
    </w:tbl>
    <w:p>
      <w:pPr>
        <w:numPr>
          <w:ilvl w:val="0"/>
          <w:numId w:val="0"/>
        </w:numPr>
        <w:spacing w:line="600" w:lineRule="exact"/>
        <w:ind w:firstLine="480" w:firstLineChars="200"/>
        <w:rPr>
          <w:rFonts w:hint="eastAsia" w:ascii="微软雅黑" w:hAnsi="微软雅黑" w:eastAsia="微软雅黑" w:cs="微软雅黑"/>
          <w:color w:val="000000"/>
          <w:sz w:val="24"/>
          <w:szCs w:val="24"/>
        </w:rPr>
      </w:pPr>
      <w:r>
        <w:rPr>
          <w:rFonts w:hint="eastAsia" w:ascii="微软雅黑" w:hAnsi="微软雅黑" w:eastAsia="微软雅黑" w:cs="微软雅黑"/>
          <w:b/>
          <w:bCs/>
          <w:color w:val="000000"/>
          <w:kern w:val="2"/>
          <w:sz w:val="24"/>
          <w:szCs w:val="24"/>
          <w:lang w:val="en-US" w:eastAsia="zh-CN" w:bidi="ar-SA"/>
        </w:rPr>
        <w:t>四、政府信息公开行政复议、行政诉讼情况</w:t>
      </w:r>
    </w:p>
    <w:tbl>
      <w:tblPr>
        <w:tblStyle w:val="5"/>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250" w:type="dxa"/>
            <w:gridSpan w:val="5"/>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行政复议</w:t>
            </w:r>
          </w:p>
        </w:tc>
        <w:tc>
          <w:tcPr>
            <w:tcW w:w="6498" w:type="dxa"/>
            <w:gridSpan w:val="10"/>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50" w:type="dxa"/>
            <w:vMerge w:val="restart"/>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结果维持</w:t>
            </w:r>
          </w:p>
        </w:tc>
        <w:tc>
          <w:tcPr>
            <w:tcW w:w="650" w:type="dxa"/>
            <w:vMerge w:val="restart"/>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结果</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纠正</w:t>
            </w:r>
          </w:p>
        </w:tc>
        <w:tc>
          <w:tcPr>
            <w:tcW w:w="650" w:type="dxa"/>
            <w:vMerge w:val="restart"/>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其他</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结果</w:t>
            </w:r>
          </w:p>
        </w:tc>
        <w:tc>
          <w:tcPr>
            <w:tcW w:w="650" w:type="dxa"/>
            <w:vMerge w:val="restart"/>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尚未</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审结</w:t>
            </w:r>
          </w:p>
        </w:tc>
        <w:tc>
          <w:tcPr>
            <w:tcW w:w="650" w:type="dxa"/>
            <w:vMerge w:val="restart"/>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总计</w:t>
            </w:r>
          </w:p>
        </w:tc>
        <w:tc>
          <w:tcPr>
            <w:tcW w:w="3248" w:type="dxa"/>
            <w:gridSpan w:val="5"/>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未经复议直接起诉</w:t>
            </w:r>
          </w:p>
        </w:tc>
        <w:tc>
          <w:tcPr>
            <w:tcW w:w="3250" w:type="dxa"/>
            <w:gridSpan w:val="5"/>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50" w:type="dxa"/>
            <w:vMerge w:val="continue"/>
            <w:noWrap w:val="0"/>
            <w:tcMar>
              <w:left w:w="108" w:type="dxa"/>
              <w:right w:w="108" w:type="dxa"/>
            </w:tcMar>
            <w:vAlign w:val="center"/>
          </w:tcPr>
          <w:p>
            <w:pPr>
              <w:rPr>
                <w:rFonts w:hint="eastAsia" w:ascii="微软雅黑" w:hAnsi="微软雅黑" w:eastAsia="微软雅黑" w:cs="微软雅黑"/>
                <w:color w:val="000000"/>
                <w:sz w:val="18"/>
                <w:szCs w:val="18"/>
              </w:rPr>
            </w:pPr>
          </w:p>
        </w:tc>
        <w:tc>
          <w:tcPr>
            <w:tcW w:w="650" w:type="dxa"/>
            <w:vMerge w:val="continue"/>
            <w:noWrap w:val="0"/>
            <w:tcMar>
              <w:left w:w="108" w:type="dxa"/>
              <w:right w:w="108" w:type="dxa"/>
            </w:tcMar>
            <w:vAlign w:val="center"/>
          </w:tcPr>
          <w:p>
            <w:pPr>
              <w:rPr>
                <w:rFonts w:hint="eastAsia" w:ascii="微软雅黑" w:hAnsi="微软雅黑" w:eastAsia="微软雅黑" w:cs="微软雅黑"/>
                <w:color w:val="000000"/>
                <w:sz w:val="18"/>
                <w:szCs w:val="18"/>
              </w:rPr>
            </w:pPr>
          </w:p>
        </w:tc>
        <w:tc>
          <w:tcPr>
            <w:tcW w:w="650" w:type="dxa"/>
            <w:vMerge w:val="continue"/>
            <w:noWrap w:val="0"/>
            <w:tcMar>
              <w:left w:w="108" w:type="dxa"/>
              <w:right w:w="108" w:type="dxa"/>
            </w:tcMar>
            <w:vAlign w:val="center"/>
          </w:tcPr>
          <w:p>
            <w:pPr>
              <w:rPr>
                <w:rFonts w:hint="eastAsia" w:ascii="微软雅黑" w:hAnsi="微软雅黑" w:eastAsia="微软雅黑" w:cs="微软雅黑"/>
                <w:color w:val="000000"/>
                <w:sz w:val="18"/>
                <w:szCs w:val="18"/>
              </w:rPr>
            </w:pPr>
          </w:p>
        </w:tc>
        <w:tc>
          <w:tcPr>
            <w:tcW w:w="650" w:type="dxa"/>
            <w:vMerge w:val="continue"/>
            <w:noWrap w:val="0"/>
            <w:tcMar>
              <w:left w:w="108" w:type="dxa"/>
              <w:right w:w="108" w:type="dxa"/>
            </w:tcMar>
            <w:vAlign w:val="center"/>
          </w:tcPr>
          <w:p>
            <w:pPr>
              <w:rPr>
                <w:rFonts w:hint="eastAsia" w:ascii="微软雅黑" w:hAnsi="微软雅黑" w:eastAsia="微软雅黑" w:cs="微软雅黑"/>
                <w:color w:val="000000"/>
                <w:sz w:val="18"/>
                <w:szCs w:val="18"/>
              </w:rPr>
            </w:pPr>
          </w:p>
        </w:tc>
        <w:tc>
          <w:tcPr>
            <w:tcW w:w="650" w:type="dxa"/>
            <w:vMerge w:val="continue"/>
            <w:noWrap w:val="0"/>
            <w:tcMar>
              <w:left w:w="108" w:type="dxa"/>
              <w:right w:w="108" w:type="dxa"/>
            </w:tcMar>
            <w:vAlign w:val="center"/>
          </w:tcPr>
          <w:p>
            <w:pPr>
              <w:rPr>
                <w:rFonts w:hint="eastAsia" w:ascii="微软雅黑" w:hAnsi="微软雅黑" w:eastAsia="微软雅黑" w:cs="微软雅黑"/>
                <w:color w:val="000000"/>
                <w:sz w:val="18"/>
                <w:szCs w:val="18"/>
              </w:rPr>
            </w:pPr>
          </w:p>
        </w:tc>
        <w:tc>
          <w:tcPr>
            <w:tcW w:w="649"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结果</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维持</w:t>
            </w:r>
          </w:p>
        </w:tc>
        <w:tc>
          <w:tcPr>
            <w:tcW w:w="649"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结果</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纠正</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其他</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结果</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尚未</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审结</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总计</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结果</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维持</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结果</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纠正</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其他</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结果</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尚未</w:t>
            </w:r>
            <w:r>
              <w:rPr>
                <w:rFonts w:hint="eastAsia" w:ascii="微软雅黑" w:hAnsi="微软雅黑" w:eastAsia="微软雅黑" w:cs="微软雅黑"/>
                <w:color w:val="000000"/>
                <w:kern w:val="0"/>
                <w:sz w:val="18"/>
                <w:szCs w:val="18"/>
                <w:lang w:bidi="ar"/>
              </w:rPr>
              <w:br w:type="textWrapping"/>
            </w:r>
            <w:r>
              <w:rPr>
                <w:rFonts w:hint="eastAsia" w:ascii="微软雅黑" w:hAnsi="微软雅黑" w:eastAsia="微软雅黑" w:cs="微软雅黑"/>
                <w:color w:val="000000"/>
                <w:kern w:val="0"/>
                <w:sz w:val="18"/>
                <w:szCs w:val="18"/>
                <w:lang w:bidi="ar"/>
              </w:rPr>
              <w:t>审结</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49"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49"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widowControl/>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kern w:val="0"/>
                <w:sz w:val="18"/>
                <w:szCs w:val="18"/>
                <w:lang w:val="en-US" w:eastAsia="zh-CN" w:bidi="ar"/>
              </w:rPr>
              <w:t>0</w:t>
            </w:r>
          </w:p>
        </w:tc>
        <w:tc>
          <w:tcPr>
            <w:tcW w:w="650" w:type="dxa"/>
            <w:noWrap w:val="0"/>
            <w:tcMar>
              <w:left w:w="108" w:type="dxa"/>
              <w:right w:w="108" w:type="dxa"/>
            </w:tcMar>
            <w:vAlign w:val="center"/>
          </w:tcPr>
          <w:p>
            <w:pPr>
              <w:jc w:val="center"/>
              <w:rPr>
                <w:rFonts w:hint="eastAsia" w:ascii="微软雅黑" w:hAnsi="微软雅黑" w:eastAsia="微软雅黑" w:cs="微软雅黑"/>
                <w:color w:val="000000"/>
                <w:sz w:val="18"/>
                <w:szCs w:val="18"/>
              </w:rPr>
            </w:pPr>
            <w:r>
              <w:rPr>
                <w:rFonts w:hint="eastAsia" w:ascii="微软雅黑" w:hAnsi="微软雅黑" w:eastAsia="微软雅黑" w:cs="微软雅黑"/>
                <w:color w:val="000000"/>
                <w:sz w:val="18"/>
                <w:szCs w:val="18"/>
                <w:lang w:val="en-US" w:eastAsia="zh-CN"/>
              </w:rPr>
              <w:t>0</w:t>
            </w:r>
          </w:p>
        </w:tc>
      </w:tr>
    </w:tbl>
    <w:p>
      <w:pPr>
        <w:numPr>
          <w:ilvl w:val="0"/>
          <w:numId w:val="0"/>
        </w:numPr>
        <w:spacing w:line="600" w:lineRule="exact"/>
        <w:ind w:firstLine="480" w:firstLineChars="200"/>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eastAsia="微软雅黑" w:cs="微软雅黑"/>
          <w:b/>
          <w:bCs/>
          <w:color w:val="000000"/>
          <w:kern w:val="2"/>
          <w:sz w:val="24"/>
          <w:szCs w:val="24"/>
          <w:lang w:val="en-US" w:eastAsia="zh-CN" w:bidi="ar-SA"/>
        </w:rPr>
        <w:t>五、存在的主要问题及改进情况</w:t>
      </w:r>
      <w:bookmarkStart w:id="0" w:name="_GoBack"/>
      <w:bookmarkEnd w:id="0"/>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微软雅黑" w:hAnsi="微软雅黑" w:eastAsia="微软雅黑" w:cs="微软雅黑"/>
          <w:bCs/>
          <w:w w:val="100"/>
          <w:sz w:val="24"/>
          <w:szCs w:val="24"/>
          <w:lang w:val="en-US" w:eastAsia="zh-CN"/>
        </w:rPr>
      </w:pPr>
      <w:r>
        <w:rPr>
          <w:rFonts w:hint="eastAsia" w:ascii="微软雅黑" w:hAnsi="微软雅黑" w:eastAsia="微软雅黑" w:cs="微软雅黑"/>
          <w:bCs/>
          <w:w w:val="100"/>
          <w:sz w:val="24"/>
          <w:szCs w:val="24"/>
          <w:lang w:val="en-US" w:eastAsia="zh-CN"/>
        </w:rPr>
        <w:t>2024年度，我委在政府信息公开工作方面，虽然已经取得了一定的进展，但仍然存在一些不足和问题。主要体现在两个方面：一是业务科室在信息公开方面的积极性不足，对于主动披露信息的意识有待增强，一定程度上影响了信息公开的效率和质量；二是信息公开人员的专业技能和业务能力需要进一步提高。</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微软雅黑" w:hAnsi="微软雅黑" w:eastAsia="微软雅黑" w:cs="微软雅黑"/>
          <w:bCs/>
          <w:w w:val="100"/>
          <w:sz w:val="24"/>
          <w:szCs w:val="24"/>
          <w:lang w:val="en-US" w:eastAsia="zh-CN"/>
        </w:rPr>
      </w:pPr>
      <w:r>
        <w:rPr>
          <w:rFonts w:hint="eastAsia" w:ascii="微软雅黑" w:hAnsi="微软雅黑" w:eastAsia="微软雅黑" w:cs="微软雅黑"/>
          <w:bCs/>
          <w:w w:val="100"/>
          <w:sz w:val="24"/>
          <w:szCs w:val="24"/>
          <w:lang w:val="en-US" w:eastAsia="zh-CN"/>
        </w:rPr>
        <w:t>针对上述问题，我委将进一步梳理主动公开的信息范围，明确各业务科室的工作职责，保障信息公开工作的有序开展。一是加强信息公开相关的培训工作，提升工作人员的专业技能与业务水平，不断提高信息公开工作的质量和效率。二是积极引导国资国企共同参与信息公开工作，利用国有企业的资源和影响力，进一步增强信息公开的全面性与时效性，确保政府信息公开工作能够稳步、有序推进。</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微软雅黑" w:hAnsi="微软雅黑" w:eastAsia="微软雅黑" w:cs="微软雅黑"/>
          <w:bCs/>
          <w:w w:val="100"/>
          <w:sz w:val="24"/>
          <w:szCs w:val="24"/>
          <w:lang w:val="en-US" w:eastAsia="zh-CN"/>
        </w:rPr>
      </w:pPr>
      <w:r>
        <w:rPr>
          <w:rFonts w:hint="eastAsia" w:ascii="微软雅黑" w:hAnsi="微软雅黑" w:eastAsia="微软雅黑" w:cs="微软雅黑"/>
          <w:bCs/>
          <w:w w:val="100"/>
          <w:sz w:val="24"/>
          <w:szCs w:val="24"/>
          <w:lang w:val="en-US" w:eastAsia="zh-CN"/>
        </w:rPr>
        <w:t>2024年度，我委政府信息公开工作还存在一些不足和问题，具体表现在：一是业务科室信息公开的主动性不强，二是政府信息公开工作人员的业务水平和专业能力还有待提升。</w:t>
      </w:r>
    </w:p>
    <w:p>
      <w:pPr>
        <w:keepNext w:val="0"/>
        <w:keepLines w:val="0"/>
        <w:pageBreakBefore w:val="0"/>
        <w:widowControl w:val="0"/>
        <w:kinsoku/>
        <w:wordWrap/>
        <w:overflowPunct/>
        <w:topLinePunct w:val="0"/>
        <w:autoSpaceDE/>
        <w:autoSpaceDN/>
        <w:bidi w:val="0"/>
        <w:adjustRightInd/>
        <w:spacing w:line="520" w:lineRule="exact"/>
        <w:ind w:firstLine="480" w:firstLineChars="200"/>
        <w:jc w:val="left"/>
        <w:textAlignment w:val="auto"/>
        <w:rPr>
          <w:rFonts w:hint="eastAsia" w:ascii="微软雅黑" w:hAnsi="微软雅黑" w:eastAsia="微软雅黑" w:cs="微软雅黑"/>
          <w:bCs/>
          <w:w w:val="100"/>
          <w:sz w:val="24"/>
          <w:szCs w:val="24"/>
          <w:lang w:val="en-US" w:eastAsia="zh-CN"/>
        </w:rPr>
      </w:pPr>
      <w:r>
        <w:rPr>
          <w:rFonts w:hint="eastAsia" w:ascii="微软雅黑" w:hAnsi="微软雅黑" w:eastAsia="微软雅黑" w:cs="微软雅黑"/>
          <w:bCs/>
          <w:w w:val="100"/>
          <w:sz w:val="24"/>
          <w:szCs w:val="24"/>
          <w:lang w:val="en-US" w:eastAsia="zh-CN"/>
        </w:rPr>
        <w:t>下一步，我委将进一步梳理主动公开信息范围，明确工作责任落实，强化信息公开教育培训，提高政务公开工作人员业务水平，引导国资国企共同推进信息公开工作，切实增强信息公开的全面性、时效性，扎实、有序推进政府信息公开工作开展。</w:t>
      </w:r>
    </w:p>
    <w:p>
      <w:pPr>
        <w:numPr>
          <w:ilvl w:val="0"/>
          <w:numId w:val="0"/>
        </w:numPr>
        <w:spacing w:line="600" w:lineRule="exact"/>
        <w:ind w:firstLine="480" w:firstLineChars="200"/>
        <w:rPr>
          <w:rFonts w:hint="eastAsia" w:ascii="微软雅黑" w:hAnsi="微软雅黑" w:eastAsia="微软雅黑" w:cs="微软雅黑"/>
          <w:b/>
          <w:bCs/>
          <w:color w:val="000000"/>
          <w:kern w:val="2"/>
          <w:sz w:val="24"/>
          <w:szCs w:val="24"/>
          <w:lang w:val="en-US" w:eastAsia="zh-CN" w:bidi="ar-SA"/>
        </w:rPr>
      </w:pPr>
      <w:r>
        <w:rPr>
          <w:rFonts w:hint="eastAsia" w:ascii="微软雅黑" w:hAnsi="微软雅黑" w:eastAsia="微软雅黑" w:cs="微软雅黑"/>
          <w:b/>
          <w:bCs/>
          <w:color w:val="000000"/>
          <w:kern w:val="2"/>
          <w:sz w:val="24"/>
          <w:szCs w:val="24"/>
          <w:lang w:val="en-US" w:eastAsia="zh-CN" w:bidi="ar-SA"/>
        </w:rPr>
        <w:t>六、其他需要报告的事项</w:t>
      </w:r>
    </w:p>
    <w:p>
      <w:pPr>
        <w:spacing w:line="600" w:lineRule="exact"/>
        <w:ind w:firstLine="480" w:firstLineChars="200"/>
        <w:rPr>
          <w:rFonts w:hint="eastAsia" w:ascii="微软雅黑" w:hAnsi="微软雅黑" w:eastAsia="微软雅黑" w:cs="微软雅黑"/>
          <w:color w:val="000000"/>
          <w:sz w:val="24"/>
          <w:szCs w:val="24"/>
          <w:lang w:val="en-US" w:eastAsia="zh-CN"/>
        </w:rPr>
      </w:pPr>
      <w:r>
        <w:rPr>
          <w:rFonts w:hint="eastAsia" w:ascii="微软雅黑" w:hAnsi="微软雅黑" w:eastAsia="微软雅黑" w:cs="微软雅黑"/>
          <w:color w:val="000000"/>
          <w:sz w:val="24"/>
          <w:szCs w:val="24"/>
          <w:lang w:val="en-US" w:eastAsia="zh-CN"/>
        </w:rPr>
        <w:t>2024年，我委严格落实《政府信息公开条例》，未收取政府信息公开处理费。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757449"/>
    <w:rsid w:val="00ED31FD"/>
    <w:rsid w:val="03757449"/>
    <w:rsid w:val="08CD1434"/>
    <w:rsid w:val="0B2032A5"/>
    <w:rsid w:val="13FA7E3A"/>
    <w:rsid w:val="19795E30"/>
    <w:rsid w:val="23876DD0"/>
    <w:rsid w:val="27D942A6"/>
    <w:rsid w:val="2DB77F66"/>
    <w:rsid w:val="3C1D466B"/>
    <w:rsid w:val="5BAA628E"/>
    <w:rsid w:val="6F7A4939"/>
    <w:rsid w:val="79D05261"/>
    <w:rsid w:val="7C4F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市国资委</Company>
  <Pages>6</Pages>
  <Words>816</Words>
  <Characters>821</Characters>
  <Lines>0</Lines>
  <Paragraphs>0</Paragraphs>
  <TotalTime>0</TotalTime>
  <ScaleCrop>false</ScaleCrop>
  <LinksUpToDate>false</LinksUpToDate>
  <CharactersWithSpaces>821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2025-01-07T03:48:00Z</dcterms:created>
  <dc:creator>歪太郎</dc:creator>
  <cp:lastModifiedBy>项丹</cp:lastModifiedBy>
  <dcterms:modified xsi:type="dcterms:W3CDTF">2025-01-20T07:55:50Z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F13C2966AE694185B6AB6EFFE09C37CF_13</vt:lpwstr>
  </property>
  <property fmtid="{D5CDD505-2E9C-101B-9397-08002B2CF9AE}" pid="4" name="KSOTemplateDocerSaveRecord">
    <vt:lpwstr>eyJoZGlkIjoiODc2NGM0Y2RmOTg5MmUxNTE3MjBkMGEyZGQ5YmFjN2QiLCJ1c2VySWQiOiI1NTc1MDE0MDYifQ==</vt:lpwstr>
  </property>
</Properties>
</file>