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8"/>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w:t>
            </w:r>
            <w:r>
              <w:rPr>
                <w:sz w:val="20"/>
                <w:u w:color="auto"/>
              </w:rPr>
              <w:t>重庆市涪陵区经济和信息化委员会</w:t>
            </w: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8,687.62</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1,719.85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2,136.10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1,396.83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109.46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2,355.53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414.99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500.00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54.87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8,687.62</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8,687.62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8,687.62</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8,687.62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53"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重庆市涪陵区经济和信息化委员会</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53"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8,687.62</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8,687.62</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1,719.85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1,719.85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1,719.85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1,719.85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1,384.76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1,384.76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151.58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151.58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2010450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183.51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2,136.10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2,136.10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技术研究与开发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2,136.10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2,136.10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2060499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其他技术研究与开发支出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2,136.10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2,136.10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1,396.83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1,396.83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1,369.87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1,369.87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87.41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87.41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1,117.98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1,117.98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109.46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109.46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109.46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109.46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98.61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2,355.53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2,355.53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2,355.53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2,355.53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2,355.53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2,355.53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制造业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2150299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其他制造业支出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394.99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中小企业发展专项</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394.99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394.99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援助其他地区支出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21901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一般公共服务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3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重庆市涪陵区经济和信息化委员会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3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8,687.62</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3,102.47</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5,585.15</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1,719.85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1,568.27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151.58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1,719.85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1,568.27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151.58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1,384.76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1,384.76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151.58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151.58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2010450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183.51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183.51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2,136.10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2,136.10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技术研究与开发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2,136.10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2,136.10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2060499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其他技术研究与开发支出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2,136.10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2,136.10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1,396.83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1,369.87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26.95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1,369.87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1,369.87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111.80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111.80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87.41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87.41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1,117.98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1,117.98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24.61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109.46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109.46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109.46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109.46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98.61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98.61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2,355.53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2,355.53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2,355.53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2,355.53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2,355.53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2,355.53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414.99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414.99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制造业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2150299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其他制造业支出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394.99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394.99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中小企业发展专项</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394.99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394.99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援助其他地区支出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21901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一般公共服务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54.87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488" w:type="dxa"/>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重庆市涪陵区经济和信息化委员会</w:t>
            </w:r>
          </w:p>
        </w:tc>
        <w:tc>
          <w:tcPr>
            <w:tcW w:w="317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488" w:type="dxa"/>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8,687.62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1,719.85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1,719.85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2,136.10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2,136.10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1,396.83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1,396.83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109.46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109.46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2,355.53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2,355.53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414.99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414.99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54.87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54.87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8,687.62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8,687.62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8,687.62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8,687.62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8,687.62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8,687.62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38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重庆市涪陵区经济和信息化委员会</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38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8,687.62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3,102.47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5,585.15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1,719.85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1,568.27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151.58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1,719.85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1,568.27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151.58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1,384.76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1,384.76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151.58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151.58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2010450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183.51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183.51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2,136.10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2,136.10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技术研究与开发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2,136.10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2,136.10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2060499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其他技术研究与开发支出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2,136.10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2,136.10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1,396.83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1,369.87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26.95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1,369.87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1,369.87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52.68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52.68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111.80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111.80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87.41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87.41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1,117.98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1,117.98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109.46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109.46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109.46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109.46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98.61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98.61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2,355.53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2,355.53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2,355.53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2,355.53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其他城乡社区公共设施支出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2,355.53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2,355.53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414.99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414.99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制造业</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2150299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其他制造业支出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394.99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394.99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中小企业发展专项</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394.99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394.99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援助其他地区支出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21901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一般公共服务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54.87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54.87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54.87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54.87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54.87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54.87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33" w:type="dxa"/>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重庆市涪陵区经济和信息化委员会</w:t>
            </w:r>
          </w:p>
        </w:tc>
        <w:tc>
          <w:tcPr>
            <w:tcW w:w="137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1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33" w:type="dxa"/>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7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1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1,225.78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237.60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287.21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165.82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316.76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103.68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111.80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87.41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50.21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54.87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1,639.08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379.81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1,113.28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74.16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49.29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2,864.86</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237.60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2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重庆市涪陵区经济和信息化委员会</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2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2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重庆市涪陵区经济和信息化委员会</w:t>
            </w:r>
          </w:p>
        </w:tc>
        <w:tc>
          <w:tcPr>
            <w:tcW w:w="326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2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6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8"/>
        <w:tblW w:w="15322" w:type="dxa"/>
        <w:tblInd w:w="0" w:type="dxa"/>
        <w:tblLayout w:type="fixed"/>
        <w:tblCellMar>
          <w:top w:w="0" w:type="dxa"/>
          <w:left w:w="0" w:type="dxa"/>
          <w:bottom w:w="0" w:type="dxa"/>
          <w:right w:w="0" w:type="dxa"/>
        </w:tblCellMar>
      </w:tblPr>
      <w:tblGrid>
        <w:gridCol w:w="4151"/>
        <w:gridCol w:w="2228"/>
        <w:gridCol w:w="2176"/>
        <w:gridCol w:w="4643"/>
        <w:gridCol w:w="2124"/>
      </w:tblGrid>
      <w:tr>
        <w:tblPrEx>
          <w:tblLayout w:type="fixed"/>
          <w:tblCellMar>
            <w:top w:w="0" w:type="dxa"/>
            <w:left w:w="0" w:type="dxa"/>
            <w:bottom w:w="0" w:type="dxa"/>
            <w:right w:w="0" w:type="dxa"/>
          </w:tblCellMar>
        </w:tblPrEx>
        <w:trPr>
          <w:trHeight w:val="175"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228"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7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643"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2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重庆市涪陵区经济和信息化委员会</w:t>
            </w:r>
          </w:p>
        </w:tc>
        <w:tc>
          <w:tcPr>
            <w:tcW w:w="2228"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7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64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2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7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4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212.56</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212.56</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23</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205</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0.90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spacing w:line="240" w:lineRule="exact"/>
        <w:rPr>
          <w:rFonts w:hint="default"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702"/>
    <w:rsid w:val="0013686F"/>
    <w:rsid w:val="002E5443"/>
    <w:rsid w:val="004C12FF"/>
    <w:rsid w:val="00550ABE"/>
    <w:rsid w:val="005B023C"/>
    <w:rsid w:val="006137D7"/>
    <w:rsid w:val="00634FA8"/>
    <w:rsid w:val="0063613A"/>
    <w:rsid w:val="00792285"/>
    <w:rsid w:val="007A0D2E"/>
    <w:rsid w:val="007A3314"/>
    <w:rsid w:val="007B419D"/>
    <w:rsid w:val="007B5838"/>
    <w:rsid w:val="00810F13"/>
    <w:rsid w:val="00944711"/>
    <w:rsid w:val="00984852"/>
    <w:rsid w:val="009B67B8"/>
    <w:rsid w:val="00A03B1E"/>
    <w:rsid w:val="00A67739"/>
    <w:rsid w:val="00A726A7"/>
    <w:rsid w:val="00A820B7"/>
    <w:rsid w:val="00AA1A45"/>
    <w:rsid w:val="00AC5566"/>
    <w:rsid w:val="00B03CCD"/>
    <w:rsid w:val="00BF5A85"/>
    <w:rsid w:val="00C6526A"/>
    <w:rsid w:val="00C96B11"/>
    <w:rsid w:val="00CC6B99"/>
    <w:rsid w:val="00DF7706"/>
    <w:rsid w:val="00E654E2"/>
    <w:rsid w:val="00E76362"/>
    <w:rsid w:val="00F137D3"/>
    <w:rsid w:val="00F13C36"/>
    <w:rsid w:val="00F32C53"/>
    <w:rsid w:val="00F73F90"/>
    <w:rsid w:val="00F7623D"/>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9D717D"/>
    <w:rsid w:val="18B43F7C"/>
    <w:rsid w:val="194A1770"/>
    <w:rsid w:val="19B906A4"/>
    <w:rsid w:val="1B6F15B6"/>
    <w:rsid w:val="1B7547D3"/>
    <w:rsid w:val="1BAA2EDC"/>
    <w:rsid w:val="1C5C0973"/>
    <w:rsid w:val="1CA55E64"/>
    <w:rsid w:val="1D014A01"/>
    <w:rsid w:val="1D022362"/>
    <w:rsid w:val="1D1B04B0"/>
    <w:rsid w:val="1DBB3F4E"/>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6978F7"/>
    <w:rsid w:val="23DA37D9"/>
    <w:rsid w:val="248D041B"/>
    <w:rsid w:val="24B92327"/>
    <w:rsid w:val="24C14514"/>
    <w:rsid w:val="2533755C"/>
    <w:rsid w:val="25752B04"/>
    <w:rsid w:val="25791755"/>
    <w:rsid w:val="26396DF4"/>
    <w:rsid w:val="27167136"/>
    <w:rsid w:val="27B23302"/>
    <w:rsid w:val="29310A5F"/>
    <w:rsid w:val="29C37A35"/>
    <w:rsid w:val="2A076083"/>
    <w:rsid w:val="2A73162E"/>
    <w:rsid w:val="2B167953"/>
    <w:rsid w:val="2B200583"/>
    <w:rsid w:val="2B8209DE"/>
    <w:rsid w:val="2C6762A3"/>
    <w:rsid w:val="2EBF7B3E"/>
    <w:rsid w:val="2EDE1934"/>
    <w:rsid w:val="2F9E7122"/>
    <w:rsid w:val="2FCA4B37"/>
    <w:rsid w:val="2FE029D7"/>
    <w:rsid w:val="2FF06E00"/>
    <w:rsid w:val="2FF148EB"/>
    <w:rsid w:val="30562E26"/>
    <w:rsid w:val="30586FEC"/>
    <w:rsid w:val="30EC7046"/>
    <w:rsid w:val="315F0B22"/>
    <w:rsid w:val="319D022C"/>
    <w:rsid w:val="31C90022"/>
    <w:rsid w:val="31D84415"/>
    <w:rsid w:val="32285F6F"/>
    <w:rsid w:val="32770556"/>
    <w:rsid w:val="329C0913"/>
    <w:rsid w:val="32AA0460"/>
    <w:rsid w:val="32DB1A85"/>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83BAC"/>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5D51DB"/>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404AF7"/>
    <w:rsid w:val="6F5A53AC"/>
    <w:rsid w:val="6FAC003D"/>
    <w:rsid w:val="6FE55E12"/>
    <w:rsid w:val="6FFB2E76"/>
    <w:rsid w:val="708F6F7F"/>
    <w:rsid w:val="70D94BD3"/>
    <w:rsid w:val="71C34D91"/>
    <w:rsid w:val="72DB435C"/>
    <w:rsid w:val="72E2613A"/>
    <w:rsid w:val="72F771F4"/>
    <w:rsid w:val="736650B0"/>
    <w:rsid w:val="73934AD2"/>
    <w:rsid w:val="750837F0"/>
    <w:rsid w:val="754758CF"/>
    <w:rsid w:val="75A220A3"/>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0" w:beforeAutospacing="0" w:after="0" w:afterAutospacing="0"/>
      <w:ind w:left="0" w:right="0"/>
      <w:jc w:val="left"/>
    </w:pPr>
    <w:rPr>
      <w:rFonts w:hint="default" w:ascii="Times New Roman" w:hAnsi="Times New Roman" w:eastAsia="仿宋_GB2312" w:cs="Times New Roman"/>
      <w:kern w:val="0"/>
      <w:sz w:val="32"/>
      <w:szCs w:val="32"/>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styleId="17">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4135</Words>
  <Characters>23576</Characters>
  <Lines>196</Lines>
  <Paragraphs>55</Paragraphs>
  <TotalTime>254</TotalTime>
  <ScaleCrop>false</ScaleCrop>
  <LinksUpToDate>false</LinksUpToDate>
  <CharactersWithSpaces>27656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user</cp:lastModifiedBy>
  <dcterms:modified xsi:type="dcterms:W3CDTF">2024-10-23T02:39:30Z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BB46EABDBB2749749395447164B066B3_12</vt:lpwstr>
  </property>
</Properties>
</file>