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重庆市涪陵区交通规划与技术发展中心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343.82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280.32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343.82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343.82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343.82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重庆市涪陵区交通规划与技术发展中心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343.82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343.82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重庆市涪陵区交通规划与技术发展中心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343.82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303.32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40.50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95"/>
        <w:gridCol w:w="1535"/>
        <w:gridCol w:w="3186"/>
        <w:gridCol w:w="1695"/>
        <w:gridCol w:w="1695"/>
        <w:gridCol w:w="1695"/>
        <w:gridCol w:w="193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重庆市涪陵区交通规划与技术发展中心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343.82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343.82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343.82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重庆市涪陵区交通规划与技术发展中心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343.82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303.32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36.66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36.66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239.82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239.82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239.82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重庆市涪陵区交通规划与技术发展中心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284.66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重庆市涪陵区交通规划与技术发展中心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重庆市涪陵区交通规划与技术发展中心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重庆市涪陵区交通规划与技术发展中心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4.86</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4.86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4.85</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4.85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4.85</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4.85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0.01</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0.01</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0.01</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0.61</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70E53"/>
    <w:rsid w:val="002B254B"/>
    <w:rsid w:val="004A597F"/>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084944"/>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917F72"/>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1F5C4D"/>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1761FC"/>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022992"/>
    <w:rsid w:val="60C74F6C"/>
    <w:rsid w:val="61025A59"/>
    <w:rsid w:val="613D5BBC"/>
    <w:rsid w:val="61536C39"/>
    <w:rsid w:val="62944DD7"/>
    <w:rsid w:val="6319381F"/>
    <w:rsid w:val="635C0C0C"/>
    <w:rsid w:val="63C25DC5"/>
    <w:rsid w:val="63C62057"/>
    <w:rsid w:val="642A4C7B"/>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2852C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4079</Words>
  <Characters>23254</Characters>
  <Lines>193</Lines>
  <Paragraphs>54</Paragraphs>
  <TotalTime>28</TotalTime>
  <ScaleCrop>false</ScaleCrop>
  <LinksUpToDate>false</LinksUpToDate>
  <CharactersWithSpaces>27279</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2024-11-01T03:12:50Z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8508EF98DA464E3CA9752C7B0D933EFB</vt:lpwstr>
  </property>
</Properties>
</file>