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bookmarkStart w:id="1" w:name="_GoBack"/>
      <w:bookmarkEnd w:id="1"/>
      <w:r>
        <w:rPr>
          <w:rFonts w:eastAsia="方正黑体_GBK"/>
        </w:rPr>
        <w:pict>
          <v:shape id="文本框 5" o:spid="_x0000_s1028" o:spt="202" type="#_x0000_t202" style="position:absolute;left:0pt;margin-left:2.05pt;margin-top:80.15pt;height:111.95pt;width:491.55pt;z-index:251658240;mso-width-relative:page;mso-height-relative:page;" filled="f" stroked="f" coordsize="21600,21600">
            <v:path/>
            <v:fill on="f" focussize="0,0"/>
            <v:stroke on="f" joinstyle="miter"/>
            <v:imagedata o:title=""/>
            <o:lock v:ext="edit"/>
            <v:textbox inset="7.19992125984252pt,1.27mm,7.19992125984252pt,1.27mm">
              <w:txbxContent>
                <w:p>
                  <w:pPr>
                    <w:rPr>
                      <w:rFonts w:ascii="方正小标宋_GBK" w:hAnsi="方正小标宋简体" w:eastAsia="方正小标宋_GBK" w:cs="方正小标宋简体"/>
                      <w:color w:val="FF0000"/>
                      <w:spacing w:val="20"/>
                      <w:w w:val="90"/>
                      <w:sz w:val="120"/>
                      <w:szCs w:val="120"/>
                    </w:rPr>
                  </w:pPr>
                  <w:r>
                    <w:rPr>
                      <w:rFonts w:hint="eastAsia" w:ascii="方正小标宋_GBK" w:hAnsi="方正小标宋简体" w:eastAsia="方正小标宋_GBK" w:cs="方正小标宋简体"/>
                      <w:color w:val="FF0000"/>
                      <w:spacing w:val="20"/>
                      <w:w w:val="90"/>
                      <w:sz w:val="120"/>
                      <w:szCs w:val="120"/>
                    </w:rPr>
                    <w:t>重庆市林业局文件</w:t>
                  </w:r>
                </w:p>
              </w:txbxContent>
            </v:textbox>
          </v:shape>
        </w:pict>
      </w:r>
    </w:p>
    <w:p>
      <w:pPr>
        <w:rPr>
          <w:rFonts w:eastAsia="方正黑体_GBK"/>
        </w:rPr>
      </w:pPr>
    </w:p>
    <w:p>
      <w:pPr>
        <w:rPr>
          <w:rFonts w:eastAsia="方正黑体_GBK"/>
        </w:rPr>
      </w:pPr>
    </w:p>
    <w:p/>
    <w:p/>
    <w:p>
      <w:pPr>
        <w:spacing w:line="680" w:lineRule="exact"/>
      </w:pPr>
    </w:p>
    <w:p/>
    <w:p>
      <w:pPr>
        <w:jc w:val="center"/>
        <w:rPr>
          <w:rFonts w:eastAsia="方正楷体_GBK"/>
        </w:rPr>
      </w:pPr>
      <w:r>
        <w:t xml:space="preserve"> </w:t>
      </w:r>
      <w:bookmarkStart w:id="0" w:name="doc_mark"/>
      <w:r>
        <w:rPr>
          <w:rFonts w:hint="eastAsia"/>
        </w:rPr>
        <w:t>渝林规范〔2021〕1号</w:t>
      </w:r>
      <w:bookmarkEnd w:id="0"/>
      <w:r>
        <w:t xml:space="preserve">                     </w:t>
      </w:r>
    </w:p>
    <w:p>
      <w:r>
        <w:rPr>
          <w:rFonts w:eastAsia="方正黑体_GBK"/>
        </w:rPr>
        <w:pict>
          <v:rect id="矩形 8" o:spid="_x0000_s1027" o:spt="1" style="position:absolute;left:0pt;margin-left:1.45pt;margin-top:6.6pt;height:2.25pt;width:448.25pt;z-index:251657216;mso-width-relative:page;mso-height-relative:page;" fillcolor="#FF0000" filled="t" stroked="f" coordsize="21600,21600">
            <v:path/>
            <v:fill on="t" color2="#BBD5F0" focussize="0,0"/>
            <v:stroke on="f" weight="1.25pt" color="#739CC3"/>
            <v:imagedata o:title=""/>
            <o:lock v:ext="edit"/>
          </v:rect>
        </w:pict>
      </w:r>
    </w:p>
    <w:p/>
    <w:p>
      <w:pPr>
        <w:spacing w:line="600" w:lineRule="exact"/>
        <w:jc w:val="center"/>
        <w:rPr>
          <w:rFonts w:eastAsia="方正小标宋_GBK"/>
          <w:sz w:val="44"/>
          <w:szCs w:val="44"/>
        </w:rPr>
      </w:pPr>
      <w:r>
        <w:rPr>
          <w:rFonts w:eastAsia="方正小标宋_GBK"/>
          <w:sz w:val="44"/>
          <w:szCs w:val="44"/>
        </w:rPr>
        <w:t>重庆市林业局关于加强</w:t>
      </w:r>
    </w:p>
    <w:p>
      <w:pPr>
        <w:pStyle w:val="5"/>
        <w:spacing w:before="0" w:beforeAutospacing="0" w:after="0" w:afterAutospacing="0" w:line="560" w:lineRule="exact"/>
        <w:jc w:val="center"/>
        <w:rPr>
          <w:rFonts w:eastAsia="方正小标宋_GBK"/>
          <w:sz w:val="44"/>
          <w:szCs w:val="44"/>
        </w:rPr>
      </w:pPr>
      <w:r>
        <w:rPr>
          <w:rFonts w:eastAsia="方正小标宋_GBK"/>
          <w:sz w:val="44"/>
          <w:szCs w:val="44"/>
        </w:rPr>
        <w:t xml:space="preserve"> “十四五”期间年森林采伐限额管理的通知</w:t>
      </w:r>
    </w:p>
    <w:p>
      <w:pPr>
        <w:ind w:firstLine="872" w:firstLineChars="200"/>
        <w:rPr>
          <w:rFonts w:eastAsia="仿宋_GB2312"/>
          <w:sz w:val="44"/>
          <w:szCs w:val="44"/>
        </w:rPr>
      </w:pPr>
    </w:p>
    <w:p>
      <w:pPr>
        <w:rPr>
          <w:szCs w:val="32"/>
        </w:rPr>
      </w:pPr>
      <w:r>
        <w:rPr>
          <w:szCs w:val="32"/>
        </w:rPr>
        <w:t>各区县（自治县）林业局，两江新区城市管理局，重庆高新区规划自然资源局，</w:t>
      </w:r>
      <w:r>
        <w:rPr>
          <w:rFonts w:hint="eastAsia"/>
          <w:szCs w:val="32"/>
        </w:rPr>
        <w:t>万盛经开区规划自然资源局</w:t>
      </w:r>
      <w:r>
        <w:rPr>
          <w:szCs w:val="32"/>
        </w:rPr>
        <w:t>：</w:t>
      </w:r>
    </w:p>
    <w:p>
      <w:pPr>
        <w:ind w:firstLine="632" w:firstLineChars="200"/>
        <w:rPr>
          <w:szCs w:val="32"/>
        </w:rPr>
      </w:pPr>
      <w:r>
        <w:rPr>
          <w:szCs w:val="32"/>
        </w:rPr>
        <w:t xml:space="preserve">根据《森林法》有关规定，市政府印发了《关于全市“十四五”期间年森林采伐限额的批复》（渝府〔2020〕56号），就严格执行“十四五”期间年森林采伐限额提出了明确要求，各区县林业主管部门要认真组织学习，全面贯彻落实。现就加强“十四五”期间年森林采伐限额管理通知如下： </w:t>
      </w:r>
    </w:p>
    <w:p>
      <w:pPr>
        <w:ind w:firstLine="632" w:firstLineChars="200"/>
        <w:rPr>
          <w:rFonts w:ascii="方正黑体_GBK" w:eastAsia="方正黑体_GBK"/>
          <w:szCs w:val="32"/>
        </w:rPr>
      </w:pPr>
      <w:r>
        <w:rPr>
          <w:rFonts w:hint="eastAsia" w:ascii="方正黑体_GBK" w:eastAsia="方正黑体_GBK"/>
          <w:szCs w:val="32"/>
        </w:rPr>
        <w:t>一、充分认识加强森林采伐限额管理的重要意义</w:t>
      </w:r>
    </w:p>
    <w:p>
      <w:pPr>
        <w:ind w:firstLine="632" w:firstLineChars="200"/>
        <w:rPr>
          <w:szCs w:val="32"/>
        </w:rPr>
      </w:pPr>
      <w:r>
        <w:rPr>
          <w:szCs w:val="32"/>
        </w:rPr>
        <w:t>森林资源是国家重要的自然资源和战略资源，坚持限额采伐制度，科学编制并严格执行采伐限额，是控制森林资源过量消耗的重要手段，对保障森林资源持续增长、增强森林生态系统的整体功能、巩固生态建设成果、实现生态经济可持续发展、筑牢长江上游重要生态屏障具有十分重要的意义。各区县林业主管部门要认真贯彻落实渝府〔2020〕56号文件精神，牢固树立生态优先、绿色发展理念，坚持保护优先、保育结合、可持续发展的原则，严格贯彻执行《森林法》，确保森林资源持续稳定增长、森林质量不断提升，实现森林资源永续利用、生态经济可持续发展。</w:t>
      </w:r>
    </w:p>
    <w:p>
      <w:pPr>
        <w:ind w:firstLine="632" w:firstLineChars="200"/>
        <w:rPr>
          <w:rFonts w:ascii="方正黑体_GBK" w:eastAsia="方正黑体_GBK"/>
          <w:szCs w:val="32"/>
        </w:rPr>
      </w:pPr>
      <w:r>
        <w:rPr>
          <w:rFonts w:hint="eastAsia" w:ascii="方正黑体_GBK" w:eastAsia="方正黑体_GBK"/>
          <w:szCs w:val="32"/>
        </w:rPr>
        <w:t>二、全面加强森林采伐限额管理</w:t>
      </w:r>
    </w:p>
    <w:p>
      <w:pPr>
        <w:ind w:firstLine="632" w:firstLineChars="200"/>
        <w:rPr>
          <w:rFonts w:eastAsia="方正楷体_GBK"/>
          <w:szCs w:val="32"/>
        </w:rPr>
      </w:pPr>
      <w:r>
        <w:rPr>
          <w:rFonts w:eastAsia="方正楷体_GBK"/>
          <w:szCs w:val="32"/>
        </w:rPr>
        <w:t>（一）公开公平分解限额指标</w:t>
      </w:r>
    </w:p>
    <w:p>
      <w:pPr>
        <w:ind w:firstLine="632" w:firstLineChars="200"/>
        <w:rPr>
          <w:szCs w:val="32"/>
        </w:rPr>
      </w:pPr>
      <w:r>
        <w:rPr>
          <w:szCs w:val="32"/>
        </w:rPr>
        <w:t>各区县林业主管部门要建立公开透明的采伐限额指标分配机制，按照公开、公正、公平的原则，将市政府批准的“十四五”期间以区县为编限单位的集体林地</w:t>
      </w:r>
      <w:r>
        <w:rPr>
          <w:rFonts w:hint="eastAsia"/>
          <w:szCs w:val="32"/>
        </w:rPr>
        <w:t>年森林</w:t>
      </w:r>
      <w:r>
        <w:rPr>
          <w:szCs w:val="32"/>
        </w:rPr>
        <w:t>采伐限额指标分解落实到各乡镇</w:t>
      </w:r>
      <w:r>
        <w:rPr>
          <w:rFonts w:hint="eastAsia"/>
          <w:szCs w:val="32"/>
        </w:rPr>
        <w:t>（街道）</w:t>
      </w:r>
      <w:r>
        <w:rPr>
          <w:szCs w:val="32"/>
        </w:rPr>
        <w:t>，分解成果经区县政府审定后发布实施。严禁截留、倒卖采伐指标和将采伐指标分配给没有森林资源的单位。森林采伐限额分解情况应进行公示，接受社会监督。</w:t>
      </w:r>
    </w:p>
    <w:p>
      <w:pPr>
        <w:ind w:firstLine="632" w:firstLineChars="200"/>
        <w:rPr>
          <w:rFonts w:eastAsia="方正楷体_GBK"/>
          <w:szCs w:val="32"/>
        </w:rPr>
      </w:pPr>
      <w:r>
        <w:rPr>
          <w:rFonts w:eastAsia="方正楷体_GBK"/>
          <w:szCs w:val="32"/>
        </w:rPr>
        <w:t>（二）依规使用森林采伐限额</w:t>
      </w:r>
    </w:p>
    <w:p>
      <w:pPr>
        <w:ind w:firstLine="632" w:firstLineChars="200"/>
        <w:rPr>
          <w:szCs w:val="32"/>
        </w:rPr>
      </w:pPr>
      <w:r>
        <w:rPr>
          <w:szCs w:val="32"/>
        </w:rPr>
        <w:t>市政府批准的“十四五”期间年森林采伐限额，是各区县每年采伐林地上胸径5厘米以上林木蓄积的最大限量，各地必须严格执行，不得突破。不同编限单位的采伐限额不得挪用，同一编限单位应分别按照权属、起源、森林类别、采伐类型的各分项限额使用，不得随意串换使用。依法流转的森林、林木，其相应的采伐指标可随之流转。依法批准占用征收林地需采伐林木的，不纳入年森林采伐限额管理。</w:t>
      </w:r>
    </w:p>
    <w:p>
      <w:pPr>
        <w:ind w:firstLine="632" w:firstLineChars="200"/>
        <w:rPr>
          <w:rFonts w:eastAsia="方正楷体_GBK"/>
          <w:szCs w:val="32"/>
        </w:rPr>
      </w:pPr>
      <w:r>
        <w:rPr>
          <w:rFonts w:eastAsia="方正楷体_GBK"/>
          <w:szCs w:val="32"/>
        </w:rPr>
        <w:t>（三）规范特殊情况使用限额</w:t>
      </w:r>
    </w:p>
    <w:p>
      <w:pPr>
        <w:ind w:firstLine="632" w:firstLineChars="200"/>
        <w:rPr>
          <w:szCs w:val="32"/>
        </w:rPr>
      </w:pPr>
      <w:r>
        <w:rPr>
          <w:szCs w:val="32"/>
        </w:rPr>
        <w:t>各区县实施松材线虫病疫木除治时，应严格执行森林采伐限额制度，并按照国家林草局松材线虫病</w:t>
      </w:r>
      <w:r>
        <w:rPr>
          <w:rFonts w:hint="eastAsia"/>
          <w:szCs w:val="32"/>
        </w:rPr>
        <w:t>疫区和疫木管理有关</w:t>
      </w:r>
      <w:r>
        <w:rPr>
          <w:szCs w:val="32"/>
        </w:rPr>
        <w:t>规定，由区县林业主管部门统筹使用当地限额、优先安排限额，可不受分项限额限制；在本行政区域年森林采伐限额内仍无法解决的，区县林业主管部门可向市</w:t>
      </w:r>
      <w:r>
        <w:rPr>
          <w:rFonts w:hint="eastAsia"/>
          <w:szCs w:val="32"/>
        </w:rPr>
        <w:t>林业局</w:t>
      </w:r>
      <w:r>
        <w:rPr>
          <w:szCs w:val="32"/>
        </w:rPr>
        <w:t>申请使用市级不可预见性森林采伐限额。因重大自然灾害、公共安全和自然保护区特殊情况需要</w:t>
      </w:r>
      <w:r>
        <w:rPr>
          <w:rFonts w:hint="eastAsia"/>
          <w:szCs w:val="32"/>
        </w:rPr>
        <w:t>使用</w:t>
      </w:r>
      <w:r>
        <w:rPr>
          <w:szCs w:val="32"/>
        </w:rPr>
        <w:t>采伐限额，且在本行政区域年森林采伐限额内难以解决的，区县林业主管部门可向市</w:t>
      </w:r>
      <w:r>
        <w:rPr>
          <w:rFonts w:hint="eastAsia"/>
          <w:szCs w:val="32"/>
        </w:rPr>
        <w:t>林业局</w:t>
      </w:r>
      <w:r>
        <w:rPr>
          <w:szCs w:val="32"/>
        </w:rPr>
        <w:t>申请使用市级不可预见性森林采伐限额。在申请使用市级不可预见性森林采伐限额时，应附使用市级不可预见性森林采伐限额申请表（详见附件），以及林业有害生物、重大自然灾害、公共安全和自然保护区特殊情况的佐证、依据资料；其中，林业有害生物等灾害林木清理需有相应机构的意见，森林火灾受害林木采伐需经相应生长观察期后再确认。市级不可预见性森林采伐限额仍不能解决的，按程序报请市政府审批追加。</w:t>
      </w:r>
    </w:p>
    <w:p>
      <w:pPr>
        <w:ind w:firstLine="632" w:firstLineChars="200"/>
        <w:rPr>
          <w:rFonts w:eastAsia="方正楷体_GBK"/>
          <w:szCs w:val="32"/>
        </w:rPr>
      </w:pPr>
      <w:r>
        <w:rPr>
          <w:rFonts w:eastAsia="方正楷体_GBK"/>
          <w:szCs w:val="32"/>
        </w:rPr>
        <w:t>（四）强化林木采伐管理</w:t>
      </w:r>
    </w:p>
    <w:p>
      <w:pPr>
        <w:ind w:firstLine="632" w:firstLineChars="200"/>
        <w:rPr>
          <w:rFonts w:eastAsia="方正楷体_GBK"/>
          <w:szCs w:val="32"/>
        </w:rPr>
      </w:pPr>
      <w:r>
        <w:rPr>
          <w:szCs w:val="32"/>
        </w:rPr>
        <w:t>落实《国家林业和草原局关于深入推进林木采伐“放管服”改革工作的通知》（林资规〔2019〕3号），对采伐集体林木蓄积不超过15立方米的，</w:t>
      </w:r>
      <w:r>
        <w:rPr>
          <w:rFonts w:hint="eastAsia"/>
          <w:szCs w:val="32"/>
        </w:rPr>
        <w:t>实行告知承诺方式的审批</w:t>
      </w:r>
      <w:r>
        <w:rPr>
          <w:szCs w:val="32"/>
        </w:rPr>
        <w:t>，可由区县林业主管部门委托乡镇人民政府办理林木采伐许可证。松材线虫病疫区县的疫木采伐按照经批准的年度防治实施方案实行即报即批。建设项目使用林地的林木采伐审批凭使用林地审核（批）同意书直接申请办理，林木采伐的申请者可以是拟使用林地单位（业主）或原林地使用权权利人。采伐古树名木或国家重点保护野生植物，应严格按照古树名木、野生植物保护相关规定和程序办理。林木采伐和伐区调查设计应按照</w:t>
      </w:r>
      <w:r>
        <w:rPr>
          <w:rFonts w:hint="eastAsia"/>
          <w:szCs w:val="32"/>
        </w:rPr>
        <w:t>国家及我市</w:t>
      </w:r>
      <w:r>
        <w:rPr>
          <w:szCs w:val="32"/>
        </w:rPr>
        <w:t>林木采伐技术要求执行。</w:t>
      </w:r>
    </w:p>
    <w:p>
      <w:pPr>
        <w:ind w:firstLine="632" w:firstLineChars="200"/>
        <w:rPr>
          <w:rFonts w:eastAsia="方正楷体_GBK"/>
          <w:szCs w:val="32"/>
        </w:rPr>
      </w:pPr>
      <w:r>
        <w:rPr>
          <w:rFonts w:eastAsia="方正楷体_GBK"/>
          <w:szCs w:val="32"/>
        </w:rPr>
        <w:t>（五）加强限额执行情况监督检查</w:t>
      </w:r>
    </w:p>
    <w:p>
      <w:pPr>
        <w:ind w:firstLine="632" w:firstLineChars="200"/>
        <w:rPr>
          <w:szCs w:val="32"/>
        </w:rPr>
      </w:pPr>
      <w:r>
        <w:rPr>
          <w:szCs w:val="32"/>
        </w:rPr>
        <w:t>各区县林业主管部门要加大森林采伐限额执行监管力度，加强对凭证采伐林木的技术指导、服务和执法检查，依法打击乱砍滥伐、毁林开垦、乱占林地等破坏森林资源的行为。林权所有者和经营者是伐区采伐作业和迹地更新的责任主体，应严格凭证采伐和及时更新造林，对林木采伐和更新行为实行自主管理、自我约束，并承担相应的经济法律责任。对于国有林，应编制森林经营方案并按其进行经营管理，执行伐前拨交、伐中检查、伐后验收等监管制度。市林业局将对森林采伐限额执行不力、导致森林资源破坏严重的区县，依法约谈所在区县林业主管部门有关负责人，确保我市生态经济可持续发展、生态建设成果不断巩固。</w:t>
      </w:r>
    </w:p>
    <w:p>
      <w:pPr>
        <w:ind w:firstLine="632" w:firstLineChars="200"/>
        <w:rPr>
          <w:rFonts w:eastAsia="方正黑体_GBK"/>
          <w:szCs w:val="32"/>
        </w:rPr>
      </w:pPr>
      <w:r>
        <w:rPr>
          <w:rFonts w:hint="eastAsia" w:eastAsia="方正黑体_GBK"/>
          <w:szCs w:val="32"/>
        </w:rPr>
        <w:t>三</w:t>
      </w:r>
      <w:r>
        <w:rPr>
          <w:rFonts w:eastAsia="方正黑体_GBK"/>
          <w:szCs w:val="32"/>
        </w:rPr>
        <w:t>、切实履行林木采伐安全监管职责</w:t>
      </w:r>
    </w:p>
    <w:p>
      <w:pPr>
        <w:ind w:firstLine="632" w:firstLineChars="200"/>
        <w:rPr>
          <w:szCs w:val="32"/>
        </w:rPr>
      </w:pPr>
      <w:r>
        <w:rPr>
          <w:szCs w:val="32"/>
        </w:rPr>
        <w:t>各区县林业主管部门要切实履行林木采伐安全监管职责，做好林木采伐以及林内非道路转运林木的安全监管工作。在发放采伐证时，要在采伐证备注栏中明确告知采伐者应自行防范和管控采伐安全风险，并按照自我管理、自我约束的原则，由其自我负责保障采伐安全；要</w:t>
      </w:r>
      <w:r>
        <w:rPr>
          <w:rFonts w:hint="eastAsia"/>
          <w:szCs w:val="32"/>
        </w:rPr>
        <w:t>组织</w:t>
      </w:r>
      <w:r>
        <w:rPr>
          <w:szCs w:val="32"/>
        </w:rPr>
        <w:t>开展林木采伐安全生产工作检查；要积极探索采伐者签订采伐安全承诺书等监管模式。</w:t>
      </w:r>
    </w:p>
    <w:p>
      <w:pPr>
        <w:ind w:firstLine="872" w:firstLineChars="200"/>
        <w:rPr>
          <w:rFonts w:eastAsia="方正小标宋_GBK"/>
          <w:sz w:val="44"/>
          <w:szCs w:val="44"/>
        </w:rPr>
      </w:pPr>
    </w:p>
    <w:p>
      <w:pPr>
        <w:ind w:firstLine="632" w:firstLineChars="200"/>
        <w:rPr>
          <w:szCs w:val="32"/>
        </w:rPr>
      </w:pPr>
      <w:r>
        <w:rPr>
          <w:szCs w:val="32"/>
        </w:rPr>
        <w:t>附件：使用市级不可预见性森林采伐限额申请表</w:t>
      </w:r>
    </w:p>
    <w:p>
      <w:pPr>
        <w:ind w:firstLine="632" w:firstLineChars="200"/>
        <w:rPr>
          <w:szCs w:val="32"/>
        </w:rPr>
      </w:pPr>
    </w:p>
    <w:p>
      <w:pPr>
        <w:ind w:firstLine="872" w:firstLineChars="200"/>
        <w:rPr>
          <w:rFonts w:eastAsia="方正小标宋_GBK"/>
          <w:sz w:val="44"/>
          <w:szCs w:val="44"/>
        </w:rPr>
      </w:pPr>
    </w:p>
    <w:p>
      <w:pPr>
        <w:ind w:firstLine="5287" w:firstLineChars="1673"/>
      </w:pPr>
      <w:r>
        <w:t>重庆市林业局</w:t>
      </w:r>
    </w:p>
    <w:p>
      <w:pPr>
        <w:ind w:firstLine="4977" w:firstLineChars="1575"/>
      </w:pPr>
      <w:r>
        <w:t>2021年</w:t>
      </w:r>
      <w:r>
        <w:rPr>
          <w:lang w:val="en"/>
        </w:rPr>
        <w:t>3</w:t>
      </w:r>
      <w:r>
        <w:t>月</w:t>
      </w:r>
      <w:r>
        <w:rPr>
          <w:rFonts w:hint="eastAsia"/>
        </w:rPr>
        <w:t>10</w:t>
      </w:r>
      <w:r>
        <w:t>日</w:t>
      </w:r>
    </w:p>
    <w:p>
      <w:pPr>
        <w:ind w:firstLine="632" w:firstLineChars="200"/>
        <w:rPr>
          <w:szCs w:val="32"/>
        </w:rPr>
      </w:pPr>
    </w:p>
    <w:p>
      <w:pPr>
        <w:ind w:firstLine="632" w:firstLineChars="200"/>
        <w:rPr>
          <w:szCs w:val="32"/>
        </w:rPr>
      </w:pPr>
      <w:r>
        <w:rPr>
          <w:rFonts w:hint="eastAsia"/>
          <w:szCs w:val="32"/>
        </w:rPr>
        <w:t>（此件主动公开）</w:t>
      </w:r>
    </w:p>
    <w:p>
      <w:pPr>
        <w:spacing w:line="600" w:lineRule="exact"/>
        <w:jc w:val="center"/>
        <w:rPr>
          <w:rFonts w:eastAsia="方正小标宋_GBK"/>
          <w:sz w:val="44"/>
          <w:szCs w:val="44"/>
        </w:rPr>
      </w:pPr>
    </w:p>
    <w:p>
      <w:pPr>
        <w:spacing w:line="600" w:lineRule="exact"/>
        <w:jc w:val="left"/>
        <w:rPr>
          <w:rFonts w:ascii="方正仿宋_GBK"/>
          <w:szCs w:val="32"/>
        </w:rPr>
      </w:pPr>
    </w:p>
    <w:p>
      <w:pPr>
        <w:spacing w:line="600" w:lineRule="exact"/>
        <w:jc w:val="left"/>
        <w:rPr>
          <w:rFonts w:ascii="方正仿宋_GBK"/>
          <w:szCs w:val="32"/>
        </w:rPr>
      </w:pPr>
    </w:p>
    <w:p>
      <w:pPr>
        <w:spacing w:line="600" w:lineRule="exact"/>
        <w:jc w:val="left"/>
        <w:rPr>
          <w:rFonts w:ascii="方正仿宋_GBK"/>
          <w:szCs w:val="32"/>
        </w:rPr>
      </w:pPr>
    </w:p>
    <w:p>
      <w:pPr>
        <w:ind w:right="1264" w:rightChars="400" w:firstLine="632" w:firstLineChars="200"/>
        <w:jc w:val="right"/>
      </w:pPr>
    </w:p>
    <w:p/>
    <w:p/>
    <w:p/>
    <w:p/>
    <w:p/>
    <w:p>
      <w:pPr>
        <w:sectPr>
          <w:footerReference r:id="rId3" w:type="default"/>
          <w:footerReference r:id="rId4" w:type="even"/>
          <w:pgSz w:w="11906" w:h="16838"/>
          <w:pgMar w:top="2098" w:right="1531" w:bottom="1985" w:left="1531" w:header="851" w:footer="1474" w:gutter="0"/>
          <w:cols w:space="425" w:num="1"/>
          <w:docGrid w:type="linesAndChars" w:linePitch="579" w:charSpace="-849"/>
        </w:sectPr>
      </w:pPr>
    </w:p>
    <w:p>
      <w:pPr>
        <w:spacing w:line="400" w:lineRule="exact"/>
        <w:rPr>
          <w:rFonts w:eastAsia="方正黑体_GBK"/>
        </w:rPr>
      </w:pPr>
      <w:r>
        <w:rPr>
          <w:rFonts w:eastAsia="方正黑体_GBK"/>
        </w:rPr>
        <w:t>附件</w:t>
      </w:r>
    </w:p>
    <w:p>
      <w:pPr>
        <w:spacing w:line="400" w:lineRule="exact"/>
        <w:jc w:val="center"/>
        <w:rPr>
          <w:rFonts w:eastAsia="方正小标宋_GBK"/>
          <w:sz w:val="40"/>
          <w:szCs w:val="40"/>
        </w:rPr>
      </w:pPr>
      <w:r>
        <w:rPr>
          <w:rFonts w:eastAsia="方正小标宋_GBK"/>
          <w:sz w:val="40"/>
          <w:szCs w:val="40"/>
        </w:rPr>
        <w:t>使用市级不可预见性森林采伐限额申请表</w:t>
      </w:r>
    </w:p>
    <w:p>
      <w:pPr>
        <w:spacing w:line="400" w:lineRule="exact"/>
        <w:jc w:val="center"/>
        <w:rPr>
          <w:rFonts w:eastAsia="方正小标宋_GBK"/>
          <w:sz w:val="40"/>
          <w:szCs w:val="40"/>
        </w:rPr>
      </w:pPr>
    </w:p>
    <w:p>
      <w:pPr>
        <w:spacing w:line="400" w:lineRule="exact"/>
        <w:rPr>
          <w:sz w:val="24"/>
          <w:szCs w:val="24"/>
        </w:rPr>
      </w:pPr>
      <w:r>
        <w:rPr>
          <w:rFonts w:hint="eastAsia"/>
          <w:sz w:val="24"/>
          <w:szCs w:val="24"/>
        </w:rPr>
        <w:t>申请单位（盖章）：</w:t>
      </w:r>
      <w:r>
        <w:rPr>
          <w:rFonts w:hint="eastAsia"/>
          <w:sz w:val="24"/>
          <w:szCs w:val="24"/>
          <w:u w:val="single"/>
        </w:rPr>
        <w:t xml:space="preserve">          </w:t>
      </w:r>
      <w:r>
        <w:rPr>
          <w:rFonts w:hint="eastAsia"/>
          <w:sz w:val="24"/>
          <w:szCs w:val="24"/>
        </w:rPr>
        <w:t>（区县）林业主管部门</w:t>
      </w:r>
      <w:r>
        <w:rPr>
          <w:sz w:val="24"/>
          <w:szCs w:val="24"/>
        </w:rPr>
        <w:t xml:space="preserve">                                </w:t>
      </w:r>
      <w:r>
        <w:rPr>
          <w:rFonts w:hint="eastAsia"/>
          <w:sz w:val="24"/>
          <w:szCs w:val="24"/>
        </w:rPr>
        <w:t xml:space="preserve">           </w:t>
      </w:r>
      <w:r>
        <w:rPr>
          <w:sz w:val="24"/>
          <w:szCs w:val="24"/>
        </w:rPr>
        <w:t>年    月    日</w:t>
      </w:r>
    </w:p>
    <w:tbl>
      <w:tblPr>
        <w:tblStyle w:val="6"/>
        <w:tblW w:w="14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2065"/>
        <w:gridCol w:w="84"/>
        <w:gridCol w:w="6948"/>
        <w:gridCol w:w="1701"/>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7" w:type="dxa"/>
            <w:gridSpan w:val="2"/>
            <w:vAlign w:val="center"/>
          </w:tcPr>
          <w:p>
            <w:pPr>
              <w:spacing w:line="240" w:lineRule="exact"/>
              <w:jc w:val="center"/>
              <w:rPr>
                <w:sz w:val="21"/>
                <w:szCs w:val="21"/>
              </w:rPr>
            </w:pPr>
            <w:r>
              <w:rPr>
                <w:sz w:val="21"/>
                <w:szCs w:val="21"/>
              </w:rPr>
              <w:t>采伐树种（优势树种）</w:t>
            </w:r>
          </w:p>
        </w:tc>
        <w:tc>
          <w:tcPr>
            <w:tcW w:w="7032" w:type="dxa"/>
            <w:gridSpan w:val="2"/>
            <w:tcBorders>
              <w:bottom w:val="single" w:color="auto" w:sz="4" w:space="0"/>
            </w:tcBorders>
            <w:vAlign w:val="center"/>
          </w:tcPr>
          <w:p>
            <w:pPr>
              <w:spacing w:line="400" w:lineRule="exact"/>
              <w:rPr>
                <w:sz w:val="21"/>
                <w:szCs w:val="21"/>
              </w:rPr>
            </w:pPr>
          </w:p>
        </w:tc>
        <w:tc>
          <w:tcPr>
            <w:tcW w:w="1701" w:type="dxa"/>
            <w:tcBorders>
              <w:bottom w:val="single" w:color="auto" w:sz="4" w:space="0"/>
            </w:tcBorders>
            <w:vAlign w:val="center"/>
          </w:tcPr>
          <w:p>
            <w:pPr>
              <w:spacing w:line="400" w:lineRule="exact"/>
              <w:jc w:val="center"/>
              <w:rPr>
                <w:sz w:val="21"/>
                <w:szCs w:val="21"/>
              </w:rPr>
            </w:pPr>
            <w:r>
              <w:rPr>
                <w:sz w:val="21"/>
                <w:szCs w:val="21"/>
              </w:rPr>
              <w:t>拟采伐时间</w:t>
            </w:r>
          </w:p>
        </w:tc>
        <w:tc>
          <w:tcPr>
            <w:tcW w:w="1898" w:type="dxa"/>
            <w:tcBorders>
              <w:bottom w:val="single" w:color="auto" w:sz="4" w:space="0"/>
            </w:tcBorders>
            <w:vAlign w:val="center"/>
          </w:tcPr>
          <w:p>
            <w:pPr>
              <w:spacing w:line="400" w:lineRule="exact"/>
              <w:ind w:right="446"/>
              <w:jc w:val="right"/>
              <w:rPr>
                <w:sz w:val="21"/>
                <w:szCs w:val="21"/>
              </w:rPr>
            </w:pPr>
            <w:r>
              <w:rPr>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07" w:type="dxa"/>
            <w:gridSpan w:val="2"/>
            <w:tcBorders>
              <w:right w:val="single" w:color="auto" w:sz="4" w:space="0"/>
            </w:tcBorders>
            <w:vAlign w:val="center"/>
          </w:tcPr>
          <w:p>
            <w:pPr>
              <w:spacing w:line="240" w:lineRule="exact"/>
              <w:jc w:val="center"/>
              <w:rPr>
                <w:sz w:val="21"/>
                <w:szCs w:val="21"/>
              </w:rPr>
            </w:pPr>
            <w:r>
              <w:rPr>
                <w:sz w:val="21"/>
                <w:szCs w:val="21"/>
              </w:rPr>
              <w:t>采伐事由（特殊情况及处置简述）</w:t>
            </w:r>
          </w:p>
        </w:tc>
        <w:tc>
          <w:tcPr>
            <w:tcW w:w="1063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tcBorders>
              <w:right w:val="single" w:color="auto" w:sz="4" w:space="0"/>
            </w:tcBorders>
            <w:vAlign w:val="center"/>
          </w:tcPr>
          <w:p>
            <w:pPr>
              <w:spacing w:line="400" w:lineRule="exact"/>
              <w:jc w:val="center"/>
              <w:rPr>
                <w:sz w:val="21"/>
                <w:szCs w:val="21"/>
              </w:rPr>
            </w:pPr>
            <w:r>
              <w:rPr>
                <w:sz w:val="21"/>
                <w:szCs w:val="21"/>
              </w:rPr>
              <w:t>采伐地点</w:t>
            </w:r>
          </w:p>
        </w:tc>
        <w:tc>
          <w:tcPr>
            <w:tcW w:w="126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sz w:val="21"/>
                <w:szCs w:val="21"/>
              </w:rPr>
            </w:pPr>
            <w:r>
              <w:rPr>
                <w:b/>
                <w:sz w:val="21"/>
                <w:szCs w:val="21"/>
              </w:rPr>
              <w:t>主要拟采伐地：</w:t>
            </w:r>
            <w:r>
              <w:rPr>
                <w:sz w:val="21"/>
                <w:szCs w:val="21"/>
              </w:rPr>
              <w:t xml:space="preserve">                乡镇（林场）        村              社（小地名：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tcBorders>
              <w:right w:val="single" w:color="auto" w:sz="4" w:space="0"/>
            </w:tcBorders>
            <w:vAlign w:val="center"/>
          </w:tcPr>
          <w:p>
            <w:pPr>
              <w:spacing w:line="400" w:lineRule="exact"/>
              <w:jc w:val="center"/>
              <w:rPr>
                <w:sz w:val="21"/>
                <w:szCs w:val="21"/>
              </w:rPr>
            </w:pPr>
            <w:r>
              <w:rPr>
                <w:sz w:val="21"/>
                <w:szCs w:val="21"/>
              </w:rPr>
              <w:t>采伐量</w:t>
            </w:r>
          </w:p>
        </w:tc>
        <w:tc>
          <w:tcPr>
            <w:tcW w:w="126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b/>
                <w:sz w:val="21"/>
                <w:szCs w:val="21"/>
              </w:rPr>
              <w:t>拟采伐林木总面积</w:t>
            </w:r>
            <w:r>
              <w:rPr>
                <w:sz w:val="21"/>
                <w:szCs w:val="21"/>
              </w:rPr>
              <w:t xml:space="preserve">     公顷；</w:t>
            </w:r>
            <w:r>
              <w:rPr>
                <w:b/>
                <w:sz w:val="21"/>
                <w:szCs w:val="21"/>
              </w:rPr>
              <w:t>总蓄积</w:t>
            </w:r>
            <w:r>
              <w:rPr>
                <w:sz w:val="21"/>
                <w:szCs w:val="21"/>
              </w:rPr>
              <w:t xml:space="preserve">      立方米（国有蓄积    立方米，集体与个人蓄积    立方米），</w:t>
            </w:r>
            <w:r>
              <w:rPr>
                <w:b/>
                <w:sz w:val="21"/>
                <w:szCs w:val="21"/>
              </w:rPr>
              <w:t>总出材量</w:t>
            </w:r>
            <w:r>
              <w:rPr>
                <w:sz w:val="21"/>
                <w:szCs w:val="21"/>
              </w:rPr>
              <w:t xml:space="preserve">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r>
              <w:rPr>
                <w:b/>
                <w:sz w:val="21"/>
                <w:szCs w:val="21"/>
              </w:rPr>
              <w:t>商品林</w:t>
            </w:r>
            <w:r>
              <w:rPr>
                <w:sz w:val="21"/>
                <w:szCs w:val="21"/>
              </w:rPr>
              <w:t>蓄积   立方米</w:t>
            </w: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天然林蓄积    立方米（国有蓄积    立方米，集体与个人蓄积    立方米），出材量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人工林蓄积    立方米（国有蓄积    立方米，集体与个人蓄积    立方米），出材量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21"/>
                <w:szCs w:val="21"/>
              </w:rPr>
            </w:pPr>
            <w:r>
              <w:rPr>
                <w:b/>
                <w:sz w:val="21"/>
                <w:szCs w:val="21"/>
              </w:rPr>
              <w:t>公益林</w:t>
            </w:r>
            <w:r>
              <w:rPr>
                <w:sz w:val="21"/>
                <w:szCs w:val="21"/>
              </w:rPr>
              <w:t>蓄积   立方米</w:t>
            </w: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天然林蓄积    立方米（国有蓄积    立方米，集体与个人蓄积    立方米），出材量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人工林蓄积    立方米（国有蓄积    立方米，集体与个人蓄积    立方米），出材量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一级国家级公益林蓄积    立方米，二级国家级公益林蓄积    立方米，地方公益林蓄积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restart"/>
            <w:tcBorders>
              <w:top w:val="single" w:color="auto" w:sz="4" w:space="0"/>
              <w:left w:val="single" w:color="auto" w:sz="4" w:space="0"/>
              <w:right w:val="single" w:color="auto" w:sz="4" w:space="0"/>
            </w:tcBorders>
            <w:vAlign w:val="center"/>
          </w:tcPr>
          <w:p>
            <w:pPr>
              <w:spacing w:line="400" w:lineRule="exact"/>
              <w:jc w:val="center"/>
              <w:rPr>
                <w:b/>
                <w:sz w:val="21"/>
                <w:szCs w:val="21"/>
              </w:rPr>
            </w:pPr>
            <w:r>
              <w:rPr>
                <w:b/>
                <w:sz w:val="21"/>
                <w:szCs w:val="21"/>
              </w:rPr>
              <w:t>涉及自然保护地</w:t>
            </w: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自然保护区面积          公顷，蓄积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continue"/>
            <w:tcBorders>
              <w:left w:val="single" w:color="auto" w:sz="4" w:space="0"/>
              <w:right w:val="single" w:color="auto" w:sz="4" w:space="0"/>
            </w:tcBorders>
            <w:vAlign w:val="center"/>
          </w:tcPr>
          <w:p>
            <w:pPr>
              <w:spacing w:line="400" w:lineRule="exact"/>
              <w:jc w:val="right"/>
              <w:rPr>
                <w:sz w:val="21"/>
                <w:szCs w:val="21"/>
              </w:rPr>
            </w:pP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风景名胜区面积          公顷，蓄积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continue"/>
            <w:tcBorders>
              <w:left w:val="single" w:color="auto" w:sz="4" w:space="0"/>
              <w:right w:val="single" w:color="auto" w:sz="4" w:space="0"/>
            </w:tcBorders>
            <w:vAlign w:val="center"/>
          </w:tcPr>
          <w:p>
            <w:pPr>
              <w:spacing w:line="400" w:lineRule="exact"/>
              <w:jc w:val="right"/>
              <w:rPr>
                <w:sz w:val="21"/>
                <w:szCs w:val="21"/>
              </w:rPr>
            </w:pP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森 林 公园面积          公顷，蓄积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continue"/>
            <w:tcBorders>
              <w:left w:val="single" w:color="auto" w:sz="4" w:space="0"/>
              <w:right w:val="single" w:color="auto" w:sz="4" w:space="0"/>
            </w:tcBorders>
            <w:vAlign w:val="center"/>
          </w:tcPr>
          <w:p>
            <w:pPr>
              <w:spacing w:line="400" w:lineRule="exact"/>
              <w:jc w:val="right"/>
              <w:rPr>
                <w:sz w:val="21"/>
                <w:szCs w:val="21"/>
              </w:rPr>
            </w:pP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湿 地 公园面积          公顷，蓄积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continue"/>
            <w:tcBorders>
              <w:left w:val="single" w:color="auto" w:sz="4" w:space="0"/>
              <w:right w:val="single" w:color="auto" w:sz="4" w:space="0"/>
            </w:tcBorders>
            <w:vAlign w:val="center"/>
          </w:tcPr>
          <w:p>
            <w:pPr>
              <w:spacing w:line="400" w:lineRule="exact"/>
              <w:jc w:val="right"/>
              <w:rPr>
                <w:sz w:val="21"/>
                <w:szCs w:val="21"/>
              </w:rPr>
            </w:pP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地 质 公园面积          公顷，蓄积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tcBorders>
              <w:right w:val="single" w:color="auto" w:sz="4" w:space="0"/>
            </w:tcBorders>
            <w:vAlign w:val="center"/>
          </w:tcPr>
          <w:p>
            <w:pPr>
              <w:spacing w:line="400" w:lineRule="exact"/>
              <w:rPr>
                <w:sz w:val="21"/>
                <w:szCs w:val="21"/>
              </w:rPr>
            </w:pPr>
          </w:p>
        </w:tc>
        <w:tc>
          <w:tcPr>
            <w:tcW w:w="2149" w:type="dxa"/>
            <w:gridSpan w:val="2"/>
            <w:vMerge w:val="continue"/>
            <w:tcBorders>
              <w:left w:val="single" w:color="auto" w:sz="4" w:space="0"/>
              <w:bottom w:val="single" w:color="auto" w:sz="4" w:space="0"/>
              <w:right w:val="single" w:color="auto" w:sz="4" w:space="0"/>
            </w:tcBorders>
            <w:vAlign w:val="center"/>
          </w:tcPr>
          <w:p>
            <w:pPr>
              <w:spacing w:line="400" w:lineRule="exact"/>
              <w:jc w:val="right"/>
              <w:rPr>
                <w:sz w:val="21"/>
                <w:szCs w:val="21"/>
              </w:rPr>
            </w:pPr>
          </w:p>
        </w:tc>
        <w:tc>
          <w:tcPr>
            <w:tcW w:w="10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rPr>
              <w:t>其      它面积          公顷，蓄积    立方米。</w:t>
            </w:r>
          </w:p>
        </w:tc>
      </w:tr>
    </w:tbl>
    <w:p>
      <w:pPr>
        <w:rPr>
          <w:sz w:val="21"/>
          <w:szCs w:val="21"/>
        </w:rPr>
        <w:sectPr>
          <w:pgSz w:w="16838" w:h="11906" w:orient="landscape"/>
          <w:pgMar w:top="1531" w:right="2098" w:bottom="1531" w:left="1985" w:header="851" w:footer="1474" w:gutter="0"/>
          <w:cols w:space="425" w:num="1"/>
          <w:docGrid w:type="lines" w:linePitch="579" w:charSpace="-849"/>
        </w:sectPr>
      </w:pPr>
    </w:p>
    <w:p>
      <w:pPr>
        <w:rPr>
          <w:sz w:val="21"/>
          <w:szCs w:val="21"/>
        </w:rPr>
        <w:sectPr>
          <w:footerReference r:id="rId5" w:type="default"/>
          <w:pgSz w:w="11906" w:h="16838"/>
          <w:pgMar w:top="2098" w:right="1531" w:bottom="1985" w:left="1531" w:header="851" w:footer="1474" w:gutter="0"/>
          <w:cols w:space="425" w:num="1"/>
          <w:docGrid w:linePitch="579" w:charSpace="-849"/>
        </w:sectPr>
      </w:pPr>
    </w:p>
    <w:p/>
    <w:p/>
    <w:p/>
    <w:p/>
    <w:p/>
    <w:p/>
    <w:p/>
    <w:p/>
    <w:p/>
    <w:p/>
    <w:p/>
    <w:p/>
    <w:p/>
    <w:p/>
    <w:p/>
    <w:p/>
    <w:p/>
    <w:p/>
    <w:p/>
    <w:p/>
    <w:p/>
    <w:p/>
    <w:p/>
    <w:p/>
    <w:p/>
    <w:p/>
    <w:p/>
    <w:p/>
    <w:p/>
    <w:p>
      <w:pPr>
        <w:spacing w:line="560" w:lineRule="exact"/>
        <w:rPr>
          <w:rFonts w:hint="eastAsia"/>
        </w:rPr>
      </w:pPr>
    </w:p>
    <w:p>
      <w:pPr>
        <w:spacing w:line="560" w:lineRule="exact"/>
      </w:pPr>
    </w:p>
    <w:p>
      <w:pPr>
        <w:pBdr>
          <w:top w:val="single" w:color="auto" w:sz="4" w:space="1"/>
          <w:bottom w:val="single" w:color="auto" w:sz="8" w:space="1"/>
        </w:pBdr>
        <w:spacing w:line="560" w:lineRule="exact"/>
        <w:ind w:firstLine="280" w:firstLineChars="100"/>
        <w:rPr>
          <w:sz w:val="28"/>
          <w:szCs w:val="28"/>
        </w:rPr>
      </w:pPr>
      <w:r>
        <w:rPr>
          <w:sz w:val="28"/>
          <w:szCs w:val="28"/>
        </w:rPr>
        <w:t>重庆市林业局办公室                      20</w:t>
      </w:r>
      <w:r>
        <w:rPr>
          <w:rFonts w:hint="eastAsia"/>
          <w:sz w:val="28"/>
          <w:szCs w:val="28"/>
        </w:rPr>
        <w:t>21</w:t>
      </w:r>
      <w:r>
        <w:rPr>
          <w:sz w:val="28"/>
          <w:szCs w:val="28"/>
        </w:rPr>
        <w:t>年</w:t>
      </w:r>
      <w:r>
        <w:rPr>
          <w:rFonts w:hint="eastAsia"/>
          <w:sz w:val="28"/>
          <w:szCs w:val="28"/>
        </w:rPr>
        <w:t>3</w:t>
      </w:r>
      <w:r>
        <w:rPr>
          <w:sz w:val="28"/>
          <w:szCs w:val="28"/>
        </w:rPr>
        <w:t>月</w:t>
      </w:r>
      <w:r>
        <w:rPr>
          <w:rFonts w:hint="eastAsia"/>
          <w:sz w:val="28"/>
          <w:szCs w:val="28"/>
        </w:rPr>
        <w:t>10</w:t>
      </w:r>
      <w:r>
        <w:rPr>
          <w:sz w:val="28"/>
          <w:szCs w:val="28"/>
        </w:rPr>
        <w:t>日印发</w:t>
      </w:r>
    </w:p>
    <w:p>
      <w:pPr>
        <w:spacing w:line="240" w:lineRule="exact"/>
      </w:pPr>
    </w:p>
    <w:sectPr>
      <w:footerReference r:id="rId6" w:type="default"/>
      <w:footerReference r:id="rId7" w:type="even"/>
      <w:pgSz w:w="11906" w:h="16838"/>
      <w:pgMar w:top="2098" w:right="1531" w:bottom="1985" w:left="1531" w:header="851" w:footer="1474"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8"/>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11"/>
      <w:lvlText w:val="图%1. "/>
      <w:lvlJc w:val="left"/>
      <w:pPr>
        <w:tabs>
          <w:tab w:val="left" w:pos="777"/>
        </w:tabs>
        <w:ind w:left="777" w:hanging="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evenAndOddHeaders w:val="true"/>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77A10"/>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D74"/>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431C"/>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06F57"/>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76415"/>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0F74"/>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14FD1EBC"/>
    <w:rsid w:val="1ACDC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lang w:val="zh-CN"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99"/>
    <w:pPr>
      <w:widowControl/>
      <w:spacing w:before="100" w:beforeAutospacing="1" w:after="100" w:afterAutospacing="1"/>
      <w:jc w:val="left"/>
    </w:pPr>
    <w:rPr>
      <w:rFonts w:ascii="宋体" w:hAnsi="宋体" w:eastAsia="宋体"/>
      <w:color w:val="000000"/>
      <w:kern w:val="0"/>
      <w:sz w:val="24"/>
      <w:szCs w:val="24"/>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批注框文本 Char"/>
    <w:link w:val="2"/>
    <w:qFormat/>
    <w:uiPriority w:val="0"/>
    <w:rPr>
      <w:rFonts w:eastAsia="方正仿宋_GBK"/>
      <w:kern w:val="2"/>
      <w:sz w:val="18"/>
      <w:szCs w:val="18"/>
    </w:rPr>
  </w:style>
  <w:style w:type="paragraph" w:customStyle="1" w:styleId="11">
    <w:name w:val="Char Char1"/>
    <w:basedOn w:val="1"/>
    <w:next w:val="1"/>
    <w:semiHidden/>
    <w:qFormat/>
    <w:uiPriority w:val="0"/>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12">
    <w:name w:val="pa-0"/>
    <w:basedOn w:val="1"/>
    <w:qFormat/>
    <w:uiPriority w:val="0"/>
    <w:pPr>
      <w:widowControl/>
      <w:spacing w:line="480" w:lineRule="atLeast"/>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8</Pages>
  <Words>461</Words>
  <Characters>2630</Characters>
  <Lines>21</Lines>
  <Paragraphs>6</Paragraphs>
  <TotalTime>0</TotalTime>
  <ScaleCrop>false</ScaleCrop>
  <LinksUpToDate>false</LinksUpToDate>
  <CharactersWithSpaces>3085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2021-03-12T00:02:00Z</dcterms:created>
  <dc:creator>ye</dc:creator>
  <cp:lastModifiedBy>user</cp:lastModifiedBy>
  <cp:lastPrinted>2016-11-22T01:27:00Z</cp:lastPrinted>
  <dcterms:modified xsi:type="dcterms:W3CDTF">2022-07-06T15:17:33Z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