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880" w:firstLineChars="200"/>
        <w:jc w:val="center"/>
        <w:textAlignment w:val="auto"/>
        <w:rPr>
          <w:rFonts w:hint="default" w:ascii="Times New Roman" w:hAnsi="Times New Roman" w:eastAsia="方正小标宋_GBK" w:cs="方正小标宋_GBK"/>
          <w:color w:val="000000" w:themeColor="text1"/>
          <w:sz w:val="44"/>
          <w:szCs w:val="44"/>
        </w:rPr>
      </w:pPr>
      <w:r>
        <w:rPr>
          <w:rFonts w:ascii="Times New Roman" w:hAnsi="Times New Roman" w:eastAsia="方正小标宋_GBK" w:cs="方正小标宋_GBK"/>
          <w:color w:val="000000" w:themeColor="text1"/>
          <w:sz w:val="44"/>
          <w:szCs w:val="44"/>
        </w:rPr>
        <w:t>重庆市涪陵区林业发展服务中心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880" w:firstLineChars="200"/>
        <w:jc w:val="center"/>
        <w:textAlignment w:val="auto"/>
        <w:rPr>
          <w:rFonts w:hint="eastAsia" w:ascii="Times New Roman" w:hAnsi="Times New Roman" w:eastAsia="方正小标宋_GBK" w:cs="方正小标宋_GBK"/>
          <w:color w:val="000000" w:themeColor="text1"/>
          <w:sz w:val="44"/>
          <w:szCs w:val="44"/>
          <w:shd w:val="clear" w:color="auto" w:fill="FFFFFF"/>
          <w:lang w:eastAsia="zh-CN"/>
        </w:rPr>
      </w:pPr>
      <w:r>
        <w:rPr>
          <w:rFonts w:ascii="Times New Roman" w:hAnsi="Times New Roman" w:eastAsia="方正小标宋_GBK" w:cs="方正小标宋_GBK"/>
          <w:color w:val="000000" w:themeColor="text1"/>
          <w:sz w:val="44"/>
          <w:szCs w:val="44"/>
          <w:shd w:val="clear" w:color="auto" w:fill="FFFFFF"/>
        </w:rPr>
        <w:t>2023年度决算</w:t>
      </w:r>
      <w:r>
        <w:rPr>
          <w:rFonts w:hint="eastAsia" w:ascii="Times New Roman" w:hAnsi="Times New Roman" w:eastAsia="方正小标宋_GBK" w:cs="方正小标宋_GBK"/>
          <w:color w:val="000000" w:themeColor="text1"/>
          <w:sz w:val="44"/>
          <w:szCs w:val="44"/>
          <w:shd w:val="clear" w:color="auto" w:fill="FFFFFF"/>
          <w:lang w:eastAsia="zh-CN"/>
        </w:rPr>
        <w:t>情况说明</w:t>
      </w:r>
      <w:bookmarkStart w:id="0" w:name="_GoBack"/>
      <w:bookmarkEnd w:id="0"/>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880" w:firstLineChars="200"/>
        <w:jc w:val="center"/>
        <w:textAlignment w:val="auto"/>
        <w:rPr>
          <w:rFonts w:hint="default" w:ascii="Times New Roman" w:hAnsi="Times New Roman" w:eastAsia="方正小标宋_GBK" w:cs="方正小标宋_GBK"/>
          <w:color w:val="000000" w:themeColor="text1"/>
          <w:sz w:val="44"/>
          <w:szCs w:val="44"/>
          <w:shd w:val="clear" w:color="auto" w:fill="FFFFFF"/>
        </w:rPr>
      </w:pPr>
    </w:p>
    <w:p>
      <w:pPr>
        <w:pStyle w:val="7"/>
        <w:shd w:val="clear" w:color="auto" w:fill="FFFFFF"/>
        <w:spacing w:before="0" w:beforeAutospacing="0" w:after="0" w:afterAutospacing="0"/>
        <w:ind w:firstLine="640" w:firstLineChars="200"/>
        <w:rPr>
          <w:rFonts w:hint="default" w:ascii="Times New Roman" w:hAnsi="Times New Roman" w:eastAsia="方正黑体_GBK" w:cs="黑体"/>
          <w:b/>
          <w:color w:val="000000" w:themeColor="text1"/>
          <w:sz w:val="32"/>
          <w:szCs w:val="32"/>
        </w:rPr>
      </w:pPr>
      <w:r>
        <w:rPr>
          <w:rStyle w:val="11"/>
          <w:rFonts w:ascii="Times New Roman" w:hAnsi="Times New Roman" w:eastAsia="方正黑体_GBK" w:cs="黑体"/>
          <w:b w:val="0"/>
          <w:color w:val="000000" w:themeColor="text1"/>
          <w:sz w:val="32"/>
          <w:szCs w:val="32"/>
          <w:shd w:val="clear" w:color="auto" w:fill="FFFFFF"/>
        </w:rPr>
        <w:t>一、单位基本情况</w:t>
      </w:r>
    </w:p>
    <w:p>
      <w:pPr>
        <w:pStyle w:val="13"/>
        <w:autoSpaceDE w:val="0"/>
        <w:spacing w:before="0" w:beforeAutospacing="0" w:after="0" w:afterAutospacing="0" w:line="420" w:lineRule="auto"/>
        <w:ind w:firstLine="640" w:firstLineChars="200"/>
        <w:jc w:val="both"/>
        <w:rPr>
          <w:rFonts w:ascii="Times New Roman" w:hAnsi="Times New Roman" w:eastAsia="方正楷体_GBK"/>
          <w:b/>
          <w:color w:val="000000" w:themeColor="text1"/>
          <w:sz w:val="32"/>
          <w:szCs w:val="32"/>
          <w:shd w:val="clear" w:color="auto" w:fill="FFFFFF"/>
        </w:rPr>
      </w:pPr>
      <w:r>
        <w:rPr>
          <w:rStyle w:val="19"/>
          <w:rFonts w:hint="eastAsia" w:ascii="Times New Roman" w:hAnsi="Times New Roman" w:eastAsia="方正楷体_GBK"/>
          <w:b w:val="0"/>
          <w:color w:val="000000" w:themeColor="text1"/>
          <w:sz w:val="32"/>
          <w:szCs w:val="32"/>
          <w:shd w:val="clear" w:color="auto" w:fill="FFFFFF"/>
        </w:rPr>
        <w:t>（一）职能职责</w:t>
      </w:r>
    </w:p>
    <w:p>
      <w:pPr>
        <w:pStyle w:val="13"/>
        <w:autoSpaceDE w:val="0"/>
        <w:spacing w:before="0" w:beforeAutospacing="0" w:after="0" w:afterAutospacing="0" w:line="420" w:lineRule="auto"/>
        <w:ind w:firstLine="640" w:firstLineChars="200"/>
        <w:jc w:val="both"/>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贯彻执行有关自然保护区、风景名胜区方针政策和法律、法规；落实自然保护区、风景名胜区各项管理制度；承担全区各类林业生产和工程建设项目、造林绿化、林权等相关服务工作；承担林业技术推广、技术培训、技术咨询工作；承担区林业局交办的其他工作。</w:t>
      </w:r>
    </w:p>
    <w:p>
      <w:pPr>
        <w:pStyle w:val="13"/>
        <w:autoSpaceDE w:val="0"/>
        <w:spacing w:before="0" w:beforeAutospacing="0" w:after="0" w:afterAutospacing="0" w:line="420" w:lineRule="auto"/>
        <w:ind w:firstLine="640" w:firstLineChars="200"/>
        <w:jc w:val="both"/>
        <w:rPr>
          <w:rStyle w:val="19"/>
          <w:rFonts w:ascii="Times New Roman" w:hAnsi="Times New Roman" w:eastAsia="方正楷体_GBK"/>
          <w:color w:val="000000" w:themeColor="text1"/>
          <w:sz w:val="32"/>
          <w:szCs w:val="32"/>
          <w:shd w:val="clear" w:color="auto" w:fill="FFFFFF"/>
        </w:rPr>
      </w:pPr>
      <w:r>
        <w:rPr>
          <w:rStyle w:val="19"/>
          <w:rFonts w:hint="eastAsia" w:ascii="Times New Roman" w:hAnsi="Times New Roman" w:eastAsia="方正楷体_GBK"/>
          <w:b w:val="0"/>
          <w:color w:val="000000" w:themeColor="text1"/>
          <w:sz w:val="32"/>
          <w:szCs w:val="32"/>
          <w:shd w:val="clear" w:color="auto" w:fill="FFFFFF"/>
        </w:rPr>
        <w:t>（二）机构设置</w:t>
      </w:r>
    </w:p>
    <w:p>
      <w:pPr>
        <w:pStyle w:val="7"/>
        <w:shd w:val="clear" w:color="auto" w:fill="FFFFFF"/>
        <w:spacing w:before="0" w:beforeAutospacing="0" w:after="0" w:afterAutospacing="0"/>
        <w:ind w:firstLine="640" w:firstLineChars="200"/>
        <w:rPr>
          <w:rFonts w:hint="default" w:ascii="Times New Roman" w:hAnsi="Times New Roman" w:eastAsia="微软雅黑"/>
          <w:color w:val="000000" w:themeColor="text1"/>
          <w:shd w:val="clear" w:color="auto" w:fill="FFFFFF"/>
        </w:rPr>
      </w:pPr>
      <w:r>
        <w:rPr>
          <w:rFonts w:ascii="Times New Roman" w:hAnsi="Times New Roman" w:eastAsia="方正仿宋_GBK"/>
          <w:color w:val="000000" w:themeColor="text1"/>
          <w:sz w:val="32"/>
          <w:szCs w:val="32"/>
          <w:shd w:val="clear" w:color="auto" w:fill="FFFFFF"/>
        </w:rPr>
        <w:t>重庆市涪陵区林业发展服务中心为区林业局管理的正科级事业单位，无内设机构。</w:t>
      </w:r>
    </w:p>
    <w:p>
      <w:pPr>
        <w:pStyle w:val="7"/>
        <w:shd w:val="clear" w:color="auto" w:fill="FFFFFF"/>
        <w:spacing w:before="0" w:beforeAutospacing="0" w:after="0" w:afterAutospacing="0"/>
        <w:ind w:firstLine="642" w:firstLineChars="200"/>
        <w:rPr>
          <w:rFonts w:hint="default" w:ascii="Times New Roman" w:hAnsi="Times New Roman" w:eastAsia="黑体" w:cs="黑体"/>
          <w:b/>
          <w:color w:val="000000" w:themeColor="text1"/>
          <w:sz w:val="32"/>
          <w:szCs w:val="32"/>
          <w:shd w:val="clear" w:color="auto" w:fill="FFFFFF"/>
        </w:rPr>
      </w:pPr>
      <w:r>
        <w:rPr>
          <w:rStyle w:val="11"/>
          <w:rFonts w:ascii="Times New Roman" w:hAnsi="Times New Roman" w:eastAsia="黑体" w:cs="黑体"/>
          <w:color w:val="000000" w:themeColor="text1"/>
          <w:sz w:val="32"/>
          <w:szCs w:val="32"/>
          <w:shd w:val="clear" w:color="auto" w:fill="FFFFFF"/>
        </w:rPr>
        <w:t>二、单位决算情况说明</w:t>
      </w:r>
    </w:p>
    <w:p>
      <w:pPr>
        <w:pStyle w:val="12"/>
        <w:autoSpaceDE w:val="0"/>
        <w:ind w:firstLine="640"/>
        <w:rPr>
          <w:rFonts w:ascii="Times New Roman" w:hAnsi="Times New Roman" w:eastAsia="楷体" w:cs="楷体"/>
          <w:bCs/>
          <w:color w:val="000000" w:themeColor="text1"/>
          <w:sz w:val="32"/>
          <w:szCs w:val="32"/>
          <w:shd w:val="clear" w:color="auto" w:fill="FFFFFF"/>
        </w:rPr>
      </w:pPr>
      <w:r>
        <w:rPr>
          <w:rFonts w:hint="eastAsia" w:ascii="Times New Roman" w:hAnsi="Times New Roman" w:eastAsia="楷体" w:cs="楷体"/>
          <w:bCs/>
          <w:color w:val="000000" w:themeColor="text1"/>
          <w:sz w:val="32"/>
          <w:szCs w:val="32"/>
          <w:shd w:val="clear" w:color="auto" w:fill="FFFFFF"/>
        </w:rPr>
        <w:t>（一）收入支出决算总体情况说明。</w:t>
      </w:r>
    </w:p>
    <w:p>
      <w:pPr>
        <w:pStyle w:val="7"/>
        <w:shd w:val="clear" w:color="auto" w:fill="FFFFFF"/>
        <w:spacing w:before="0" w:beforeAutospacing="0" w:after="0" w:afterAutospacing="0"/>
        <w:ind w:firstLine="642" w:firstLineChars="200"/>
        <w:rPr>
          <w:rFonts w:hint="default" w:ascii="Times New Roman" w:hAnsi="Times New Roman" w:eastAsia="方正仿宋_GBK" w:cs="方正仿宋_GBK"/>
          <w:color w:val="000000" w:themeColor="text1"/>
          <w:sz w:val="32"/>
          <w:szCs w:val="32"/>
          <w:shd w:val="clear" w:color="auto" w:fill="FFFFFF"/>
        </w:rPr>
      </w:pPr>
      <w:r>
        <w:rPr>
          <w:rStyle w:val="11"/>
          <w:rFonts w:ascii="Times New Roman" w:hAnsi="Times New Roman" w:eastAsia="方正仿宋_GBK" w:cs="方正仿宋_GBK"/>
          <w:color w:val="000000" w:themeColor="text1"/>
          <w:sz w:val="32"/>
          <w:szCs w:val="32"/>
          <w:shd w:val="clear" w:color="auto" w:fill="FFFFFF"/>
        </w:rPr>
        <w:t>1.总体情况。</w:t>
      </w:r>
      <w:r>
        <w:rPr>
          <w:rFonts w:ascii="Times New Roman" w:hAnsi="Times New Roman" w:eastAsia="方正仿宋_GBK" w:cs="方正仿宋_GBK"/>
          <w:color w:val="000000" w:themeColor="text1"/>
          <w:sz w:val="32"/>
          <w:szCs w:val="32"/>
          <w:shd w:val="clear" w:color="auto" w:fill="FFFFFF"/>
        </w:rPr>
        <w:t>2023年度收入总计826.37万元(其中当年收入610.48万元，年初结转结余215.89万元)，支出总计</w:t>
      </w:r>
      <w:r>
        <w:rPr>
          <w:rFonts w:ascii="Times New Roman" w:hAnsi="Times New Roman" w:eastAsia="方正仿宋_GBK" w:cs="方正仿宋_GBK"/>
          <w:color w:val="000000" w:themeColor="text1"/>
          <w:sz w:val="32"/>
          <w:szCs w:val="32"/>
        </w:rPr>
        <w:t>826.37</w:t>
      </w:r>
      <w:r>
        <w:rPr>
          <w:rFonts w:ascii="Times New Roman" w:hAnsi="Times New Roman" w:eastAsia="方正仿宋_GBK" w:cs="方正仿宋_GBK"/>
          <w:color w:val="000000" w:themeColor="text1"/>
          <w:sz w:val="32"/>
          <w:szCs w:val="32"/>
          <w:shd w:val="clear" w:color="auto" w:fill="FFFFFF"/>
        </w:rPr>
        <w:t>万元（其中当年支出611.03万元，年末结转结余215.34万元）。收支较上年决算数增加47.36万元，增长6.08%，主要原因一是年初结转结余递延至2023年，二是在职人员工资薪金、养老保险、医疗保险基数调增。</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方正仿宋_GBK"/>
          <w:color w:val="000000" w:themeColor="text1"/>
          <w:sz w:val="32"/>
          <w:szCs w:val="32"/>
          <w:shd w:val="clear" w:color="auto" w:fill="FFFFFF"/>
        </w:rPr>
      </w:pPr>
      <w:r>
        <w:rPr>
          <w:rStyle w:val="11"/>
          <w:rFonts w:ascii="Times New Roman" w:hAnsi="Times New Roman" w:eastAsia="方正仿宋_GBK" w:cs="方正仿宋_GBK"/>
          <w:color w:val="000000" w:themeColor="text1"/>
          <w:sz w:val="32"/>
          <w:szCs w:val="32"/>
          <w:shd w:val="clear" w:color="auto" w:fill="FFFFFF"/>
        </w:rPr>
        <w:t>2.收入情况。</w:t>
      </w:r>
      <w:r>
        <w:rPr>
          <w:rFonts w:ascii="Times New Roman" w:hAnsi="Times New Roman" w:eastAsia="方正仿宋_GBK" w:cs="方正仿宋_GBK"/>
          <w:color w:val="000000" w:themeColor="text1"/>
          <w:sz w:val="32"/>
          <w:szCs w:val="32"/>
          <w:shd w:val="clear" w:color="auto" w:fill="FFFFFF"/>
        </w:rPr>
        <w:t>2023年度收入合计610.48万元，较上年决算数减少168.53万元，下降21.63%，主要原因是上级拨入补助较2022年减少。其中：财政拨款收入590.48万元，占96.72%；事业收入0.00万元，占0.00%；经营收入0.00万元，占0.00%；其他收入20.00万元，占3.28%。此外，使用非财政拨款结余和专用结余0.00万元，年初结转和结余215.89万元。</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方正仿宋_GBK"/>
          <w:color w:val="000000" w:themeColor="text1"/>
          <w:sz w:val="32"/>
          <w:szCs w:val="32"/>
          <w:shd w:val="clear" w:color="auto" w:fill="FFFFFF"/>
        </w:rPr>
      </w:pPr>
      <w:r>
        <w:rPr>
          <w:rStyle w:val="11"/>
          <w:rFonts w:ascii="Times New Roman" w:hAnsi="Times New Roman" w:eastAsia="方正仿宋_GBK" w:cs="方正仿宋_GBK"/>
          <w:color w:val="000000" w:themeColor="text1"/>
          <w:sz w:val="32"/>
          <w:szCs w:val="32"/>
          <w:shd w:val="clear" w:color="auto" w:fill="FFFFFF"/>
        </w:rPr>
        <w:t>3.支出情况。</w:t>
      </w:r>
      <w:r>
        <w:rPr>
          <w:rFonts w:ascii="Times New Roman" w:hAnsi="Times New Roman" w:eastAsia="方正仿宋_GBK" w:cs="方正仿宋_GBK"/>
          <w:color w:val="000000" w:themeColor="text1"/>
          <w:sz w:val="32"/>
          <w:szCs w:val="32"/>
          <w:shd w:val="clear" w:color="auto" w:fill="FFFFFF"/>
        </w:rPr>
        <w:t>2023年度支出合计</w:t>
      </w:r>
      <w:r>
        <w:rPr>
          <w:rFonts w:ascii="Times New Roman" w:hAnsi="Times New Roman" w:eastAsia="方正仿宋_GBK" w:cs="方正仿宋_GBK"/>
          <w:color w:val="000000" w:themeColor="text1"/>
          <w:sz w:val="32"/>
          <w:szCs w:val="32"/>
        </w:rPr>
        <w:t>611.03</w:t>
      </w:r>
      <w:r>
        <w:rPr>
          <w:rFonts w:ascii="Times New Roman" w:hAnsi="Times New Roman" w:eastAsia="方正仿宋_GBK" w:cs="方正仿宋_GBK"/>
          <w:color w:val="000000" w:themeColor="text1"/>
          <w:sz w:val="32"/>
          <w:szCs w:val="32"/>
          <w:shd w:val="clear" w:color="auto" w:fill="FFFFFF"/>
        </w:rPr>
        <w:t>万元，较上年决算数增加47.92万元，增长8.51%，主要原因是社会保障就业支出中行政事业单位养老及职业年金、退休人员健康休养费支出增加。其中：基本支出590.48万元，占96.64%；项目支出20.56万元，占3.36%；经营支出0.00万元，占0.00%。此外，结余分配0.00万元。</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b/>
          <w:color w:val="000000" w:themeColor="text1"/>
          <w:sz w:val="32"/>
          <w:szCs w:val="32"/>
        </w:rPr>
        <w:t>4.结转结余情况。</w:t>
      </w:r>
      <w:r>
        <w:rPr>
          <w:rFonts w:ascii="Times New Roman" w:hAnsi="Times New Roman" w:eastAsia="方正仿宋_GBK" w:cs="方正仿宋_GBK"/>
          <w:color w:val="000000" w:themeColor="text1"/>
          <w:sz w:val="32"/>
          <w:szCs w:val="32"/>
          <w:shd w:val="clear" w:color="auto" w:fill="FFFFFF"/>
        </w:rPr>
        <w:t>2023年度年末结转和结余215.34万元，较上年决算数减少0.55万元，下降0.25%，主要原因是本年度按项目进度及合同约定，相应支出有关费用。</w:t>
      </w:r>
    </w:p>
    <w:p>
      <w:pPr>
        <w:pStyle w:val="12"/>
        <w:autoSpaceDE w:val="0"/>
        <w:ind w:firstLine="643"/>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000000" w:themeColor="text1"/>
          <w:sz w:val="32"/>
          <w:szCs w:val="32"/>
        </w:rPr>
      </w:pPr>
      <w:r>
        <w:rPr>
          <w:rFonts w:ascii="Times New Roman" w:hAnsi="Times New Roman" w:eastAsia="方正仿宋_GBK" w:cs="方正仿宋_GBK"/>
          <w:color w:val="000000" w:themeColor="text1"/>
          <w:sz w:val="32"/>
          <w:szCs w:val="32"/>
          <w:shd w:val="clear" w:color="auto" w:fill="FFFFFF"/>
        </w:rPr>
        <w:t>2023年度财政拨款收、支总计590.48万元。与2022年相比，财政拨款收、支总计各增加31.47万元，增长5.63%。主要原因是人员正常工资薪级调整、行政事业单位养老中涉及退休人员健康休养费支出增加。</w:t>
      </w:r>
    </w:p>
    <w:p>
      <w:pPr>
        <w:pStyle w:val="12"/>
        <w:autoSpaceDE w:val="0"/>
        <w:ind w:firstLine="643"/>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方正仿宋_GBK" w:cs="方正仿宋_GBK"/>
          <w:color w:val="000000" w:themeColor="text1"/>
          <w:sz w:val="32"/>
          <w:szCs w:val="32"/>
          <w:shd w:val="clear" w:color="auto" w:fill="FFFFFF"/>
        </w:rPr>
        <w:t>1.收入情况。</w:t>
      </w:r>
      <w:r>
        <w:rPr>
          <w:rFonts w:ascii="Times New Roman" w:hAnsi="Times New Roman" w:eastAsia="方正仿宋_GBK" w:cs="方正仿宋_GBK"/>
          <w:color w:val="000000" w:themeColor="text1"/>
          <w:sz w:val="32"/>
          <w:szCs w:val="32"/>
          <w:shd w:val="clear" w:color="auto" w:fill="FFFFFF"/>
        </w:rPr>
        <w:t>2023年度一般公共预算财政拨款收入</w:t>
      </w:r>
      <w:r>
        <w:rPr>
          <w:rFonts w:ascii="Times New Roman" w:hAnsi="Times New Roman" w:eastAsia="方正仿宋_GBK" w:cs="方正仿宋_GBK"/>
          <w:color w:val="000000" w:themeColor="text1"/>
          <w:sz w:val="32"/>
          <w:szCs w:val="32"/>
        </w:rPr>
        <w:t>590.48</w:t>
      </w:r>
      <w:r>
        <w:rPr>
          <w:rFonts w:ascii="Times New Roman" w:hAnsi="Times New Roman" w:eastAsia="方正仿宋_GBK" w:cs="方正仿宋_GBK"/>
          <w:color w:val="000000" w:themeColor="text1"/>
          <w:sz w:val="32"/>
          <w:szCs w:val="32"/>
          <w:shd w:val="clear" w:color="auto" w:fill="FFFFFF"/>
        </w:rPr>
        <w:t>万元，较上年决算数增加31.47万元，增长5.63%。主要原因一是在职人员工资薪金、养老保险、医疗保险基数调增，二是退休人员健康休养费较往年调增。较年初预算数增加19.96万元，增长3.50%。主要原因是年中追加“中人”一次性退休补助、退休人员健康休养费。此外，年初财政拨款结转和结余</w:t>
      </w:r>
      <w:r>
        <w:rPr>
          <w:rFonts w:ascii="Times New Roman" w:hAnsi="Times New Roman" w:eastAsia="方正仿宋_GBK" w:cs="方正仿宋_GBK"/>
          <w:color w:val="000000" w:themeColor="text1"/>
          <w:sz w:val="32"/>
          <w:szCs w:val="32"/>
        </w:rPr>
        <w:t>0.00</w:t>
      </w:r>
      <w:r>
        <w:rPr>
          <w:rFonts w:ascii="Times New Roman" w:hAnsi="Times New Roman" w:eastAsia="方正仿宋_GBK" w:cs="方正仿宋_GBK"/>
          <w:color w:val="000000" w:themeColor="text1"/>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方正仿宋_GBK" w:cs="方正仿宋_GBK"/>
          <w:color w:val="000000" w:themeColor="text1"/>
          <w:sz w:val="32"/>
          <w:szCs w:val="32"/>
          <w:shd w:val="clear" w:color="auto" w:fill="FFFFFF"/>
        </w:rPr>
        <w:t>2.支出情况。</w:t>
      </w:r>
      <w:r>
        <w:rPr>
          <w:rFonts w:ascii="Times New Roman" w:hAnsi="Times New Roman" w:eastAsia="方正仿宋_GBK" w:cs="方正仿宋_GBK"/>
          <w:color w:val="000000" w:themeColor="text1"/>
          <w:sz w:val="32"/>
          <w:szCs w:val="32"/>
          <w:shd w:val="clear" w:color="auto" w:fill="FFFFFF"/>
        </w:rPr>
        <w:t>2023年度一般公共预算财政拨款支出</w:t>
      </w:r>
      <w:r>
        <w:rPr>
          <w:rFonts w:ascii="Times New Roman" w:hAnsi="Times New Roman" w:eastAsia="方正仿宋_GBK" w:cs="方正仿宋_GBK"/>
          <w:color w:val="000000" w:themeColor="text1"/>
          <w:sz w:val="32"/>
          <w:szCs w:val="32"/>
        </w:rPr>
        <w:t>590.48</w:t>
      </w:r>
      <w:r>
        <w:rPr>
          <w:rFonts w:ascii="Times New Roman" w:hAnsi="Times New Roman" w:eastAsia="方正仿宋_GBK" w:cs="方正仿宋_GBK"/>
          <w:color w:val="000000" w:themeColor="text1"/>
          <w:sz w:val="32"/>
          <w:szCs w:val="32"/>
          <w:shd w:val="clear" w:color="auto" w:fill="FFFFFF"/>
        </w:rPr>
        <w:t>万元，较上年决算数增加31.47万元，增长5.63%。主要原因是在职人员工资薪金、养老保险、医疗保险基数调增。较年初预算数增加19.96万元，增长3.50%。主要原因是年中追加“中人”一次性退休补助、退休人员健康休养费。</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方正仿宋_GBK" w:cs="方正仿宋_GBK"/>
          <w:color w:val="000000" w:themeColor="text1"/>
          <w:sz w:val="32"/>
          <w:szCs w:val="32"/>
          <w:shd w:val="clear" w:color="auto" w:fill="FFFFFF"/>
        </w:rPr>
        <w:t>3.结转结余情况。</w:t>
      </w:r>
      <w:r>
        <w:rPr>
          <w:rFonts w:ascii="Times New Roman" w:hAnsi="Times New Roman" w:eastAsia="方正仿宋_GBK" w:cs="方正仿宋_GBK"/>
          <w:color w:val="000000" w:themeColor="text1"/>
          <w:sz w:val="32"/>
          <w:szCs w:val="32"/>
          <w:shd w:val="clear" w:color="auto" w:fill="FFFFFF"/>
        </w:rPr>
        <w:t>2023年度年末一般公共预算财政拨款结转和结余</w:t>
      </w:r>
      <w:r>
        <w:rPr>
          <w:rFonts w:ascii="Times New Roman" w:hAnsi="Times New Roman" w:eastAsia="方正仿宋_GBK" w:cs="方正仿宋_GBK"/>
          <w:color w:val="000000" w:themeColor="text1"/>
          <w:sz w:val="32"/>
          <w:szCs w:val="32"/>
        </w:rPr>
        <w:t>0.00</w:t>
      </w:r>
      <w:r>
        <w:rPr>
          <w:rFonts w:ascii="Times New Roman" w:hAnsi="Times New Roman" w:eastAsia="方正仿宋_GBK" w:cs="方正仿宋_GBK"/>
          <w:color w:val="000000" w:themeColor="text1"/>
          <w:sz w:val="32"/>
          <w:szCs w:val="32"/>
          <w:shd w:val="clear" w:color="auto" w:fill="FFFFFF"/>
        </w:rPr>
        <w:t>万元，较上年决算数无增减，主要原因是与上年持平。</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方正仿宋_GBK"/>
          <w:color w:val="000000" w:themeColor="text1"/>
          <w:sz w:val="32"/>
          <w:szCs w:val="32"/>
          <w:highlight w:val="cyan"/>
          <w:shd w:val="clear" w:color="auto" w:fill="FFFFFF"/>
        </w:rPr>
      </w:pPr>
      <w:r>
        <w:rPr>
          <w:rStyle w:val="11"/>
          <w:rFonts w:ascii="Times New Roman" w:hAnsi="Times New Roman" w:eastAsia="方正仿宋_GBK" w:cs="方正仿宋_GBK"/>
          <w:color w:val="000000" w:themeColor="text1"/>
          <w:sz w:val="32"/>
          <w:szCs w:val="32"/>
          <w:shd w:val="clear" w:color="auto" w:fill="FFFFFF"/>
        </w:rPr>
        <w:t xml:space="preserve"> 4.比较情况。</w:t>
      </w:r>
      <w:r>
        <w:rPr>
          <w:rFonts w:ascii="Times New Roman" w:hAnsi="Times New Roman" w:eastAsia="方正仿宋_GBK" w:cs="方正仿宋_GBK"/>
          <w:color w:val="000000" w:themeColor="text1"/>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（1）社会保障与就业支出</w:t>
      </w:r>
      <w:r>
        <w:rPr>
          <w:rFonts w:ascii="Times New Roman" w:hAnsi="Times New Roman" w:eastAsia="方正仿宋_GBK" w:cs="方正仿宋_GBK"/>
          <w:color w:val="000000" w:themeColor="text1"/>
          <w:sz w:val="32"/>
          <w:szCs w:val="32"/>
        </w:rPr>
        <w:t>73.48</w:t>
      </w:r>
      <w:r>
        <w:rPr>
          <w:rFonts w:ascii="Times New Roman" w:hAnsi="Times New Roman" w:eastAsia="方正仿宋_GBK" w:cs="方正仿宋_GBK"/>
          <w:color w:val="000000" w:themeColor="text1"/>
          <w:sz w:val="32"/>
          <w:szCs w:val="32"/>
          <w:shd w:val="clear" w:color="auto" w:fill="FFFFFF"/>
        </w:rPr>
        <w:t>万元，占</w:t>
      </w:r>
      <w:r>
        <w:rPr>
          <w:rFonts w:ascii="Times New Roman" w:hAnsi="Times New Roman" w:eastAsia="方正仿宋_GBK" w:cs="方正仿宋_GBK"/>
          <w:color w:val="000000" w:themeColor="text1"/>
          <w:sz w:val="32"/>
          <w:szCs w:val="32"/>
        </w:rPr>
        <w:t>12.44</w:t>
      </w:r>
      <w:r>
        <w:rPr>
          <w:rFonts w:ascii="Times New Roman" w:hAnsi="Times New Roman" w:eastAsia="方正仿宋_GBK" w:cs="方正仿宋_GBK"/>
          <w:color w:val="000000" w:themeColor="text1"/>
          <w:sz w:val="32"/>
          <w:szCs w:val="32"/>
          <w:shd w:val="clear" w:color="auto" w:fill="FFFFFF"/>
        </w:rPr>
        <w:t>%，较年初预算数增加20.38万元，增长38.38%，主要原因是在职人员工资薪金、养老保险、职业年金基数调增以及退休职工健康休养费调增。</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000000" w:themeColor="text1"/>
          <w:sz w:val="32"/>
          <w:szCs w:val="32"/>
        </w:rPr>
      </w:pPr>
      <w:r>
        <w:rPr>
          <w:rFonts w:ascii="Times New Roman" w:hAnsi="Times New Roman" w:eastAsia="方正仿宋_GBK" w:cs="方正仿宋_GBK"/>
          <w:color w:val="000000" w:themeColor="text1"/>
          <w:sz w:val="32"/>
          <w:szCs w:val="32"/>
          <w:shd w:val="clear" w:color="auto" w:fill="FFFFFF"/>
        </w:rPr>
        <w:t>（2）卫生健康支出</w:t>
      </w:r>
      <w:r>
        <w:rPr>
          <w:rFonts w:ascii="Times New Roman" w:hAnsi="Times New Roman" w:eastAsia="方正仿宋_GBK" w:cs="方正仿宋_GBK"/>
          <w:color w:val="000000" w:themeColor="text1"/>
          <w:sz w:val="32"/>
          <w:szCs w:val="32"/>
        </w:rPr>
        <w:t>29.71</w:t>
      </w:r>
      <w:r>
        <w:rPr>
          <w:rFonts w:ascii="Times New Roman" w:hAnsi="Times New Roman" w:eastAsia="方正仿宋_GBK" w:cs="方正仿宋_GBK"/>
          <w:color w:val="000000" w:themeColor="text1"/>
          <w:sz w:val="32"/>
          <w:szCs w:val="32"/>
          <w:shd w:val="clear" w:color="auto" w:fill="FFFFFF"/>
        </w:rPr>
        <w:t>万元，占</w:t>
      </w:r>
      <w:r>
        <w:rPr>
          <w:rFonts w:ascii="Times New Roman" w:hAnsi="Times New Roman" w:eastAsia="方正仿宋_GBK" w:cs="方正仿宋_GBK"/>
          <w:color w:val="000000" w:themeColor="text1"/>
          <w:sz w:val="32"/>
          <w:szCs w:val="32"/>
        </w:rPr>
        <w:t>5.03</w:t>
      </w:r>
      <w:r>
        <w:rPr>
          <w:rFonts w:ascii="Times New Roman" w:hAnsi="Times New Roman" w:eastAsia="方正仿宋_GBK" w:cs="方正仿宋_GBK"/>
          <w:color w:val="000000" w:themeColor="text1"/>
          <w:sz w:val="32"/>
          <w:szCs w:val="32"/>
          <w:shd w:val="clear" w:color="auto" w:fill="FFFFFF"/>
        </w:rPr>
        <w:t>%，较年初预算数增加1.04万元，增长3.63%，主要原因是在职人员医疗保险基数调增。</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（3）农林水支出</w:t>
      </w:r>
      <w:r>
        <w:rPr>
          <w:rFonts w:ascii="Times New Roman" w:hAnsi="Times New Roman" w:eastAsia="方正仿宋_GBK" w:cs="方正仿宋_GBK"/>
          <w:color w:val="000000" w:themeColor="text1"/>
          <w:sz w:val="32"/>
          <w:szCs w:val="32"/>
        </w:rPr>
        <w:t>459.53</w:t>
      </w:r>
      <w:r>
        <w:rPr>
          <w:rFonts w:ascii="Times New Roman" w:hAnsi="Times New Roman" w:eastAsia="方正仿宋_GBK" w:cs="方正仿宋_GBK"/>
          <w:color w:val="000000" w:themeColor="text1"/>
          <w:sz w:val="32"/>
          <w:szCs w:val="32"/>
          <w:shd w:val="clear" w:color="auto" w:fill="FFFFFF"/>
        </w:rPr>
        <w:t>万元，占</w:t>
      </w:r>
      <w:r>
        <w:rPr>
          <w:rFonts w:ascii="Times New Roman" w:hAnsi="Times New Roman" w:eastAsia="方正仿宋_GBK" w:cs="方正仿宋_GBK"/>
          <w:color w:val="000000" w:themeColor="text1"/>
          <w:sz w:val="32"/>
          <w:szCs w:val="32"/>
        </w:rPr>
        <w:t>77.82</w:t>
      </w:r>
      <w:r>
        <w:rPr>
          <w:rFonts w:ascii="Times New Roman" w:hAnsi="Times New Roman" w:eastAsia="方正仿宋_GBK" w:cs="方正仿宋_GBK"/>
          <w:color w:val="000000" w:themeColor="text1"/>
          <w:sz w:val="32"/>
          <w:szCs w:val="32"/>
          <w:shd w:val="clear" w:color="auto" w:fill="FFFFFF"/>
        </w:rPr>
        <w:t>%，较年初预算数减少2.68万元，下降0.58%，主要原因是因人员退休产生的年中指标追减。</w:t>
      </w:r>
    </w:p>
    <w:p>
      <w:pPr>
        <w:ind w:firstLine="640" w:firstLineChars="200"/>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（4）</w:t>
      </w:r>
      <w:r>
        <w:rPr>
          <w:rFonts w:ascii="Times New Roman" w:hAnsi="Times New Roman" w:eastAsia="方正仿宋_GBK" w:cs="方正仿宋_GBK"/>
          <w:color w:val="000000" w:themeColor="text1"/>
          <w:sz w:val="32"/>
          <w:szCs w:val="32"/>
        </w:rPr>
        <w:t>住房保障支出27.76</w:t>
      </w:r>
      <w:r>
        <w:rPr>
          <w:rFonts w:ascii="Times New Roman" w:hAnsi="Times New Roman" w:eastAsia="方正仿宋_GBK" w:cs="方正仿宋_GBK"/>
          <w:color w:val="000000" w:themeColor="text1"/>
          <w:sz w:val="32"/>
          <w:szCs w:val="32"/>
          <w:shd w:val="clear" w:color="auto" w:fill="FFFFFF"/>
        </w:rPr>
        <w:t>万元，占</w:t>
      </w:r>
      <w:r>
        <w:rPr>
          <w:rFonts w:ascii="Times New Roman" w:hAnsi="Times New Roman" w:eastAsia="方正仿宋_GBK" w:cs="方正仿宋_GBK"/>
          <w:color w:val="000000" w:themeColor="text1"/>
          <w:sz w:val="32"/>
          <w:szCs w:val="32"/>
        </w:rPr>
        <w:t>4.70</w:t>
      </w:r>
      <w:r>
        <w:rPr>
          <w:rFonts w:ascii="Times New Roman" w:hAnsi="Times New Roman" w:eastAsia="方正仿宋_GBK" w:cs="方正仿宋_GBK"/>
          <w:color w:val="000000" w:themeColor="text1"/>
          <w:sz w:val="32"/>
          <w:szCs w:val="32"/>
          <w:shd w:val="clear" w:color="auto" w:fill="FFFFFF"/>
        </w:rPr>
        <w:t>%，较年初预算数增加1.21万元，增长4.56%，主要原因是在职人员工资薪金正常调整，住房公积金基数随之调增。</w:t>
      </w:r>
    </w:p>
    <w:p>
      <w:pPr>
        <w:pStyle w:val="12"/>
        <w:autoSpaceDE w:val="0"/>
        <w:ind w:firstLine="643"/>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（四）一般公共预算财政拨款基本支出决算情况说明</w:t>
      </w:r>
    </w:p>
    <w:p>
      <w:pPr>
        <w:pStyle w:val="13"/>
        <w:spacing w:before="0" w:beforeAutospacing="0" w:after="0" w:afterAutospacing="0" w:line="420" w:lineRule="auto"/>
        <w:ind w:firstLine="640" w:firstLineChars="200"/>
        <w:jc w:val="both"/>
        <w:rPr>
          <w:rFonts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 2023年度一般公共财政拨款基本支出</w:t>
      </w:r>
      <w:r>
        <w:rPr>
          <w:rFonts w:ascii="Times New Roman" w:hAnsi="Times New Roman" w:eastAsia="方正仿宋_GBK" w:cs="方正仿宋_GBK"/>
          <w:color w:val="000000" w:themeColor="text1"/>
          <w:sz w:val="32"/>
          <w:szCs w:val="32"/>
        </w:rPr>
        <w:t>590.48</w:t>
      </w:r>
      <w:r>
        <w:rPr>
          <w:rFonts w:ascii="Times New Roman" w:hAnsi="Times New Roman" w:eastAsia="方正仿宋_GBK" w:cs="方正仿宋_GBK"/>
          <w:color w:val="000000" w:themeColor="text1"/>
          <w:sz w:val="32"/>
          <w:szCs w:val="32"/>
          <w:shd w:val="clear" w:color="auto" w:fill="FFFFFF"/>
        </w:rPr>
        <w:t>万元。其中：人员经费</w:t>
      </w:r>
      <w:r>
        <w:rPr>
          <w:rFonts w:ascii="Times New Roman" w:hAnsi="Times New Roman" w:eastAsia="方正仿宋_GBK" w:cs="方正仿宋_GBK"/>
          <w:color w:val="000000" w:themeColor="text1"/>
          <w:sz w:val="32"/>
          <w:szCs w:val="32"/>
        </w:rPr>
        <w:t>526.37</w:t>
      </w:r>
      <w:r>
        <w:rPr>
          <w:rFonts w:ascii="Times New Roman" w:hAnsi="Times New Roman" w:eastAsia="方正仿宋_GBK" w:cs="方正仿宋_GBK"/>
          <w:color w:val="000000" w:themeColor="text1"/>
          <w:sz w:val="32"/>
          <w:szCs w:val="32"/>
          <w:shd w:val="clear" w:color="auto" w:fill="FFFFFF"/>
        </w:rPr>
        <w:t>万元，较上年决算数增加48.54万元，增长10.16%，主要原因是职人员工资薪金、养老保险、医疗保险基数调增</w:t>
      </w:r>
      <w:r>
        <w:rPr>
          <w:rFonts w:hint="eastAsia" w:ascii="Times New Roman" w:hAnsi="Times New Roman" w:eastAsia="方正仿宋_GBK" w:cs="方正仿宋_GBK"/>
          <w:color w:val="000000" w:themeColor="text1"/>
          <w:sz w:val="32"/>
          <w:szCs w:val="32"/>
          <w:shd w:val="clear" w:color="auto" w:fill="FFFFFF"/>
        </w:rPr>
        <w:t>、退休人员健康休养费调整</w:t>
      </w:r>
      <w:r>
        <w:rPr>
          <w:rFonts w:ascii="Times New Roman" w:hAnsi="Times New Roman" w:eastAsia="方正仿宋_GBK" w:cs="方正仿宋_GBK"/>
          <w:color w:val="000000" w:themeColor="text1"/>
          <w:sz w:val="32"/>
          <w:szCs w:val="32"/>
          <w:shd w:val="clear" w:color="auto" w:fill="FFFFFF"/>
        </w:rPr>
        <w:t>。人员经费用途主要包括</w:t>
      </w:r>
      <w:r>
        <w:rPr>
          <w:rFonts w:hint="eastAsia" w:ascii="Times New Roman" w:hAnsi="Times New Roman" w:eastAsia="方正仿宋_GBK" w:cs="方正仿宋_GBK"/>
          <w:color w:val="000000" w:themeColor="text1"/>
          <w:sz w:val="32"/>
          <w:szCs w:val="32"/>
          <w:shd w:val="clear" w:color="auto" w:fill="FFFFFF"/>
        </w:rPr>
        <w:t>人员基本工资、津贴补贴、社会保障缴费（医疗保险、工伤保险、养老保险、职业年金）绩效工资、年休报酬、退休及遗属人员生活补助、住房公积金等</w:t>
      </w:r>
      <w:r>
        <w:rPr>
          <w:rFonts w:ascii="Times New Roman" w:hAnsi="Times New Roman" w:eastAsia="方正仿宋_GBK" w:cs="方正仿宋_GBK"/>
          <w:color w:val="000000" w:themeColor="text1"/>
          <w:sz w:val="32"/>
          <w:szCs w:val="32"/>
          <w:shd w:val="clear" w:color="auto" w:fill="FFFFFF"/>
        </w:rPr>
        <w:t>。公用经费</w:t>
      </w:r>
      <w:r>
        <w:rPr>
          <w:rFonts w:ascii="Times New Roman" w:hAnsi="Times New Roman" w:eastAsia="方正仿宋_GBK" w:cs="方正仿宋_GBK"/>
          <w:color w:val="000000" w:themeColor="text1"/>
          <w:sz w:val="32"/>
          <w:szCs w:val="32"/>
        </w:rPr>
        <w:t>64.11</w:t>
      </w:r>
      <w:r>
        <w:rPr>
          <w:rFonts w:ascii="Times New Roman" w:hAnsi="Times New Roman" w:eastAsia="方正仿宋_GBK" w:cs="方正仿宋_GBK"/>
          <w:color w:val="000000" w:themeColor="text1"/>
          <w:sz w:val="32"/>
          <w:szCs w:val="32"/>
          <w:shd w:val="clear" w:color="auto" w:fill="FFFFFF"/>
        </w:rPr>
        <w:t>万元，较上年决算数减少17.07万元，下降21.03%，主要原因是主要原因是为贯彻落实财政“紧日子”思想，公用经费口径持续压缩，严控各项开支。公用经费用途主要包括</w:t>
      </w:r>
      <w:r>
        <w:rPr>
          <w:rFonts w:hint="eastAsia" w:ascii="Times New Roman" w:hAnsi="Times New Roman" w:eastAsia="方正仿宋_GBK" w:cs="方正仿宋_GBK"/>
          <w:color w:val="000000" w:themeColor="text1"/>
          <w:sz w:val="32"/>
          <w:szCs w:val="32"/>
          <w:shd w:val="clear" w:color="auto" w:fill="FFFFFF"/>
        </w:rPr>
        <w:t>办公费、印刷费、手续费、水电费、邮电费、物业费、差旅费、维修维护费、租赁费、会议费、培训费、接待费等。</w:t>
      </w:r>
    </w:p>
    <w:p>
      <w:pPr>
        <w:pStyle w:val="12"/>
        <w:autoSpaceDE w:val="0"/>
        <w:ind w:firstLine="643"/>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（五）政府性基金预算收支决算情况说明</w:t>
      </w:r>
    </w:p>
    <w:p>
      <w:pPr>
        <w:pStyle w:val="7"/>
        <w:snapToGrid w:val="0"/>
        <w:spacing w:before="0" w:beforeAutospacing="0" w:after="0" w:afterAutospacing="0" w:line="600" w:lineRule="exact"/>
        <w:ind w:firstLine="800" w:firstLineChars="250"/>
        <w:jc w:val="both"/>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sz w:val="32"/>
          <w:szCs w:val="32"/>
          <w:shd w:val="clear" w:color="auto" w:fill="FFFFFF"/>
        </w:rPr>
        <w:t>本单位2023年度无政府性基金预算财政拨款收支。</w:t>
      </w:r>
    </w:p>
    <w:p>
      <w:pPr>
        <w:pStyle w:val="12"/>
        <w:autoSpaceDE w:val="0"/>
        <w:ind w:firstLine="643"/>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800" w:firstLineChars="250"/>
        <w:jc w:val="both"/>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sz w:val="32"/>
          <w:szCs w:val="32"/>
          <w:shd w:val="clear" w:color="auto" w:fill="FFFFFF"/>
        </w:rPr>
        <w:t>本单位2023年度无国有资本经营预算财政拨款支出。</w:t>
      </w:r>
    </w:p>
    <w:p>
      <w:pPr>
        <w:pStyle w:val="7"/>
        <w:shd w:val="clear" w:color="auto" w:fill="FFFFFF"/>
        <w:spacing w:before="0" w:beforeAutospacing="0" w:after="0" w:afterAutospacing="0"/>
        <w:ind w:firstLine="642" w:firstLineChars="200"/>
        <w:rPr>
          <w:rStyle w:val="11"/>
          <w:rFonts w:hint="default" w:ascii="Times New Roman" w:hAnsi="Times New Roman" w:eastAsia="黑体" w:cs="黑体"/>
          <w:color w:val="000000" w:themeColor="text1"/>
          <w:sz w:val="32"/>
          <w:szCs w:val="32"/>
          <w:shd w:val="clear" w:color="auto" w:fill="FFFFFF"/>
        </w:rPr>
      </w:pPr>
      <w:r>
        <w:rPr>
          <w:rStyle w:val="11"/>
          <w:rFonts w:ascii="Times New Roman" w:hAnsi="Times New Roman" w:eastAsia="黑体" w:cs="黑体"/>
          <w:color w:val="000000" w:themeColor="text1"/>
          <w:sz w:val="32"/>
          <w:szCs w:val="32"/>
          <w:shd w:val="clear" w:color="auto" w:fill="FFFFFF"/>
        </w:rPr>
        <w:t>三、“三公”经费情况说明</w:t>
      </w:r>
    </w:p>
    <w:p>
      <w:pPr>
        <w:pStyle w:val="12"/>
        <w:autoSpaceDE w:val="0"/>
        <w:ind w:firstLine="643"/>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（一）“三公”经费支出总体情况说明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000000" w:themeColor="text1"/>
          <w:sz w:val="32"/>
          <w:szCs w:val="32"/>
        </w:rPr>
      </w:pPr>
      <w:r>
        <w:rPr>
          <w:rFonts w:ascii="Times New Roman" w:hAnsi="Times New Roman" w:eastAsia="方正仿宋_GBK" w:cs="方正仿宋_GBK"/>
          <w:color w:val="000000" w:themeColor="text1"/>
          <w:sz w:val="32"/>
          <w:szCs w:val="32"/>
          <w:shd w:val="clear" w:color="auto" w:fill="FFFFFF"/>
        </w:rPr>
        <w:t>2023年度“三公”经费支出共计</w:t>
      </w:r>
      <w:r>
        <w:rPr>
          <w:rFonts w:ascii="Times New Roman" w:hAnsi="Times New Roman" w:eastAsia="方正仿宋_GBK" w:cs="方正仿宋_GBK"/>
          <w:color w:val="000000" w:themeColor="text1"/>
          <w:sz w:val="32"/>
          <w:szCs w:val="32"/>
        </w:rPr>
        <w:t>0.14</w:t>
      </w:r>
      <w:r>
        <w:rPr>
          <w:rFonts w:ascii="Times New Roman" w:hAnsi="Times New Roman" w:eastAsia="方正仿宋_GBK" w:cs="方正仿宋_GBK"/>
          <w:color w:val="000000" w:themeColor="text1"/>
          <w:sz w:val="32"/>
          <w:szCs w:val="32"/>
          <w:shd w:val="clear" w:color="auto" w:fill="FFFFFF"/>
        </w:rPr>
        <w:t>万元，较年初预算数减少2.86万元，下降95.33%，主要原因</w:t>
      </w:r>
      <w:r>
        <w:rPr>
          <w:rFonts w:ascii="Times New Roman" w:hAnsi="Times New Roman" w:eastAsia="微软雅黑" w:cs="Helvetica"/>
          <w:color w:val="000000" w:themeColor="text1"/>
          <w:shd w:val="clear" w:color="auto" w:fill="FFFFFF"/>
        </w:rPr>
        <w:t>一</w:t>
      </w:r>
      <w:r>
        <w:rPr>
          <w:rFonts w:ascii="Times New Roman" w:hAnsi="Times New Roman" w:eastAsia="方正仿宋_GBK" w:cs="方正仿宋_GBK"/>
          <w:color w:val="000000" w:themeColor="text1"/>
          <w:sz w:val="32"/>
          <w:szCs w:val="32"/>
          <w:shd w:val="clear" w:color="auto" w:fill="FFFFFF"/>
        </w:rPr>
        <w:t>是认真贯彻落实中央八项规定精神和厉行节约要求，二是严格遵守公务接待开支范围和开支标准。较上年支出数增加0.08万元，增长133.33%，主要原因是2022年度因疫情防控原因，上级检查减少，2023年为加大林业工作指导监督力度，上级部门检查及调研活动增加，区县考察交流学习增多。</w:t>
      </w:r>
    </w:p>
    <w:p>
      <w:pPr>
        <w:pStyle w:val="12"/>
        <w:autoSpaceDE w:val="0"/>
        <w:ind w:firstLine="643"/>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（二）“三公”经费分项支出情况</w:t>
      </w:r>
    </w:p>
    <w:p>
      <w:pPr>
        <w:pStyle w:val="7"/>
        <w:shd w:val="clear" w:color="auto" w:fill="FFFFFF"/>
        <w:spacing w:before="0" w:beforeAutospacing="0" w:after="0" w:afterAutospacing="0" w:line="420" w:lineRule="auto"/>
        <w:ind w:firstLine="640" w:firstLineChars="200"/>
        <w:jc w:val="both"/>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2023年度本单位因公出国（境）费用</w:t>
      </w:r>
      <w:r>
        <w:rPr>
          <w:rFonts w:ascii="Times New Roman" w:hAnsi="Times New Roman" w:eastAsia="方正仿宋_GBK" w:cs="方正仿宋_GBK"/>
          <w:color w:val="000000" w:themeColor="text1"/>
          <w:sz w:val="32"/>
          <w:szCs w:val="32"/>
        </w:rPr>
        <w:t>0.00</w:t>
      </w:r>
      <w:r>
        <w:rPr>
          <w:rFonts w:ascii="Times New Roman" w:hAnsi="Times New Roman" w:eastAsia="方正仿宋_GBK" w:cs="方正仿宋_GBK"/>
          <w:color w:val="000000" w:themeColor="text1"/>
          <w:sz w:val="32"/>
          <w:szCs w:val="32"/>
          <w:shd w:val="clear" w:color="auto" w:fill="FFFFFF"/>
        </w:rPr>
        <w:t>万元，费用支出较年初预算数及上年支出数增加0万元，增长0.0%，与上年持平。本单位2023年度未发生因公出国（境）支出。</w:t>
      </w:r>
    </w:p>
    <w:p>
      <w:pPr>
        <w:pStyle w:val="7"/>
        <w:shd w:val="clear" w:color="auto" w:fill="FFFFFF"/>
        <w:spacing w:before="0" w:beforeAutospacing="0" w:after="0" w:afterAutospacing="0" w:line="420" w:lineRule="auto"/>
        <w:ind w:firstLine="640" w:firstLineChars="200"/>
        <w:jc w:val="both"/>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公务车购置费0万元。费用支出较年初预算数及上年支出数增加0万元，增长0.0%，与上年持平。本单位2023年度未发生公务车购置费支出。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公务车运行维护费</w:t>
      </w:r>
      <w:r>
        <w:rPr>
          <w:rFonts w:ascii="Times New Roman" w:hAnsi="Times New Roman" w:eastAsia="方正仿宋_GBK" w:cs="方正仿宋_GBK"/>
          <w:color w:val="000000" w:themeColor="text1"/>
          <w:sz w:val="32"/>
          <w:szCs w:val="32"/>
        </w:rPr>
        <w:t>0.00</w:t>
      </w:r>
      <w:r>
        <w:rPr>
          <w:rFonts w:ascii="Times New Roman" w:hAnsi="Times New Roman" w:eastAsia="方正仿宋_GBK" w:cs="方正仿宋_GBK"/>
          <w:color w:val="000000" w:themeColor="text1"/>
          <w:sz w:val="32"/>
          <w:szCs w:val="32"/>
          <w:shd w:val="clear" w:color="auto" w:fill="FFFFFF"/>
        </w:rPr>
        <w:t>万元，费用支出较年初预算数及上年支出数增加0万元，增长0.0%，与上年持平。本单位2023年度未发生公务车运行维护费支出。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000000" w:themeColor="text1"/>
          <w:sz w:val="32"/>
          <w:szCs w:val="32"/>
        </w:rPr>
      </w:pPr>
      <w:r>
        <w:rPr>
          <w:rFonts w:ascii="Times New Roman" w:hAnsi="Times New Roman" w:eastAsia="方正仿宋_GBK" w:cs="方正仿宋_GBK"/>
          <w:color w:val="000000" w:themeColor="text1"/>
          <w:sz w:val="32"/>
          <w:szCs w:val="32"/>
          <w:shd w:val="clear" w:color="auto" w:fill="FFFFFF"/>
        </w:rPr>
        <w:t>公务接待费</w:t>
      </w:r>
      <w:r>
        <w:rPr>
          <w:rFonts w:ascii="Times New Roman" w:hAnsi="Times New Roman" w:eastAsia="方正仿宋_GBK" w:cs="方正仿宋_GBK"/>
          <w:color w:val="000000" w:themeColor="text1"/>
          <w:sz w:val="32"/>
          <w:szCs w:val="32"/>
        </w:rPr>
        <w:t>0.14</w:t>
      </w:r>
      <w:r>
        <w:rPr>
          <w:rFonts w:ascii="Times New Roman" w:hAnsi="Times New Roman" w:eastAsia="方正仿宋_GBK" w:cs="方正仿宋_GBK"/>
          <w:color w:val="000000" w:themeColor="text1"/>
          <w:sz w:val="32"/>
          <w:szCs w:val="32"/>
          <w:shd w:val="clear" w:color="auto" w:fill="FFFFFF"/>
        </w:rPr>
        <w:t>万元，主要用于接待上级部门检查及其他区县交流考察学习。费用支出较年初预算数减少0.86万元，下降86.00%，主要原因是认真贯彻落实中央八项规定精神，严格遵守公务接待开支和范围。较上年支出数增加0.08万元，增长133.33%，主要原因是2022年因疫情防控原因，上级检查减少，接待费0.14万元，2023年度为加大林业工作指导监督力度，上级部门检查及调研活动增加，区县考察交流学习增多，接待费在2022年基础上有所增加。</w:t>
      </w:r>
    </w:p>
    <w:p>
      <w:pPr>
        <w:pStyle w:val="7"/>
        <w:snapToGrid w:val="0"/>
        <w:spacing w:before="0" w:beforeAutospacing="0" w:after="0" w:afterAutospacing="0" w:line="600" w:lineRule="exact"/>
        <w:ind w:firstLine="642" w:firstLineChars="200"/>
        <w:jc w:val="both"/>
        <w:rPr>
          <w:rFonts w:hint="default" w:ascii="Times New Roman" w:hAnsi="Times New Roman" w:eastAsia="楷体" w:cs="楷体"/>
          <w:b/>
          <w:bCs/>
          <w:color w:val="000000" w:themeColor="text1"/>
          <w:sz w:val="32"/>
          <w:szCs w:val="32"/>
          <w:shd w:val="clear" w:color="auto" w:fill="FFFFFF"/>
        </w:rPr>
      </w:pPr>
      <w:r>
        <w:rPr>
          <w:rFonts w:ascii="Times New Roman" w:hAnsi="Times New Roman" w:eastAsia="楷体" w:cs="楷体"/>
          <w:b/>
          <w:bCs/>
          <w:color w:val="000000" w:themeColor="text1"/>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000000" w:themeColor="text1"/>
          <w:sz w:val="32"/>
          <w:szCs w:val="32"/>
        </w:rPr>
      </w:pPr>
      <w:r>
        <w:rPr>
          <w:rFonts w:ascii="Times New Roman" w:hAnsi="Times New Roman" w:eastAsia="方正仿宋_GBK" w:cs="方正仿宋_GBK"/>
          <w:color w:val="000000" w:themeColor="text1"/>
          <w:sz w:val="32"/>
          <w:szCs w:val="32"/>
          <w:shd w:val="clear" w:color="auto" w:fill="FFFFFF"/>
        </w:rPr>
        <w:t>2023年度本单位因公出国（境）共计</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个团组，</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人；公务用车购置</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辆，公务车保有量为</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辆；国内公务接待</w:t>
      </w:r>
      <w:r>
        <w:rPr>
          <w:rFonts w:ascii="Times New Roman" w:hAnsi="Times New Roman" w:eastAsia="方正仿宋_GBK" w:cs="方正仿宋_GBK"/>
          <w:color w:val="000000" w:themeColor="text1"/>
          <w:sz w:val="32"/>
          <w:szCs w:val="32"/>
        </w:rPr>
        <w:t>1</w:t>
      </w:r>
      <w:r>
        <w:rPr>
          <w:rFonts w:ascii="Times New Roman" w:hAnsi="Times New Roman" w:eastAsia="方正仿宋_GBK" w:cs="方正仿宋_GBK"/>
          <w:color w:val="000000" w:themeColor="text1"/>
          <w:sz w:val="32"/>
          <w:szCs w:val="32"/>
          <w:shd w:val="clear" w:color="auto" w:fill="FFFFFF"/>
        </w:rPr>
        <w:t>批次</w:t>
      </w:r>
      <w:r>
        <w:rPr>
          <w:rFonts w:ascii="Times New Roman" w:hAnsi="Times New Roman" w:eastAsia="方正仿宋_GBK" w:cs="方正仿宋_GBK"/>
          <w:color w:val="000000" w:themeColor="text1"/>
          <w:sz w:val="32"/>
          <w:szCs w:val="32"/>
        </w:rPr>
        <w:t>15</w:t>
      </w:r>
      <w:r>
        <w:rPr>
          <w:rFonts w:ascii="Times New Roman" w:hAnsi="Times New Roman" w:eastAsia="方正仿宋_GBK" w:cs="方正仿宋_GBK"/>
          <w:color w:val="000000" w:themeColor="text1"/>
          <w:sz w:val="32"/>
          <w:szCs w:val="32"/>
          <w:shd w:val="clear" w:color="auto" w:fill="FFFFFF"/>
        </w:rPr>
        <w:t>人，其中：国内外事接待</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批次，</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人；国（境）外公务接待</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批次，</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人。2023年本单位人均接待费</w:t>
      </w:r>
      <w:r>
        <w:rPr>
          <w:rFonts w:ascii="Times New Roman" w:hAnsi="Times New Roman" w:eastAsia="方正仿宋_GBK" w:cs="方正仿宋_GBK"/>
          <w:color w:val="000000" w:themeColor="text1"/>
          <w:sz w:val="32"/>
          <w:szCs w:val="32"/>
        </w:rPr>
        <w:t>94.00</w:t>
      </w:r>
      <w:r>
        <w:rPr>
          <w:rFonts w:ascii="Times New Roman" w:hAnsi="Times New Roman" w:eastAsia="方正仿宋_GBK" w:cs="方正仿宋_GBK"/>
          <w:color w:val="000000" w:themeColor="text1"/>
          <w:sz w:val="32"/>
          <w:szCs w:val="32"/>
          <w:shd w:val="clear" w:color="auto" w:fill="FFFFFF"/>
        </w:rPr>
        <w:t>元，车均购置费</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万元，车均维护费</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万元。</w:t>
      </w:r>
    </w:p>
    <w:p>
      <w:pPr>
        <w:pStyle w:val="7"/>
        <w:shd w:val="clear" w:color="auto" w:fill="FFFFFF"/>
        <w:spacing w:before="0" w:beforeAutospacing="0" w:after="0" w:afterAutospacing="0"/>
        <w:ind w:firstLine="642" w:firstLineChars="200"/>
        <w:rPr>
          <w:rStyle w:val="11"/>
          <w:rFonts w:hint="default" w:ascii="Times New Roman" w:hAnsi="Times New Roman" w:eastAsia="方正仿宋_GBK" w:cs="方正仿宋_GBK"/>
          <w:color w:val="000000" w:themeColor="text1"/>
          <w:sz w:val="32"/>
          <w:szCs w:val="32"/>
          <w:shd w:val="clear" w:color="auto" w:fill="FFFFFF"/>
        </w:rPr>
      </w:pPr>
      <w:r>
        <w:rPr>
          <w:rStyle w:val="11"/>
          <w:rFonts w:ascii="Times New Roman" w:hAnsi="Times New Roman" w:eastAsia="黑体" w:cs="黑体"/>
          <w:color w:val="000000" w:themeColor="text1"/>
          <w:sz w:val="32"/>
          <w:szCs w:val="32"/>
          <w:shd w:val="clear" w:color="auto" w:fill="FFFFFF"/>
        </w:rPr>
        <w:t>四、其他需要说明的事项</w:t>
      </w:r>
    </w:p>
    <w:p>
      <w:pPr>
        <w:pStyle w:val="12"/>
        <w:autoSpaceDE w:val="0"/>
        <w:ind w:firstLine="417" w:firstLineChars="130"/>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（一）财政拨款会议费和培训费情况说明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000000" w:themeColor="text1"/>
          <w:sz w:val="32"/>
          <w:szCs w:val="32"/>
        </w:rPr>
      </w:pPr>
      <w:r>
        <w:rPr>
          <w:rFonts w:ascii="Times New Roman" w:hAnsi="Times New Roman" w:eastAsia="方正仿宋_GBK" w:cs="方正仿宋_GBK"/>
          <w:color w:val="000000" w:themeColor="text1"/>
          <w:sz w:val="32"/>
          <w:szCs w:val="32"/>
          <w:shd w:val="clear" w:color="auto" w:fill="FFFFFF"/>
        </w:rPr>
        <w:t>本年度会议费支出</w:t>
      </w:r>
      <w:r>
        <w:rPr>
          <w:rFonts w:ascii="Times New Roman" w:hAnsi="Times New Roman" w:eastAsia="方正仿宋_GBK" w:cs="方正仿宋_GBK"/>
          <w:color w:val="000000" w:themeColor="text1"/>
          <w:sz w:val="32"/>
          <w:szCs w:val="32"/>
        </w:rPr>
        <w:t>0.74</w:t>
      </w:r>
      <w:r>
        <w:rPr>
          <w:rFonts w:ascii="Times New Roman" w:hAnsi="Times New Roman" w:eastAsia="方正仿宋_GBK" w:cs="方正仿宋_GBK"/>
          <w:color w:val="000000" w:themeColor="text1"/>
          <w:sz w:val="32"/>
          <w:szCs w:val="32"/>
          <w:shd w:val="clear" w:color="auto" w:fill="FFFFFF"/>
        </w:rPr>
        <w:t>万元，较上年决算数增加0.74万元，增长100.00%，主要原因是2022年因疫情防控原因，未集中组织召开业务会，2023年林业工作持续开展，国土绿化、松材线虫防控会议场地租赁费增加。本年度培训费支出</w:t>
      </w:r>
      <w:r>
        <w:rPr>
          <w:rFonts w:ascii="Times New Roman" w:hAnsi="Times New Roman" w:eastAsia="方正仿宋_GBK" w:cs="方正仿宋_GBK"/>
          <w:color w:val="000000" w:themeColor="text1"/>
          <w:sz w:val="32"/>
          <w:szCs w:val="32"/>
        </w:rPr>
        <w:t>0.65</w:t>
      </w:r>
      <w:r>
        <w:rPr>
          <w:rFonts w:ascii="Times New Roman" w:hAnsi="Times New Roman" w:eastAsia="方正仿宋_GBK" w:cs="方正仿宋_GBK"/>
          <w:color w:val="000000" w:themeColor="text1"/>
          <w:sz w:val="32"/>
          <w:szCs w:val="32"/>
          <w:shd w:val="clear" w:color="auto" w:fill="FFFFFF"/>
        </w:rPr>
        <w:t>万元，较上年决算数增加0.65万元，增长100.00%，主要原因是为2022年因疫情防控原因，未组织职工参加培训，2023年为提高林业专业技术水平，在职职工积极参加各类技术培训。</w:t>
      </w:r>
    </w:p>
    <w:p>
      <w:pPr>
        <w:pStyle w:val="12"/>
        <w:autoSpaceDE w:val="0"/>
        <w:ind w:firstLine="417" w:firstLineChars="130"/>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000000" w:themeColor="text1"/>
          <w:sz w:val="32"/>
          <w:szCs w:val="32"/>
        </w:rPr>
      </w:pPr>
      <w:r>
        <w:rPr>
          <w:rFonts w:hint="default" w:ascii="Times New Roman" w:hAnsi="Times New Roman" w:eastAsia="方正仿宋_GBK" w:cs="方正仿宋_GBK"/>
          <w:color w:val="000000" w:themeColor="text1"/>
          <w:sz w:val="32"/>
          <w:szCs w:val="32"/>
        </w:rPr>
        <w:t>按照部门决算列报口径，我单位不在机关运行经费统计范围之内。</w:t>
      </w:r>
    </w:p>
    <w:p>
      <w:pPr>
        <w:pStyle w:val="12"/>
        <w:autoSpaceDE w:val="0"/>
        <w:ind w:firstLine="417" w:firstLineChars="130"/>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000000" w:themeColor="text1"/>
          <w:sz w:val="32"/>
          <w:szCs w:val="32"/>
        </w:rPr>
      </w:pPr>
      <w:r>
        <w:rPr>
          <w:rFonts w:ascii="Times New Roman" w:hAnsi="Times New Roman" w:eastAsia="方正仿宋_GBK" w:cs="方正仿宋_GBK"/>
          <w:color w:val="000000" w:themeColor="text1"/>
          <w:sz w:val="32"/>
          <w:szCs w:val="32"/>
          <w:shd w:val="clear" w:color="auto" w:fill="FFFFFF"/>
        </w:rPr>
        <w:t>截至2023年12月31日，本单位共有车辆</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辆，其中，副部（省）级及以上领导用车</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辆、主要负责人用车</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辆、机要通信用车</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辆、应急保障用车</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辆、执法执勤用车</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辆，特种专业技术用车</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辆，离退休干部用车</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辆。单价100万元（含）以上专用设备</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台（套）。</w:t>
      </w:r>
    </w:p>
    <w:p>
      <w:pPr>
        <w:pStyle w:val="12"/>
        <w:autoSpaceDE w:val="0"/>
        <w:ind w:firstLine="417" w:firstLineChars="130"/>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（四）政府采购支出情况说明</w:t>
      </w:r>
    </w:p>
    <w:p>
      <w:pPr>
        <w:pStyle w:val="12"/>
        <w:autoSpaceDE w:val="0"/>
        <w:ind w:firstLine="640"/>
        <w:rPr>
          <w:rFonts w:ascii="Times New Roman" w:hAnsi="Times New Roman" w:eastAsia="楷体" w:cs="楷体"/>
          <w:b/>
          <w:bCs/>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2023年度我单位未发生政府采购事项，无相关经费支出。</w:t>
      </w:r>
    </w:p>
    <w:p>
      <w:pPr>
        <w:pStyle w:val="7"/>
        <w:numPr>
          <w:ilvl w:val="0"/>
          <w:numId w:val="1"/>
        </w:numPr>
        <w:shd w:val="clear" w:color="auto" w:fill="FFFFFF"/>
        <w:spacing w:before="0" w:beforeAutospacing="0" w:after="0" w:afterAutospacing="0"/>
        <w:ind w:firstLine="642" w:firstLineChars="200"/>
        <w:rPr>
          <w:rStyle w:val="11"/>
          <w:rFonts w:hint="default" w:ascii="Times New Roman" w:hAnsi="Times New Roman" w:eastAsia="黑体" w:cs="黑体"/>
          <w:color w:val="000000" w:themeColor="text1"/>
          <w:sz w:val="32"/>
          <w:szCs w:val="32"/>
          <w:shd w:val="clear" w:color="auto" w:fill="FFFFFF"/>
        </w:rPr>
      </w:pPr>
      <w:r>
        <w:rPr>
          <w:rStyle w:val="11"/>
          <w:rFonts w:ascii="Times New Roman" w:hAnsi="Times New Roman" w:eastAsia="黑体" w:cs="黑体"/>
          <w:color w:val="000000" w:themeColor="text1"/>
          <w:sz w:val="32"/>
          <w:szCs w:val="32"/>
          <w:shd w:val="clear" w:color="auto" w:fill="FFFFFF"/>
        </w:rPr>
        <w:t>预算绩效管理情况说明</w:t>
      </w:r>
    </w:p>
    <w:p>
      <w:pPr>
        <w:pStyle w:val="12"/>
        <w:autoSpaceDE w:val="0"/>
        <w:ind w:firstLine="643"/>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（一）单位自评情况</w:t>
      </w:r>
    </w:p>
    <w:p>
      <w:pPr>
        <w:pStyle w:val="13"/>
        <w:autoSpaceDE w:val="0"/>
        <w:spacing w:before="0" w:beforeAutospacing="0" w:after="0" w:afterAutospacing="0" w:line="600" w:lineRule="exact"/>
        <w:ind w:firstLine="640" w:firstLineChars="200"/>
        <w:rPr>
          <w:rFonts w:ascii="Times New Roman" w:hAnsi="Times New Roman" w:eastAsia="方正仿宋_GBK" w:cs="宋体"/>
          <w:color w:val="000000" w:themeColor="text1"/>
          <w:sz w:val="32"/>
          <w:szCs w:val="32"/>
          <w:highlight w:val="yellow"/>
        </w:rPr>
      </w:pPr>
      <w:r>
        <w:rPr>
          <w:rFonts w:hint="eastAsia" w:ascii="Times New Roman" w:hAnsi="Times New Roman" w:eastAsia="方正仿宋_GBK" w:cs="方正仿宋_GBK"/>
          <w:color w:val="000000" w:themeColor="text1"/>
          <w:sz w:val="32"/>
          <w:szCs w:val="32"/>
          <w:shd w:val="clear" w:color="auto" w:fill="FFFFFF"/>
        </w:rPr>
        <w:t>根据预算绩效管理要求，我单位对0个项目开展了绩效自评。</w:t>
      </w:r>
    </w:p>
    <w:p>
      <w:pPr>
        <w:pStyle w:val="13"/>
        <w:spacing w:before="0" w:beforeAutospacing="0" w:after="0" w:afterAutospacing="0" w:line="600" w:lineRule="exact"/>
        <w:ind w:firstLine="560" w:firstLineChars="200"/>
        <w:rPr>
          <w:rFonts w:ascii="Times New Roman" w:hAnsi="Times New Roman" w:eastAsia="方正仿宋_GBK" w:cs="方正仿宋_GBK"/>
          <w:color w:val="000000" w:themeColor="text1"/>
          <w:sz w:val="28"/>
          <w:szCs w:val="28"/>
          <w:shd w:val="clear" w:color="auto" w:fill="FFFFFF"/>
        </w:rPr>
      </w:pPr>
      <w:r>
        <w:rPr>
          <w:rFonts w:hint="eastAsia" w:ascii="Times New Roman" w:hAnsi="Times New Roman" w:eastAsia="方正仿宋_GBK" w:cs="方正仿宋_GBK"/>
          <w:color w:val="000000" w:themeColor="text1"/>
          <w:sz w:val="28"/>
          <w:szCs w:val="28"/>
          <w:shd w:val="clear" w:color="auto" w:fill="FFFFFF"/>
        </w:rPr>
        <w:t>1.项目支出绩效自评汇总表</w:t>
      </w:r>
    </w:p>
    <w:tbl>
      <w:tblPr>
        <w:tblStyle w:val="8"/>
        <w:tblW w:w="7953" w:type="dxa"/>
        <w:tblInd w:w="93" w:type="dxa"/>
        <w:tblLayout w:type="fixed"/>
        <w:tblCellMar>
          <w:top w:w="0" w:type="dxa"/>
          <w:left w:w="108" w:type="dxa"/>
          <w:bottom w:w="0" w:type="dxa"/>
          <w:right w:w="108" w:type="dxa"/>
        </w:tblCellMar>
      </w:tblPr>
      <w:tblGrid>
        <w:gridCol w:w="580"/>
        <w:gridCol w:w="5672"/>
        <w:gridCol w:w="1701"/>
      </w:tblGrid>
      <w:tr>
        <w:tblPrEx>
          <w:tblCellMar>
            <w:top w:w="0" w:type="dxa"/>
            <w:left w:w="108" w:type="dxa"/>
            <w:bottom w:w="0" w:type="dxa"/>
            <w:right w:w="108" w:type="dxa"/>
          </w:tblCellMar>
        </w:tblPrEx>
        <w:trPr>
          <w:trHeight w:val="345" w:hRule="atLeast"/>
        </w:trPr>
        <w:tc>
          <w:tcPr>
            <w:tcW w:w="7953" w:type="dxa"/>
            <w:gridSpan w:val="3"/>
            <w:tcBorders>
              <w:top w:val="nil"/>
              <w:left w:val="nil"/>
              <w:bottom w:val="single" w:color="auto" w:sz="4" w:space="0"/>
              <w:right w:val="nil"/>
            </w:tcBorders>
            <w:shd w:val="clear" w:color="auto" w:fill="auto"/>
            <w:vAlign w:val="center"/>
          </w:tcPr>
          <w:p>
            <w:pPr>
              <w:rPr>
                <w:rFonts w:hint="default" w:ascii="Times New Roman" w:hAnsi="Times New Roman" w:eastAsia="方正仿宋_GBK" w:cs="宋体"/>
                <w:b/>
                <w:color w:val="000000" w:themeColor="text1"/>
                <w:sz w:val="15"/>
                <w:szCs w:val="15"/>
              </w:rPr>
            </w:pP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_GBK" w:cs="宋体"/>
                <w:b/>
                <w:color w:val="000000" w:themeColor="text1"/>
                <w:sz w:val="15"/>
                <w:szCs w:val="15"/>
              </w:rPr>
            </w:pPr>
            <w:r>
              <w:rPr>
                <w:rFonts w:ascii="Times New Roman" w:hAnsi="Times New Roman" w:eastAsia="方正仿宋_GBK" w:cs="宋体"/>
                <w:b/>
                <w:color w:val="000000" w:themeColor="text1"/>
                <w:sz w:val="15"/>
                <w:szCs w:val="15"/>
              </w:rPr>
              <w:t>序号</w:t>
            </w:r>
          </w:p>
        </w:tc>
        <w:tc>
          <w:tcPr>
            <w:tcW w:w="5672" w:type="dxa"/>
            <w:tcBorders>
              <w:top w:val="nil"/>
              <w:left w:val="nil"/>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cs="宋体"/>
                <w:b/>
                <w:color w:val="000000" w:themeColor="text1"/>
                <w:sz w:val="15"/>
                <w:szCs w:val="15"/>
              </w:rPr>
            </w:pPr>
            <w:r>
              <w:rPr>
                <w:rFonts w:ascii="Times New Roman" w:hAnsi="Times New Roman" w:eastAsia="方正仿宋_GBK" w:cs="宋体"/>
                <w:b/>
                <w:color w:val="000000" w:themeColor="text1"/>
                <w:sz w:val="15"/>
                <w:szCs w:val="15"/>
              </w:rPr>
              <w:t>项目名称</w:t>
            </w:r>
          </w:p>
        </w:tc>
        <w:tc>
          <w:tcPr>
            <w:tcW w:w="1701" w:type="dxa"/>
            <w:tcBorders>
              <w:top w:val="nil"/>
              <w:left w:val="nil"/>
              <w:bottom w:val="single" w:color="auto" w:sz="4" w:space="0"/>
              <w:right w:val="single" w:color="auto" w:sz="4" w:space="0"/>
            </w:tcBorders>
            <w:shd w:val="clear" w:color="auto" w:fill="auto"/>
            <w:noWrap/>
            <w:vAlign w:val="center"/>
          </w:tcPr>
          <w:p>
            <w:pPr>
              <w:ind w:firstLine="301" w:firstLineChars="200"/>
              <w:jc w:val="center"/>
              <w:rPr>
                <w:rFonts w:hint="default" w:ascii="Times New Roman" w:hAnsi="Times New Roman" w:eastAsia="方正仿宋_GBK" w:cs="宋体"/>
                <w:b/>
                <w:color w:val="000000" w:themeColor="text1"/>
                <w:sz w:val="15"/>
                <w:szCs w:val="15"/>
              </w:rPr>
            </w:pPr>
            <w:r>
              <w:rPr>
                <w:rFonts w:ascii="Times New Roman" w:hAnsi="Times New Roman" w:eastAsia="方正仿宋_GBK" w:cs="宋体"/>
                <w:b/>
                <w:color w:val="000000" w:themeColor="text1"/>
                <w:sz w:val="15"/>
                <w:szCs w:val="15"/>
              </w:rPr>
              <w:t>自评得分</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themeColor="text1"/>
                <w:sz w:val="15"/>
                <w:szCs w:val="15"/>
              </w:rPr>
            </w:pPr>
            <w:r>
              <w:rPr>
                <w:rFonts w:ascii="Times New Roman" w:hAnsi="Times New Roman" w:eastAsia="方正仿宋_GBK"/>
                <w:b/>
                <w:color w:val="000000" w:themeColor="text1"/>
                <w:sz w:val="15"/>
                <w:szCs w:val="15"/>
              </w:rPr>
              <w:t>1</w:t>
            </w:r>
          </w:p>
        </w:tc>
        <w:tc>
          <w:tcPr>
            <w:tcW w:w="5672" w:type="dxa"/>
            <w:tcBorders>
              <w:top w:val="nil"/>
              <w:left w:val="nil"/>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themeColor="text1"/>
                <w:sz w:val="15"/>
                <w:szCs w:val="15"/>
              </w:rPr>
            </w:pPr>
          </w:p>
        </w:tc>
        <w:tc>
          <w:tcPr>
            <w:tcW w:w="1701" w:type="dxa"/>
            <w:tcBorders>
              <w:top w:val="nil"/>
              <w:left w:val="nil"/>
              <w:bottom w:val="single" w:color="auto" w:sz="4" w:space="0"/>
              <w:right w:val="single" w:color="auto" w:sz="4" w:space="0"/>
            </w:tcBorders>
            <w:shd w:val="clear" w:color="auto" w:fill="auto"/>
            <w:noWrap/>
            <w:vAlign w:val="center"/>
          </w:tcPr>
          <w:p>
            <w:pPr>
              <w:ind w:firstLine="301" w:firstLineChars="200"/>
              <w:jc w:val="center"/>
              <w:rPr>
                <w:rFonts w:hint="default" w:ascii="Times New Roman" w:hAnsi="Times New Roman" w:eastAsia="方正仿宋_GBK"/>
                <w:b/>
                <w:color w:val="000000" w:themeColor="text1"/>
                <w:sz w:val="15"/>
                <w:szCs w:val="15"/>
              </w:rPr>
            </w:pPr>
            <w:r>
              <w:rPr>
                <w:rFonts w:ascii="Times New Roman" w:hAnsi="Times New Roman" w:eastAsia="方正仿宋_GBK"/>
                <w:b/>
                <w:color w:val="000000" w:themeColor="text1"/>
                <w:sz w:val="15"/>
                <w:szCs w:val="15"/>
              </w:rPr>
              <w:t>　</w:t>
            </w: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themeColor="text1"/>
                <w:sz w:val="15"/>
                <w:szCs w:val="15"/>
              </w:rPr>
            </w:pPr>
            <w:r>
              <w:rPr>
                <w:rFonts w:ascii="Times New Roman" w:hAnsi="Times New Roman" w:eastAsia="方正仿宋_GBK"/>
                <w:b/>
                <w:color w:val="000000" w:themeColor="text1"/>
                <w:sz w:val="15"/>
                <w:szCs w:val="15"/>
              </w:rPr>
              <w:t>2</w:t>
            </w:r>
          </w:p>
        </w:tc>
        <w:tc>
          <w:tcPr>
            <w:tcW w:w="5672" w:type="dxa"/>
            <w:tcBorders>
              <w:top w:val="single" w:color="auto" w:sz="4" w:space="0"/>
              <w:left w:val="nil"/>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themeColor="text1"/>
                <w:sz w:val="15"/>
                <w:szCs w:val="15"/>
              </w:rPr>
            </w:pPr>
            <w:r>
              <w:rPr>
                <w:rFonts w:ascii="Times New Roman" w:hAnsi="Times New Roman" w:eastAsia="方正仿宋_GBK"/>
                <w:b/>
                <w:color w:val="000000" w:themeColor="text1"/>
                <w:sz w:val="15"/>
                <w:szCs w:val="15"/>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ind w:firstLine="301" w:firstLineChars="200"/>
              <w:jc w:val="center"/>
              <w:rPr>
                <w:rFonts w:hint="default" w:ascii="Times New Roman" w:hAnsi="Times New Roman" w:eastAsia="方正仿宋_GBK"/>
                <w:b/>
                <w:color w:val="000000" w:themeColor="text1"/>
                <w:sz w:val="15"/>
                <w:szCs w:val="15"/>
              </w:rPr>
            </w:pPr>
            <w:r>
              <w:rPr>
                <w:rFonts w:ascii="Times New Roman" w:hAnsi="Times New Roman" w:eastAsia="方正仿宋_GBK"/>
                <w:b/>
                <w:color w:val="000000" w:themeColor="text1"/>
                <w:sz w:val="15"/>
                <w:szCs w:val="15"/>
              </w:rPr>
              <w:t>　</w:t>
            </w: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themeColor="text1"/>
                <w:sz w:val="15"/>
                <w:szCs w:val="15"/>
              </w:rPr>
            </w:pPr>
            <w:r>
              <w:rPr>
                <w:rFonts w:ascii="Times New Roman" w:hAnsi="Times New Roman" w:eastAsia="方正仿宋_GBK"/>
                <w:b/>
                <w:color w:val="000000" w:themeColor="text1"/>
                <w:sz w:val="15"/>
                <w:szCs w:val="15"/>
              </w:rPr>
              <w:t>3</w:t>
            </w:r>
          </w:p>
        </w:tc>
        <w:tc>
          <w:tcPr>
            <w:tcW w:w="5672" w:type="dxa"/>
            <w:tcBorders>
              <w:top w:val="single" w:color="auto" w:sz="4" w:space="0"/>
              <w:left w:val="nil"/>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themeColor="text1"/>
                <w:sz w:val="15"/>
                <w:szCs w:val="15"/>
              </w:rPr>
            </w:pPr>
            <w:r>
              <w:rPr>
                <w:rFonts w:ascii="Times New Roman" w:hAnsi="Times New Roman" w:eastAsia="方正仿宋_GBK"/>
                <w:b/>
                <w:color w:val="000000" w:themeColor="text1"/>
                <w:sz w:val="15"/>
                <w:szCs w:val="15"/>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ind w:firstLine="301" w:firstLineChars="200"/>
              <w:jc w:val="center"/>
              <w:rPr>
                <w:rFonts w:hint="default" w:ascii="Times New Roman" w:hAnsi="Times New Roman" w:eastAsia="方正仿宋_GBK"/>
                <w:b/>
                <w:color w:val="000000" w:themeColor="text1"/>
                <w:sz w:val="15"/>
                <w:szCs w:val="15"/>
              </w:rPr>
            </w:pPr>
            <w:r>
              <w:rPr>
                <w:rFonts w:ascii="Times New Roman" w:hAnsi="Times New Roman" w:eastAsia="方正仿宋_GBK"/>
                <w:b/>
                <w:color w:val="000000" w:themeColor="text1"/>
                <w:sz w:val="15"/>
                <w:szCs w:val="15"/>
              </w:rPr>
              <w:t>　</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themeColor="text1"/>
                <w:sz w:val="15"/>
                <w:szCs w:val="15"/>
              </w:rPr>
            </w:pPr>
            <w:r>
              <w:rPr>
                <w:rFonts w:ascii="Times New Roman" w:hAnsi="Times New Roman" w:eastAsia="方正仿宋_GBK"/>
                <w:b/>
                <w:color w:val="000000" w:themeColor="text1"/>
                <w:sz w:val="15"/>
                <w:szCs w:val="15"/>
              </w:rPr>
              <w:t>4</w:t>
            </w:r>
          </w:p>
        </w:tc>
        <w:tc>
          <w:tcPr>
            <w:tcW w:w="5672" w:type="dxa"/>
            <w:tcBorders>
              <w:top w:val="nil"/>
              <w:left w:val="nil"/>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cs="宋体"/>
                <w:b/>
                <w:color w:val="000000" w:themeColor="text1"/>
                <w:sz w:val="15"/>
                <w:szCs w:val="15"/>
              </w:rPr>
            </w:pPr>
          </w:p>
        </w:tc>
        <w:tc>
          <w:tcPr>
            <w:tcW w:w="1701" w:type="dxa"/>
            <w:tcBorders>
              <w:top w:val="nil"/>
              <w:left w:val="nil"/>
              <w:bottom w:val="single" w:color="auto" w:sz="4" w:space="0"/>
              <w:right w:val="single" w:color="auto" w:sz="4" w:space="0"/>
            </w:tcBorders>
            <w:shd w:val="clear" w:color="auto" w:fill="auto"/>
            <w:noWrap/>
            <w:vAlign w:val="center"/>
          </w:tcPr>
          <w:p>
            <w:pPr>
              <w:ind w:firstLine="301" w:firstLineChars="200"/>
              <w:jc w:val="center"/>
              <w:rPr>
                <w:rFonts w:hint="default" w:ascii="Times New Roman" w:hAnsi="Times New Roman" w:eastAsia="方正仿宋_GBK"/>
                <w:b/>
                <w:color w:val="000000" w:themeColor="text1"/>
                <w:sz w:val="15"/>
                <w:szCs w:val="15"/>
              </w:rPr>
            </w:pPr>
            <w:r>
              <w:rPr>
                <w:rFonts w:ascii="Times New Roman" w:hAnsi="Times New Roman" w:eastAsia="方正仿宋_GBK"/>
                <w:b/>
                <w:color w:val="000000" w:themeColor="text1"/>
                <w:sz w:val="15"/>
                <w:szCs w:val="15"/>
              </w:rPr>
              <w:t>　</w:t>
            </w:r>
          </w:p>
        </w:tc>
      </w:tr>
    </w:tbl>
    <w:p>
      <w:pPr>
        <w:pStyle w:val="13"/>
        <w:spacing w:before="0" w:beforeAutospacing="0" w:after="0" w:afterAutospacing="0"/>
        <w:ind w:firstLine="560" w:firstLineChars="200"/>
        <w:rPr>
          <w:rFonts w:ascii="Times New Roman" w:hAnsi="Times New Roman"/>
          <w:b/>
          <w:bCs/>
          <w:color w:val="000000" w:themeColor="text1"/>
          <w:sz w:val="28"/>
          <w:szCs w:val="28"/>
        </w:rPr>
      </w:pPr>
      <w:r>
        <w:rPr>
          <w:rFonts w:hint="eastAsia" w:ascii="Times New Roman" w:hAnsi="Times New Roman" w:eastAsia="方正仿宋_GBK" w:cs="方正仿宋_GBK"/>
          <w:color w:val="000000" w:themeColor="text1"/>
          <w:sz w:val="28"/>
          <w:szCs w:val="28"/>
          <w:shd w:val="clear" w:color="auto" w:fill="FFFFFF"/>
        </w:rPr>
        <w:t>备注：本部门无项目支出</w:t>
      </w:r>
    </w:p>
    <w:p>
      <w:pPr>
        <w:pStyle w:val="13"/>
        <w:spacing w:before="0" w:beforeAutospacing="0" w:after="0" w:afterAutospacing="0"/>
        <w:ind w:firstLine="560" w:firstLineChars="200"/>
        <w:rPr>
          <w:rStyle w:val="14"/>
          <w:rFonts w:ascii="Times New Roman" w:hAnsi="Times New Roman" w:eastAsia="方正仿宋_GBK" w:cs="方正仿宋_GBK"/>
          <w:color w:val="000000" w:themeColor="text1"/>
          <w:sz w:val="32"/>
          <w:szCs w:val="32"/>
          <w:shd w:val="clear" w:color="auto" w:fill="FFFFFF"/>
        </w:rPr>
      </w:pPr>
      <w:r>
        <w:rPr>
          <w:rFonts w:hint="eastAsia" w:ascii="Times New Roman" w:hAnsi="Times New Roman" w:eastAsia="方正仿宋_GBK" w:cs="方正仿宋_GBK"/>
          <w:color w:val="000000" w:themeColor="text1"/>
          <w:sz w:val="28"/>
          <w:szCs w:val="28"/>
          <w:shd w:val="clear" w:color="auto" w:fill="FFFFFF"/>
        </w:rPr>
        <w:t>2.项目支出绩效自评表</w:t>
      </w:r>
    </w:p>
    <w:tbl>
      <w:tblPr>
        <w:tblStyle w:val="8"/>
        <w:tblW w:w="7954" w:type="dxa"/>
        <w:tblInd w:w="92" w:type="dxa"/>
        <w:tblLayout w:type="fixed"/>
        <w:tblCellMar>
          <w:top w:w="0" w:type="dxa"/>
          <w:left w:w="108" w:type="dxa"/>
          <w:bottom w:w="0" w:type="dxa"/>
          <w:right w:w="108" w:type="dxa"/>
        </w:tblCellMar>
      </w:tblPr>
      <w:tblGrid>
        <w:gridCol w:w="583"/>
        <w:gridCol w:w="453"/>
        <w:gridCol w:w="256"/>
        <w:gridCol w:w="709"/>
        <w:gridCol w:w="71"/>
        <w:gridCol w:w="518"/>
        <w:gridCol w:w="687"/>
        <w:gridCol w:w="651"/>
        <w:gridCol w:w="199"/>
        <w:gridCol w:w="319"/>
        <w:gridCol w:w="673"/>
        <w:gridCol w:w="363"/>
        <w:gridCol w:w="346"/>
        <w:gridCol w:w="709"/>
        <w:gridCol w:w="709"/>
        <w:gridCol w:w="708"/>
      </w:tblGrid>
      <w:tr>
        <w:tblPrEx>
          <w:tblCellMar>
            <w:top w:w="0" w:type="dxa"/>
            <w:left w:w="108" w:type="dxa"/>
            <w:bottom w:w="0" w:type="dxa"/>
            <w:right w:w="108" w:type="dxa"/>
          </w:tblCellMar>
        </w:tblPrEx>
        <w:trPr>
          <w:trHeight w:val="540" w:hRule="atLeast"/>
        </w:trPr>
        <w:tc>
          <w:tcPr>
            <w:tcW w:w="1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项目名称：</w:t>
            </w:r>
          </w:p>
        </w:tc>
        <w:tc>
          <w:tcPr>
            <w:tcW w:w="1554" w:type="dxa"/>
            <w:gridSpan w:val="4"/>
            <w:tcBorders>
              <w:top w:val="single" w:color="auto" w:sz="4" w:space="0"/>
              <w:left w:val="nil"/>
              <w:bottom w:val="single" w:color="auto" w:sz="4" w:space="0"/>
              <w:right w:val="single" w:color="auto" w:sz="4" w:space="0"/>
            </w:tcBorders>
            <w:shd w:val="clear" w:color="auto" w:fill="auto"/>
            <w:vAlign w:val="center"/>
          </w:tcPr>
          <w:p>
            <w:pPr>
              <w:ind w:firstLine="360" w:firstLineChars="200"/>
              <w:jc w:val="center"/>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1338"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执行率得分：</w:t>
            </w:r>
          </w:p>
        </w:tc>
        <w:tc>
          <w:tcPr>
            <w:tcW w:w="518" w:type="dxa"/>
            <w:gridSpan w:val="2"/>
            <w:tcBorders>
              <w:top w:val="single" w:color="auto" w:sz="4" w:space="0"/>
              <w:left w:val="nil"/>
              <w:bottom w:val="single" w:color="auto" w:sz="4" w:space="0"/>
              <w:right w:val="single" w:color="auto" w:sz="4" w:space="0"/>
            </w:tcBorders>
            <w:shd w:val="clear" w:color="auto" w:fill="auto"/>
            <w:vAlign w:val="center"/>
          </w:tcPr>
          <w:p>
            <w:pPr>
              <w:ind w:firstLine="361" w:firstLineChars="200"/>
              <w:jc w:val="right"/>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　</w:t>
            </w:r>
          </w:p>
        </w:tc>
        <w:tc>
          <w:tcPr>
            <w:tcW w:w="1036"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自评总分：</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　</w:t>
            </w:r>
          </w:p>
        </w:tc>
      </w:tr>
      <w:tr>
        <w:tblPrEx>
          <w:tblCellMar>
            <w:top w:w="0" w:type="dxa"/>
            <w:left w:w="108" w:type="dxa"/>
            <w:bottom w:w="0" w:type="dxa"/>
            <w:right w:w="108" w:type="dxa"/>
          </w:tblCellMar>
        </w:tblPrEx>
        <w:trPr>
          <w:trHeight w:val="435" w:hRule="atLeast"/>
        </w:trPr>
        <w:tc>
          <w:tcPr>
            <w:tcW w:w="795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ind w:firstLine="361" w:firstLineChars="200"/>
              <w:jc w:val="center"/>
              <w:rPr>
                <w:rFonts w:hint="default" w:ascii="Times New Roman" w:hAnsi="Times New Roman" w:eastAsia="微软雅黑" w:cs="宋体"/>
                <w:b/>
                <w:bCs/>
                <w:color w:val="000000" w:themeColor="text1"/>
                <w:sz w:val="18"/>
                <w:szCs w:val="18"/>
              </w:rPr>
            </w:pPr>
            <w:r>
              <w:rPr>
                <w:rFonts w:ascii="Times New Roman" w:hAnsi="Times New Roman" w:eastAsia="微软雅黑" w:cs="宋体"/>
                <w:b/>
                <w:bCs/>
                <w:color w:val="000000" w:themeColor="text1"/>
                <w:sz w:val="18"/>
                <w:szCs w:val="18"/>
              </w:rPr>
              <w:t>绩效目标</w:t>
            </w:r>
          </w:p>
        </w:tc>
      </w:tr>
      <w:tr>
        <w:tblPrEx>
          <w:tblCellMar>
            <w:top w:w="0" w:type="dxa"/>
            <w:left w:w="108" w:type="dxa"/>
            <w:bottom w:w="0" w:type="dxa"/>
            <w:right w:w="108" w:type="dxa"/>
          </w:tblCellMar>
        </w:tblPrEx>
        <w:trPr>
          <w:trHeight w:val="435" w:hRule="atLeast"/>
        </w:trPr>
        <w:tc>
          <w:tcPr>
            <w:tcW w:w="2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361" w:firstLineChars="200"/>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年初绩效目标</w:t>
            </w:r>
          </w:p>
        </w:tc>
        <w:tc>
          <w:tcPr>
            <w:tcW w:w="2374" w:type="dxa"/>
            <w:gridSpan w:val="5"/>
            <w:tcBorders>
              <w:top w:val="single" w:color="auto" w:sz="4" w:space="0"/>
              <w:left w:val="nil"/>
              <w:bottom w:val="single" w:color="auto" w:sz="4" w:space="0"/>
              <w:right w:val="single" w:color="auto" w:sz="4" w:space="0"/>
            </w:tcBorders>
            <w:shd w:val="clear" w:color="auto" w:fill="auto"/>
            <w:vAlign w:val="center"/>
          </w:tcPr>
          <w:p>
            <w:pPr>
              <w:ind w:firstLine="361" w:firstLineChars="200"/>
              <w:jc w:val="cente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全年（调整）绩效目标</w:t>
            </w:r>
          </w:p>
        </w:tc>
        <w:tc>
          <w:tcPr>
            <w:tcW w:w="3508" w:type="dxa"/>
            <w:gridSpan w:val="6"/>
            <w:tcBorders>
              <w:top w:val="single" w:color="auto" w:sz="4" w:space="0"/>
              <w:left w:val="nil"/>
              <w:bottom w:val="single" w:color="auto" w:sz="4" w:space="0"/>
              <w:right w:val="single" w:color="auto" w:sz="4" w:space="0"/>
            </w:tcBorders>
            <w:shd w:val="clear" w:color="auto" w:fill="auto"/>
            <w:vAlign w:val="center"/>
          </w:tcPr>
          <w:p>
            <w:pPr>
              <w:ind w:firstLine="361" w:firstLineChars="200"/>
              <w:jc w:val="cente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全年目标实际完成情况</w:t>
            </w:r>
          </w:p>
        </w:tc>
      </w:tr>
      <w:tr>
        <w:tblPrEx>
          <w:tblCellMar>
            <w:top w:w="0" w:type="dxa"/>
            <w:left w:w="108" w:type="dxa"/>
            <w:bottom w:w="0" w:type="dxa"/>
            <w:right w:w="108" w:type="dxa"/>
          </w:tblCellMar>
        </w:tblPrEx>
        <w:trPr>
          <w:trHeight w:val="975" w:hRule="atLeast"/>
        </w:trPr>
        <w:tc>
          <w:tcPr>
            <w:tcW w:w="2072" w:type="dxa"/>
            <w:gridSpan w:val="5"/>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宋体"/>
                <w:color w:val="000000" w:themeColor="text1"/>
                <w:sz w:val="18"/>
                <w:szCs w:val="18"/>
              </w:rPr>
            </w:pPr>
          </w:p>
        </w:tc>
        <w:tc>
          <w:tcPr>
            <w:tcW w:w="2374" w:type="dxa"/>
            <w:gridSpan w:val="5"/>
            <w:tcBorders>
              <w:top w:val="single" w:color="auto" w:sz="4" w:space="0"/>
              <w:left w:val="nil"/>
              <w:bottom w:val="single" w:color="auto" w:sz="4" w:space="0"/>
              <w:right w:val="single" w:color="auto" w:sz="4" w:space="0"/>
            </w:tcBorders>
            <w:shd w:val="clear" w:color="auto" w:fill="auto"/>
          </w:tcPr>
          <w:p>
            <w:pPr>
              <w:ind w:firstLine="360" w:firstLineChars="200"/>
              <w:rPr>
                <w:rFonts w:hint="default" w:ascii="Times New Roman" w:hAnsi="Times New Roman" w:cs="宋体"/>
                <w:color w:val="000000" w:themeColor="text1"/>
                <w:sz w:val="18"/>
                <w:szCs w:val="18"/>
              </w:rPr>
            </w:pPr>
          </w:p>
        </w:tc>
        <w:tc>
          <w:tcPr>
            <w:tcW w:w="3508" w:type="dxa"/>
            <w:gridSpan w:val="6"/>
            <w:tcBorders>
              <w:top w:val="single" w:color="auto" w:sz="4" w:space="0"/>
              <w:left w:val="nil"/>
              <w:bottom w:val="single" w:color="auto" w:sz="4" w:space="0"/>
              <w:right w:val="single" w:color="auto" w:sz="4" w:space="0"/>
            </w:tcBorders>
            <w:shd w:val="clear" w:color="auto" w:fill="auto"/>
          </w:tcPr>
          <w:p>
            <w:pPr>
              <w:ind w:firstLine="360" w:firstLineChars="200"/>
              <w:rPr>
                <w:rFonts w:hint="default" w:ascii="Times New Roman" w:hAnsi="Times New Roman" w:cs="宋体"/>
                <w:color w:val="000000" w:themeColor="text1"/>
                <w:sz w:val="18"/>
                <w:szCs w:val="18"/>
              </w:rPr>
            </w:pPr>
          </w:p>
        </w:tc>
      </w:tr>
      <w:tr>
        <w:tblPrEx>
          <w:tblCellMar>
            <w:top w:w="0" w:type="dxa"/>
            <w:left w:w="108" w:type="dxa"/>
            <w:bottom w:w="0" w:type="dxa"/>
            <w:right w:w="108" w:type="dxa"/>
          </w:tblCellMar>
        </w:tblPrEx>
        <w:trPr>
          <w:trHeight w:val="435" w:hRule="atLeast"/>
        </w:trPr>
        <w:tc>
          <w:tcPr>
            <w:tcW w:w="795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ind w:firstLine="361" w:firstLineChars="200"/>
              <w:jc w:val="center"/>
              <w:rPr>
                <w:rFonts w:hint="default" w:ascii="Times New Roman" w:hAnsi="Times New Roman" w:eastAsia="微软雅黑" w:cs="宋体"/>
                <w:b/>
                <w:bCs/>
                <w:color w:val="000000" w:themeColor="text1"/>
                <w:sz w:val="18"/>
                <w:szCs w:val="18"/>
              </w:rPr>
            </w:pPr>
            <w:r>
              <w:rPr>
                <w:rFonts w:ascii="Times New Roman" w:hAnsi="Times New Roman" w:eastAsia="微软雅黑" w:cs="宋体"/>
                <w:b/>
                <w:bCs/>
                <w:color w:val="000000" w:themeColor="text1"/>
                <w:sz w:val="18"/>
                <w:szCs w:val="18"/>
              </w:rPr>
              <w:t>绩效指标</w:t>
            </w:r>
          </w:p>
        </w:tc>
      </w:tr>
      <w:tr>
        <w:tblPrEx>
          <w:tblCellMar>
            <w:top w:w="0" w:type="dxa"/>
            <w:left w:w="108" w:type="dxa"/>
            <w:bottom w:w="0" w:type="dxa"/>
            <w:right w:w="108" w:type="dxa"/>
          </w:tblCellMar>
        </w:tblPrEx>
        <w:trPr>
          <w:trHeight w:val="1080"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指标名称</w:t>
            </w:r>
          </w:p>
        </w:tc>
        <w:tc>
          <w:tcPr>
            <w:tcW w:w="709"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计量单位</w:t>
            </w:r>
          </w:p>
        </w:tc>
        <w:tc>
          <w:tcPr>
            <w:tcW w:w="709"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指标性质</w:t>
            </w:r>
          </w:p>
        </w:tc>
        <w:tc>
          <w:tcPr>
            <w:tcW w:w="589"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指标值</w:t>
            </w:r>
          </w:p>
        </w:tc>
        <w:tc>
          <w:tcPr>
            <w:tcW w:w="68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全年完成值</w:t>
            </w:r>
          </w:p>
        </w:tc>
        <w:tc>
          <w:tcPr>
            <w:tcW w:w="850"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偏离度（%）</w:t>
            </w:r>
          </w:p>
        </w:tc>
        <w:tc>
          <w:tcPr>
            <w:tcW w:w="992"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得分系数（%）</w:t>
            </w:r>
          </w:p>
        </w:tc>
        <w:tc>
          <w:tcPr>
            <w:tcW w:w="709"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指标权重</w:t>
            </w:r>
          </w:p>
        </w:tc>
        <w:tc>
          <w:tcPr>
            <w:tcW w:w="709"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指标得分</w:t>
            </w:r>
          </w:p>
        </w:tc>
        <w:tc>
          <w:tcPr>
            <w:tcW w:w="709"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是否核心指标</w:t>
            </w:r>
          </w:p>
        </w:tc>
        <w:tc>
          <w:tcPr>
            <w:tcW w:w="708"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themeColor="text1"/>
                <w:sz w:val="18"/>
                <w:szCs w:val="18"/>
              </w:rPr>
            </w:pPr>
            <w:r>
              <w:rPr>
                <w:rFonts w:ascii="Times New Roman" w:hAnsi="Times New Roman" w:cs="宋体"/>
                <w:b/>
                <w:bCs/>
                <w:color w:val="000000" w:themeColor="text1"/>
                <w:sz w:val="18"/>
                <w:szCs w:val="18"/>
              </w:rPr>
              <w:t>说明</w:t>
            </w:r>
          </w:p>
        </w:tc>
      </w:tr>
      <w:tr>
        <w:tblPrEx>
          <w:tblCellMar>
            <w:top w:w="0" w:type="dxa"/>
            <w:left w:w="108" w:type="dxa"/>
            <w:bottom w:w="0" w:type="dxa"/>
            <w:right w:w="108" w:type="dxa"/>
          </w:tblCellMar>
        </w:tblPrEx>
        <w:trPr>
          <w:trHeight w:val="43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589"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687" w:type="dxa"/>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850"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r>
      <w:tr>
        <w:tblPrEx>
          <w:tblCellMar>
            <w:top w:w="0" w:type="dxa"/>
            <w:left w:w="108" w:type="dxa"/>
            <w:bottom w:w="0" w:type="dxa"/>
            <w:right w:w="108" w:type="dxa"/>
          </w:tblCellMar>
        </w:tblPrEx>
        <w:trPr>
          <w:trHeight w:val="43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589"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687" w:type="dxa"/>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850"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r>
      <w:tr>
        <w:tblPrEx>
          <w:tblCellMar>
            <w:top w:w="0" w:type="dxa"/>
            <w:left w:w="108" w:type="dxa"/>
            <w:bottom w:w="0" w:type="dxa"/>
            <w:right w:w="108" w:type="dxa"/>
          </w:tblCellMar>
        </w:tblPrEx>
        <w:trPr>
          <w:trHeight w:val="43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589"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687" w:type="dxa"/>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850"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themeColor="text1"/>
                <w:sz w:val="18"/>
                <w:szCs w:val="18"/>
              </w:rPr>
            </w:pPr>
            <w:r>
              <w:rPr>
                <w:rFonts w:ascii="Times New Roman" w:hAnsi="Times New Roman" w:cs="宋体"/>
                <w:color w:val="000000" w:themeColor="text1"/>
                <w:sz w:val="18"/>
                <w:szCs w:val="18"/>
              </w:rPr>
              <w:t>　</w:t>
            </w:r>
          </w:p>
        </w:tc>
      </w:tr>
    </w:tbl>
    <w:p>
      <w:pPr>
        <w:pStyle w:val="13"/>
        <w:spacing w:before="0" w:beforeAutospacing="0" w:after="0" w:afterAutospacing="0"/>
        <w:ind w:firstLine="560" w:firstLineChars="200"/>
        <w:rPr>
          <w:rFonts w:ascii="Times New Roman" w:hAnsi="Times New Roman"/>
          <w:b/>
          <w:bCs/>
          <w:color w:val="000000" w:themeColor="text1"/>
          <w:sz w:val="28"/>
          <w:szCs w:val="28"/>
        </w:rPr>
      </w:pPr>
      <w:r>
        <w:rPr>
          <w:rFonts w:hint="eastAsia" w:ascii="Times New Roman" w:hAnsi="Times New Roman" w:eastAsia="方正仿宋_GBK" w:cs="方正仿宋_GBK"/>
          <w:color w:val="000000" w:themeColor="text1"/>
          <w:sz w:val="28"/>
          <w:szCs w:val="28"/>
          <w:shd w:val="clear" w:color="auto" w:fill="FFFFFF"/>
        </w:rPr>
        <w:t>备注：本部门无项目支出</w:t>
      </w:r>
    </w:p>
    <w:p>
      <w:pPr>
        <w:pStyle w:val="12"/>
        <w:autoSpaceDE w:val="0"/>
        <w:ind w:firstLine="417" w:firstLineChars="130"/>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（二）单位绩效评价情况</w:t>
      </w:r>
    </w:p>
    <w:p>
      <w:pPr>
        <w:tabs>
          <w:tab w:val="center" w:pos="4153"/>
          <w:tab w:val="left" w:pos="7275"/>
        </w:tabs>
        <w:spacing w:line="600" w:lineRule="exact"/>
        <w:ind w:firstLine="419" w:firstLineChars="131"/>
        <w:rPr>
          <w:rFonts w:hint="default" w:ascii="Times New Roman" w:hAnsi="Times New Roman" w:eastAsia="方正仿宋_GBK" w:cs="宋体"/>
          <w:color w:val="000000" w:themeColor="text1"/>
          <w:sz w:val="32"/>
          <w:szCs w:val="32"/>
        </w:rPr>
      </w:pPr>
      <w:r>
        <w:rPr>
          <w:rFonts w:ascii="Times New Roman" w:hAnsi="Times New Roman" w:eastAsia="方正仿宋_GBK" w:cs="宋体"/>
          <w:color w:val="000000" w:themeColor="text1"/>
          <w:sz w:val="32"/>
          <w:szCs w:val="32"/>
        </w:rPr>
        <w:t>本单位没有委托第三方开展绩效评价。</w:t>
      </w:r>
    </w:p>
    <w:p>
      <w:pPr>
        <w:pStyle w:val="12"/>
        <w:autoSpaceDE w:val="0"/>
        <w:ind w:firstLine="417" w:firstLineChars="130"/>
        <w:rPr>
          <w:rFonts w:ascii="Times New Roman" w:hAnsi="Times New Roman" w:eastAsia="楷体" w:cs="楷体"/>
          <w:b/>
          <w:bCs/>
          <w:color w:val="000000" w:themeColor="text1"/>
          <w:sz w:val="32"/>
          <w:szCs w:val="32"/>
          <w:shd w:val="clear" w:color="auto" w:fill="FFFFFF"/>
        </w:rPr>
      </w:pPr>
      <w:r>
        <w:rPr>
          <w:rFonts w:hint="eastAsia" w:ascii="Times New Roman" w:hAnsi="Times New Roman" w:eastAsia="楷体" w:cs="楷体"/>
          <w:b/>
          <w:bCs/>
          <w:color w:val="000000" w:themeColor="text1"/>
          <w:sz w:val="32"/>
          <w:szCs w:val="32"/>
          <w:shd w:val="clear" w:color="auto" w:fill="FFFFFF"/>
        </w:rPr>
        <w:t>（三）财政绩效评价情况</w:t>
      </w:r>
    </w:p>
    <w:p>
      <w:pPr>
        <w:pStyle w:val="12"/>
        <w:autoSpaceDE w:val="0"/>
        <w:ind w:firstLine="419" w:firstLineChars="131"/>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区财政局未委托第三方对我单位开展绩效评价。</w:t>
      </w:r>
    </w:p>
    <w:p>
      <w:pPr>
        <w:pStyle w:val="7"/>
        <w:shd w:val="clear" w:color="auto" w:fill="FFFFFF"/>
        <w:spacing w:before="0" w:beforeAutospacing="0" w:after="0" w:afterAutospacing="0"/>
        <w:ind w:firstLine="629" w:firstLineChars="196"/>
        <w:rPr>
          <w:rStyle w:val="11"/>
          <w:rFonts w:hint="default" w:ascii="Times New Roman" w:hAnsi="Times New Roman" w:eastAsia="方正仿宋_GBK" w:cs="方正仿宋_GBK"/>
          <w:color w:val="000000" w:themeColor="text1"/>
          <w:sz w:val="32"/>
          <w:szCs w:val="32"/>
          <w:shd w:val="clear" w:color="auto" w:fill="FFFFFF"/>
        </w:rPr>
      </w:pPr>
      <w:r>
        <w:rPr>
          <w:rStyle w:val="11"/>
          <w:rFonts w:ascii="Times New Roman" w:hAnsi="Times New Roman" w:eastAsia="黑体" w:cs="黑体"/>
          <w:color w:val="000000" w:themeColor="text1"/>
          <w:sz w:val="32"/>
          <w:szCs w:val="32"/>
          <w:shd w:val="clear" w:color="auto" w:fill="FFFFFF"/>
        </w:rPr>
        <w:t>六、专业名词解释</w:t>
      </w:r>
    </w:p>
    <w:p>
      <w:pPr>
        <w:pStyle w:val="7"/>
        <w:snapToGrid w:val="0"/>
        <w:spacing w:before="0" w:beforeAutospacing="0" w:after="0" w:afterAutospacing="0" w:line="600" w:lineRule="exact"/>
        <w:ind w:firstLine="472" w:firstLineChars="147"/>
        <w:jc w:val="both"/>
        <w:rPr>
          <w:rFonts w:hint="default" w:ascii="Times New Roman" w:hAnsi="Times New Roman" w:eastAsia="方正仿宋_GBK" w:cs="方正仿宋_GBK"/>
          <w:color w:val="000000" w:themeColor="text1"/>
          <w:sz w:val="32"/>
          <w:szCs w:val="32"/>
        </w:rPr>
      </w:pPr>
      <w:r>
        <w:rPr>
          <w:rFonts w:ascii="Times New Roman" w:hAnsi="Times New Roman" w:eastAsia="楷体" w:cs="楷体"/>
          <w:b/>
          <w:bCs/>
          <w:color w:val="000000" w:themeColor="text1"/>
          <w:sz w:val="32"/>
          <w:szCs w:val="32"/>
          <w:shd w:val="clear" w:color="auto" w:fill="FFFFFF"/>
        </w:rPr>
        <w:t>（一）财政拨款收入：</w:t>
      </w:r>
      <w:r>
        <w:rPr>
          <w:rFonts w:ascii="Times New Roman" w:hAnsi="Times New Roman" w:eastAsia="方正仿宋_GBK" w:cs="方正仿宋_GBK"/>
          <w:color w:val="000000" w:themeColor="text1"/>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472" w:firstLineChars="147"/>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(二）事业收入</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（三）经营收入</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（四）其他收入</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472" w:firstLineChars="147"/>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（五）使用非财政拨款结余</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（六）年初结转和结余</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（七）结余分配</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308" w:firstLineChars="96"/>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（八）年末结转和结余</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（九）基本支出</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（十）项目支出</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（十一）经营支出</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（十二）“三公”经费</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（十三）机关运行经费</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（十四）工资福利支出（支出经济分类科目类级）</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（十五）商品和服务支出（支出经济分类科目类级）</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（十六）对个人和家庭的补助（支出经济分类科目类级）</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反映用于对个人和家庭的补助支出。</w:t>
      </w:r>
    </w:p>
    <w:p>
      <w:pPr>
        <w:pStyle w:val="7"/>
        <w:snapToGrid w:val="0"/>
        <w:spacing w:before="0" w:beforeAutospacing="0" w:after="0" w:afterAutospacing="0" w:line="600" w:lineRule="exact"/>
        <w:ind w:firstLine="314" w:firstLineChars="98"/>
        <w:jc w:val="both"/>
        <w:rPr>
          <w:rFonts w:hint="default" w:ascii="Times New Roman" w:hAnsi="Times New Roman" w:eastAsia="方正仿宋_GBK" w:cs="方正仿宋_GBK"/>
          <w:color w:val="000000" w:themeColor="text1"/>
          <w:sz w:val="32"/>
          <w:szCs w:val="32"/>
        </w:rPr>
      </w:pPr>
      <w:r>
        <w:rPr>
          <w:rStyle w:val="11"/>
          <w:rFonts w:ascii="Times New Roman" w:hAnsi="Times New Roman" w:eastAsia="楷体" w:cs="楷体"/>
          <w:color w:val="000000" w:themeColor="text1"/>
          <w:sz w:val="32"/>
          <w:szCs w:val="32"/>
          <w:shd w:val="clear" w:color="auto" w:fill="FFFFFF"/>
        </w:rPr>
        <w:t>（十七）其他资本性支出（支出经济分类科目类级）</w:t>
      </w:r>
      <w:r>
        <w:rPr>
          <w:rFonts w:ascii="Times New Roman" w:hAnsi="Times New Roman" w:eastAsia="楷体" w:cs="楷体"/>
          <w:color w:val="000000" w:themeColor="text1"/>
          <w:sz w:val="32"/>
          <w:szCs w:val="32"/>
          <w:shd w:val="clear" w:color="auto" w:fill="FFFFFF"/>
        </w:rPr>
        <w:t>：</w:t>
      </w:r>
      <w:r>
        <w:rPr>
          <w:rFonts w:ascii="Times New Roman" w:hAnsi="Times New Roman" w:eastAsia="方正仿宋_GBK" w:cs="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0" w:beforeAutospacing="0" w:after="0" w:afterAutospacing="0" w:line="600" w:lineRule="exact"/>
        <w:ind w:firstLine="314" w:firstLineChars="98"/>
        <w:rPr>
          <w:rStyle w:val="11"/>
          <w:rFonts w:hint="default" w:ascii="Times New Roman" w:hAnsi="Times New Roman" w:eastAsia="方正仿宋_GBK" w:cs="方正仿宋_GBK"/>
          <w:color w:val="000000" w:themeColor="text1"/>
          <w:sz w:val="32"/>
          <w:szCs w:val="32"/>
          <w:shd w:val="clear" w:color="auto" w:fill="FFFFFF"/>
        </w:rPr>
      </w:pPr>
      <w:r>
        <w:rPr>
          <w:rStyle w:val="11"/>
          <w:rFonts w:ascii="Times New Roman" w:hAnsi="Times New Roman" w:eastAsia="黑体" w:cs="黑体"/>
          <w:color w:val="000000" w:themeColor="text1"/>
          <w:sz w:val="32"/>
          <w:szCs w:val="32"/>
          <w:shd w:val="clear" w:color="auto" w:fill="FFFFFF"/>
        </w:rPr>
        <w:t>七、决算公开联系方式及信息反馈渠道</w:t>
      </w:r>
    </w:p>
    <w:p>
      <w:pPr>
        <w:pStyle w:val="13"/>
        <w:autoSpaceDE w:val="0"/>
        <w:spacing w:before="0" w:beforeAutospacing="0" w:after="0" w:afterAutospacing="0" w:line="600" w:lineRule="exact"/>
        <w:ind w:firstLine="200"/>
        <w:jc w:val="both"/>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本单位决算公开信息反馈和联系方式：李理    72371188</w:t>
      </w:r>
    </w:p>
    <w:p>
      <w:pPr>
        <w:pStyle w:val="12"/>
        <w:autoSpaceDE w:val="0"/>
        <w:spacing w:line="600" w:lineRule="exact"/>
        <w:ind w:firstLine="643"/>
        <w:rPr>
          <w:rStyle w:val="11"/>
          <w:rFonts w:ascii="Times New Roman" w:hAnsi="Times New Roman" w:eastAsia="方正仿宋_GBK" w:cs="方正仿宋_GBK"/>
          <w:color w:val="000000" w:themeColor="text1"/>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ind w:firstLine="420" w:firstLineChars="200"/>
        <w:rPr>
          <w:rFonts w:hint="default" w:ascii="Times New Roman" w:hAnsi="Times New Roman" w:cs="宋体"/>
          <w:color w:val="000000" w:themeColor="text1"/>
          <w:sz w:val="21"/>
          <w:szCs w:val="21"/>
        </w:rPr>
      </w:pPr>
    </w:p>
    <w:p>
      <w:pPr>
        <w:rPr>
          <w:rFonts w:hint="default" w:ascii="Times New Roman" w:hAnsi="Times New Roman"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rPr>
              <w:t>重庆市涪陵区林业发展服务中心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590.48</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20.00</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73.48</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29.71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480.09</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27.76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610.48</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611.03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215.89</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215.34</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826.37</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826.37</w:t>
            </w:r>
          </w:p>
        </w:tc>
      </w:tr>
    </w:tbl>
    <w:p>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rPr>
              <w:t>重庆市涪陵区林业发展服务中心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610.48</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590.48</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20.00</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73.48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73.48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73.48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73.48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18.51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18.51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479.53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459.53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20.00</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479.53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459.53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20.00</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459.53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459.53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20.00</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bl>
    <w:p>
      <w:pPr>
        <w:ind w:left="1001" w:leftChars="167" w:hanging="600" w:hangingChars="300"/>
        <w:rPr>
          <w:rFonts w:hint="default" w:ascii="Times New Roman" w:hAnsi="Times New Roman" w:cs="宋体"/>
          <w:color w:val="000000" w:themeColor="text1"/>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color w:val="000000" w:themeColor="text1"/>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重庆市涪陵区林业发展服务中心</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611.03</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590.48</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20.56</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73.48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73.48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73.48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73.48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18.51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18.51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480.09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459.53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480.09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459.53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459.53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459.53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27.76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bl>
    <w:p>
      <w:pPr>
        <w:ind w:firstLine="400" w:firstLineChars="200"/>
        <w:rPr>
          <w:rFonts w:hint="default" w:ascii="Times New Roman" w:hAnsi="Times New Roman" w:cs="宋体"/>
          <w:color w:val="000000" w:themeColor="text1"/>
          <w:sz w:val="21"/>
          <w:szCs w:val="21"/>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重庆市涪陵区林业发展服务中心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590.48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73.48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73.48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459.53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459.53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27.76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27.76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590.48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590.48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590.48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590.48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590.48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590.48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bl>
    <w:p>
      <w:pPr>
        <w:spacing w:line="240" w:lineRule="exact"/>
        <w:ind w:firstLine="400" w:firstLineChars="200"/>
        <w:rPr>
          <w:rFonts w:hint="default" w:ascii="Times New Roman" w:hAnsi="Times New Roman" w:cs="宋体"/>
          <w:color w:val="000000" w:themeColor="text1"/>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color w:val="000000" w:themeColor="text1"/>
          <w:sz w:val="20"/>
          <w:szCs w:val="20"/>
        </w:rPr>
        <w:br w:type="textWrapping"/>
      </w:r>
      <w:r>
        <w:rPr>
          <w:rFonts w:ascii="Times New Roman" w:hAnsi="Times New Roman" w:cs="宋体"/>
          <w:color w:val="000000" w:themeColor="text1"/>
          <w:sz w:val="21"/>
          <w:szCs w:val="21"/>
        </w:rPr>
        <w:br w:type="page"/>
      </w:r>
    </w:p>
    <w:tbl>
      <w:tblPr>
        <w:tblStyle w:val="8"/>
        <w:tblW w:w="15378" w:type="dxa"/>
        <w:tblInd w:w="0" w:type="dxa"/>
        <w:tblLayout w:type="fixed"/>
        <w:tblCellMar>
          <w:top w:w="0" w:type="dxa"/>
          <w:left w:w="0" w:type="dxa"/>
          <w:bottom w:w="0" w:type="dxa"/>
          <w:right w:w="0" w:type="dxa"/>
        </w:tblCellMar>
      </w:tblPr>
      <w:tblGrid>
        <w:gridCol w:w="605"/>
        <w:gridCol w:w="2740"/>
        <w:gridCol w:w="1376"/>
        <w:gridCol w:w="685"/>
        <w:gridCol w:w="151"/>
        <w:gridCol w:w="1923"/>
        <w:gridCol w:w="1245"/>
        <w:gridCol w:w="411"/>
        <w:gridCol w:w="808"/>
        <w:gridCol w:w="2100"/>
        <w:gridCol w:w="1427"/>
        <w:gridCol w:w="1889"/>
        <w:gridCol w:w="18"/>
      </w:tblGrid>
      <w:tr>
        <w:tblPrEx>
          <w:tblCellMar>
            <w:top w:w="0" w:type="dxa"/>
            <w:left w:w="0" w:type="dxa"/>
            <w:bottom w:w="0" w:type="dxa"/>
            <w:right w:w="0" w:type="dxa"/>
          </w:tblCellMar>
        </w:tblPrEx>
        <w:trPr>
          <w:trHeight w:val="510" w:hRule="atLeast"/>
        </w:trPr>
        <w:tc>
          <w:tcPr>
            <w:tcW w:w="15378" w:type="dxa"/>
            <w:gridSpan w:val="13"/>
            <w:tcBorders>
              <w:top w:val="nil"/>
              <w:left w:val="nil"/>
              <w:bottom w:val="nil"/>
              <w:right w:val="nil"/>
            </w:tcBorders>
            <w:shd w:val="clear" w:color="auto" w:fill="auto"/>
            <w:noWrap/>
            <w:tcMar>
              <w:top w:w="15" w:type="dxa"/>
              <w:left w:w="15" w:type="dxa"/>
              <w:right w:w="15" w:type="dxa"/>
            </w:tcMar>
            <w:vAlign w:val="bottom"/>
          </w:tcPr>
          <w:tbl>
            <w:tblPr>
              <w:tblStyle w:val="8"/>
              <w:tblW w:w="5000" w:type="pct"/>
              <w:tblInd w:w="0" w:type="dxa"/>
              <w:tblLayout w:type="fixed"/>
              <w:tblCellMar>
                <w:top w:w="0" w:type="dxa"/>
                <w:left w:w="0" w:type="dxa"/>
                <w:bottom w:w="0" w:type="dxa"/>
                <w:right w:w="0" w:type="dxa"/>
              </w:tblCellMar>
            </w:tblPr>
            <w:tblGrid>
              <w:gridCol w:w="1855"/>
              <w:gridCol w:w="3542"/>
              <w:gridCol w:w="3312"/>
              <w:gridCol w:w="3312"/>
              <w:gridCol w:w="3327"/>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重庆市涪陵区林业发展服务中心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590.48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590.48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73.48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73.48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73.48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73.48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37.01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37.01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18.51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18.51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17.96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17.96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29.71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29.71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29.71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29.71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459.53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459.53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459.53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459.53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459.53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459.53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27.76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27.76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27.76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27.76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27.76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27.76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bl>
          <w:p>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ind w:firstLine="642" w:firstLineChars="200"/>
              <w:jc w:val="center"/>
              <w:textAlignment w:val="bottom"/>
              <w:rPr>
                <w:rFonts w:hint="default" w:ascii="Times New Roman" w:hAnsi="Times New Roman" w:cs="宋体"/>
                <w:b/>
                <w:color w:val="000000" w:themeColor="text1"/>
                <w:sz w:val="32"/>
                <w:szCs w:val="32"/>
              </w:rPr>
            </w:pPr>
          </w:p>
        </w:tc>
      </w:tr>
      <w:tr>
        <w:tblPrEx>
          <w:tblCellMar>
            <w:top w:w="0" w:type="dxa"/>
            <w:left w:w="0" w:type="dxa"/>
            <w:bottom w:w="0" w:type="dxa"/>
            <w:right w:w="0" w:type="dxa"/>
          </w:tblCellMar>
        </w:tblPrEx>
        <w:trPr>
          <w:gridAfter w:val="3"/>
          <w:wAfter w:w="3334" w:type="dxa"/>
          <w:trHeight w:val="255" w:hRule="atLeast"/>
        </w:trPr>
        <w:tc>
          <w:tcPr>
            <w:tcW w:w="5406" w:type="dxa"/>
            <w:gridSpan w:val="4"/>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themeColor="text1"/>
                <w:sz w:val="20"/>
                <w:szCs w:val="20"/>
              </w:rPr>
            </w:pPr>
          </w:p>
        </w:tc>
        <w:tc>
          <w:tcPr>
            <w:tcW w:w="3319" w:type="dxa"/>
            <w:gridSpan w:val="3"/>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3319" w:type="dxa"/>
            <w:gridSpan w:val="3"/>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r>
      <w:tr>
        <w:tblPrEx>
          <w:tblCellMar>
            <w:top w:w="0" w:type="dxa"/>
            <w:left w:w="0" w:type="dxa"/>
            <w:bottom w:w="0" w:type="dxa"/>
            <w:right w:w="0" w:type="dxa"/>
          </w:tblCellMar>
        </w:tblPrEx>
        <w:trPr>
          <w:gridAfter w:val="1"/>
          <w:wAfter w:w="18" w:type="dxa"/>
          <w:trHeight w:val="90" w:hRule="atLeast"/>
        </w:trPr>
        <w:tc>
          <w:tcPr>
            <w:tcW w:w="15360" w:type="dxa"/>
            <w:gridSpan w:val="12"/>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tblPrEx>
          <w:tblCellMar>
            <w:top w:w="0" w:type="dxa"/>
            <w:left w:w="0" w:type="dxa"/>
            <w:bottom w:w="0" w:type="dxa"/>
            <w:right w:w="0" w:type="dxa"/>
          </w:tblCellMar>
        </w:tblPrEx>
        <w:trPr>
          <w:gridAfter w:val="1"/>
          <w:wAfter w:w="18" w:type="dxa"/>
          <w:trHeight w:val="90" w:hRule="atLeast"/>
        </w:trPr>
        <w:tc>
          <w:tcPr>
            <w:tcW w:w="3345"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w:t>
            </w:r>
            <w:r>
              <w:rPr>
                <w:rFonts w:ascii="Times New Roman" w:hAnsi="Times New Roman"/>
                <w:color w:val="000000"/>
                <w:sz w:val="20"/>
              </w:rPr>
              <w:t>重庆市涪陵区林业发展服心</w:t>
            </w:r>
          </w:p>
        </w:tc>
        <w:tc>
          <w:tcPr>
            <w:tcW w:w="13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656"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352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tblPrEx>
          <w:tblCellMar>
            <w:top w:w="0" w:type="dxa"/>
            <w:left w:w="0" w:type="dxa"/>
            <w:bottom w:w="0" w:type="dxa"/>
            <w:right w:w="0" w:type="dxa"/>
          </w:tblCellMar>
        </w:tblPrEx>
        <w:trPr>
          <w:gridAfter w:val="1"/>
          <w:wAfter w:w="18" w:type="dxa"/>
          <w:trHeight w:val="90" w:hRule="atLeast"/>
        </w:trPr>
        <w:tc>
          <w:tcPr>
            <w:tcW w:w="3345"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656"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352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gridAfter w:val="1"/>
          <w:wAfter w:w="18" w:type="dxa"/>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10639" w:type="dxa"/>
            <w:gridSpan w:val="9"/>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tblPrEx>
          <w:tblCellMar>
            <w:top w:w="0" w:type="dxa"/>
            <w:left w:w="0" w:type="dxa"/>
            <w:bottom w:w="0" w:type="dxa"/>
            <w:right w:w="0" w:type="dxa"/>
          </w:tblCellMar>
        </w:tblPrEx>
        <w:trPr>
          <w:gridAfter w:val="1"/>
          <w:wAfter w:w="18" w:type="dxa"/>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83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1656"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3527"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tblPrEx>
          <w:tblCellMar>
            <w:top w:w="0" w:type="dxa"/>
            <w:left w:w="0" w:type="dxa"/>
            <w:bottom w:w="0" w:type="dxa"/>
            <w:right w:w="0" w:type="dxa"/>
          </w:tblCellMar>
        </w:tblPrEx>
        <w:trPr>
          <w:gridAfter w:val="1"/>
          <w:wAfter w:w="18" w:type="dxa"/>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83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656"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352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507.01</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64.11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136.63</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14.71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4.60</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248.74</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0.28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38.75</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19.41</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20.20</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3.98</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27.76</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4.48</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2.47</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19.36</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0.74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0.65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0.14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17.96</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1.40</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16.96</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4.24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7.94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gridAfter w:val="1"/>
          <w:wAfter w:w="18" w:type="dxa"/>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526.37</w:t>
            </w:r>
          </w:p>
        </w:tc>
        <w:tc>
          <w:tcPr>
            <w:tcW w:w="8750" w:type="dxa"/>
            <w:gridSpan w:val="8"/>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64.11</w:t>
            </w:r>
          </w:p>
        </w:tc>
      </w:tr>
    </w:tbl>
    <w:p>
      <w:pP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p>
      <w:pPr>
        <w:spacing w:line="280" w:lineRule="exact"/>
        <w:rPr>
          <w:rFonts w:hint="default" w:ascii="Times New Roman" w:hAnsi="Times New Roman" w:cs="宋体"/>
          <w:sz w:val="20"/>
          <w:szCs w:val="20"/>
        </w:rPr>
      </w:pPr>
      <w:r>
        <w:rPr>
          <w:rFonts w:ascii="Times New Roman" w:hAnsi="Times New Roman" w:cs="宋体"/>
          <w:sz w:val="20"/>
          <w:szCs w:val="20"/>
        </w:rPr>
        <w:br w:type="textWrapping"/>
      </w:r>
    </w:p>
    <w:p>
      <w:pPr>
        <w:spacing w:line="280" w:lineRule="exact"/>
        <w:rPr>
          <w:rFonts w:hint="default" w:ascii="Times New Roman" w:hAnsi="Times New Roman" w:cs="宋体"/>
          <w:color w:val="000000" w:themeColor="text1"/>
          <w:sz w:val="20"/>
          <w:szCs w:val="20"/>
        </w:rPr>
      </w:pP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ind w:firstLine="4336" w:firstLineChars="1350"/>
              <w:textAlignment w:val="bottom"/>
              <w:rPr>
                <w:rFonts w:hint="default" w:ascii="Times New Roman" w:hAnsi="Times New Roman" w:cs="宋体"/>
                <w:b/>
                <w:color w:val="000000" w:themeColor="text1"/>
                <w:sz w:val="32"/>
                <w:szCs w:val="32"/>
              </w:rPr>
            </w:pPr>
            <w:r>
              <w:rPr>
                <w:rFonts w:ascii="Times New Roman" w:hAnsi="Times New Roman" w:cs="宋体"/>
                <w:b/>
                <w:color w:val="000000" w:themeColor="text1"/>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r>
              <w:rPr>
                <w:rFonts w:ascii="Times New Roman" w:hAnsi="Times New Roman" w:cs="宋体"/>
                <w:color w:val="000000" w:themeColor="text1"/>
                <w:sz w:val="20"/>
                <w:szCs w:val="20"/>
              </w:rPr>
              <w:t xml:space="preserve">公开单位： </w:t>
            </w:r>
            <w:r>
              <w:rPr>
                <w:rFonts w:ascii="Times New Roman" w:hAnsi="Times New Roman"/>
                <w:color w:val="000000" w:themeColor="text1"/>
                <w:sz w:val="20"/>
              </w:rPr>
              <w:t>重庆市涪陵区林业发展服务中心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jc w:val="right"/>
              <w:textAlignment w:val="bottom"/>
              <w:rPr>
                <w:rFonts w:hint="default" w:ascii="Times New Roman" w:hAnsi="Times New Roman" w:cs="宋体"/>
                <w:color w:val="000000" w:themeColor="text1"/>
                <w:sz w:val="20"/>
                <w:szCs w:val="20"/>
              </w:rPr>
            </w:pPr>
            <w:r>
              <w:rPr>
                <w:rFonts w:ascii="Times New Roman" w:hAnsi="Times New Roman" w:cs="宋体"/>
                <w:color w:val="000000" w:themeColor="text1"/>
                <w:sz w:val="20"/>
                <w:szCs w:val="20"/>
              </w:rPr>
              <w:t>公开07表</w:t>
            </w:r>
          </w:p>
        </w:tc>
      </w:tr>
      <w:tr>
        <w:tblPrEx>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jc w:val="right"/>
              <w:textAlignment w:val="bottom"/>
              <w:rPr>
                <w:rFonts w:hint="default" w:ascii="Times New Roman" w:hAnsi="Times New Roman" w:cs="宋体"/>
                <w:color w:val="000000" w:themeColor="text1"/>
                <w:sz w:val="20"/>
                <w:szCs w:val="20"/>
              </w:rPr>
            </w:pPr>
            <w:r>
              <w:rPr>
                <w:rFonts w:ascii="Times New Roman" w:hAnsi="Times New Roman" w:cs="宋体"/>
                <w:color w:val="000000" w:themeColor="text1"/>
                <w:sz w:val="20"/>
                <w:szCs w:val="20"/>
              </w:rPr>
              <w:t>单位：万元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themeColor="text1"/>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themeColor="text1"/>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themeColor="text1"/>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themeColor="text1"/>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themeColor="text1"/>
                <w:sz w:val="20"/>
                <w:szCs w:val="20"/>
              </w:rPr>
            </w:pP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themeColor="text1"/>
                <w:sz w:val="20"/>
                <w:szCs w:val="20"/>
              </w:rPr>
            </w:pPr>
          </w:p>
        </w:tc>
      </w:tr>
    </w:tbl>
    <w:p>
      <w:pPr>
        <w:ind w:firstLine="400" w:firstLineChars="200"/>
        <w:rPr>
          <w:rFonts w:hint="default" w:ascii="Times New Roman" w:hAnsi="Times New Roman" w:cs="宋体"/>
          <w:color w:val="000000" w:themeColor="text1"/>
          <w:sz w:val="21"/>
          <w:szCs w:val="21"/>
        </w:rPr>
      </w:pPr>
      <w:r>
        <w:rPr>
          <w:rFonts w:ascii="Times New Roman" w:hAnsi="Times New Roman" w:cs="宋体"/>
          <w:color w:val="000000" w:themeColor="text1"/>
          <w:sz w:val="20"/>
          <w:szCs w:val="20"/>
        </w:rPr>
        <w:t>备注：本表反映单位本年度政府性基金预算财政拨款收入支出及结转和结余情况。本单位无政府性基金收支，故本表无数据。</w:t>
      </w:r>
      <w:r>
        <w:rPr>
          <w:rFonts w:ascii="Times New Roman" w:hAnsi="Times New Roman" w:cs="宋体"/>
          <w:color w:val="000000" w:themeColor="text1"/>
          <w:sz w:val="20"/>
          <w:szCs w:val="20"/>
        </w:rPr>
        <w:br w:type="textWrapping"/>
      </w:r>
      <w:r>
        <w:rPr>
          <w:rFonts w:ascii="Times New Roman" w:hAnsi="Times New Roman" w:cs="宋体"/>
          <w:color w:val="000000" w:themeColor="text1"/>
          <w:sz w:val="20"/>
          <w:szCs w:val="20"/>
        </w:rPr>
        <w:br w:type="textWrapping"/>
      </w:r>
    </w:p>
    <w:p>
      <w:pPr>
        <w:ind w:firstLine="420" w:firstLineChars="200"/>
        <w:rPr>
          <w:rFonts w:hint="default" w:ascii="Times New Roman" w:hAnsi="Times New Roman" w:cs="宋体"/>
          <w:color w:val="000000" w:themeColor="text1"/>
          <w:sz w:val="21"/>
          <w:szCs w:val="21"/>
        </w:rPr>
      </w:pPr>
      <w:r>
        <w:rPr>
          <w:rFonts w:ascii="Times New Roman" w:hAnsi="Times New Roman" w:cs="宋体"/>
          <w:color w:val="000000" w:themeColor="text1"/>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ind w:firstLine="4176" w:firstLineChars="1300"/>
              <w:textAlignment w:val="bottom"/>
              <w:rPr>
                <w:rFonts w:hint="default" w:ascii="Times New Roman" w:hAnsi="Times New Roman" w:cs="宋体"/>
                <w:b/>
                <w:color w:val="000000" w:themeColor="text1"/>
                <w:sz w:val="32"/>
                <w:szCs w:val="32"/>
              </w:rPr>
            </w:pPr>
            <w:r>
              <w:rPr>
                <w:rFonts w:ascii="Times New Roman" w:hAnsi="Times New Roman" w:cs="宋体"/>
                <w:b/>
                <w:color w:val="000000" w:themeColor="text1"/>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r>
              <w:rPr>
                <w:rFonts w:ascii="Times New Roman" w:hAnsi="Times New Roman" w:cs="宋体"/>
                <w:color w:val="000000" w:themeColor="text1"/>
                <w:sz w:val="20"/>
                <w:szCs w:val="20"/>
              </w:rPr>
              <w:t xml:space="preserve">公开单位： </w:t>
            </w:r>
            <w:r>
              <w:rPr>
                <w:rFonts w:ascii="Times New Roman" w:hAnsi="Times New Roman"/>
                <w:color w:val="000000" w:themeColor="text1"/>
                <w:sz w:val="20"/>
              </w:rPr>
              <w:t>重庆市涪陵区林业发展服务中心</w:t>
            </w:r>
          </w:p>
        </w:tc>
        <w:tc>
          <w:tcPr>
            <w:tcW w:w="3276"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jc w:val="right"/>
              <w:textAlignment w:val="bottom"/>
              <w:rPr>
                <w:rFonts w:hint="default" w:ascii="Times New Roman" w:hAnsi="Times New Roman" w:cs="宋体"/>
                <w:color w:val="000000" w:themeColor="text1"/>
                <w:sz w:val="20"/>
                <w:szCs w:val="20"/>
              </w:rPr>
            </w:pPr>
            <w:r>
              <w:rPr>
                <w:rFonts w:ascii="Times New Roman" w:hAnsi="Times New Roman" w:cs="宋体"/>
                <w:color w:val="000000" w:themeColor="text1"/>
                <w:sz w:val="20"/>
                <w:szCs w:val="20"/>
              </w:rPr>
              <w:t>公开08表</w:t>
            </w:r>
          </w:p>
        </w:tc>
      </w:tr>
      <w:tr>
        <w:tblPrEx>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3276"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themeColor="text1"/>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jc w:val="right"/>
              <w:textAlignment w:val="bottom"/>
              <w:rPr>
                <w:rFonts w:hint="default" w:ascii="Times New Roman" w:hAnsi="Times New Roman" w:cs="宋体"/>
                <w:color w:val="000000" w:themeColor="text1"/>
                <w:sz w:val="20"/>
                <w:szCs w:val="20"/>
              </w:rPr>
            </w:pPr>
            <w:r>
              <w:rPr>
                <w:rFonts w:ascii="Times New Roman" w:hAnsi="Times New Roman" w:cs="宋体"/>
                <w:color w:val="000000" w:themeColor="text1"/>
                <w:sz w:val="20"/>
                <w:szCs w:val="20"/>
              </w:rPr>
              <w:t>单位：万元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ind w:firstLine="401" w:firstLineChars="200"/>
              <w:jc w:val="center"/>
              <w:textAlignment w:val="bottom"/>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ind w:firstLine="401" w:firstLineChars="200"/>
              <w:jc w:val="center"/>
              <w:textAlignment w:val="bottom"/>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themeColor="text1"/>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themeColor="text1"/>
                <w:sz w:val="20"/>
                <w:szCs w:val="20"/>
              </w:rPr>
            </w:pPr>
            <w:r>
              <w:rPr>
                <w:rFonts w:ascii="Times New Roman" w:hAnsi="Times New Roman" w:cs="宋体"/>
                <w:b/>
                <w:color w:val="000000" w:themeColor="text1"/>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themeColor="text1"/>
                <w:sz w:val="20"/>
                <w:szCs w:val="20"/>
              </w:rPr>
            </w:pP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rPr>
                <w:rFonts w:hint="default" w:ascii="Times New Roman" w:hAnsi="Times New Roman" w:cs="宋体"/>
                <w:b/>
                <w:color w:val="000000" w:themeColor="text1"/>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themeColor="text1"/>
                <w:sz w:val="20"/>
                <w:szCs w:val="20"/>
              </w:rPr>
            </w:pPr>
          </w:p>
        </w:tc>
      </w:tr>
    </w:tbl>
    <w:p>
      <w:pPr>
        <w:ind w:firstLine="400" w:firstLineChars="200"/>
        <w:rPr>
          <w:rFonts w:hint="default" w:ascii="Times New Roman" w:hAnsi="Times New Roman" w:cs="宋体"/>
          <w:color w:val="000000" w:themeColor="text1"/>
          <w:sz w:val="21"/>
          <w:szCs w:val="21"/>
        </w:rPr>
      </w:pPr>
      <w:r>
        <w:rPr>
          <w:rFonts w:ascii="Times New Roman" w:hAnsi="Times New Roman" w:cs="宋体"/>
          <w:color w:val="000000" w:themeColor="text1"/>
          <w:sz w:val="20"/>
          <w:szCs w:val="20"/>
        </w:rPr>
        <w:t>备注：本表反映单位本年度国有资本经营预算财政拨款支出情况。本单位无国有资本经营收支，故本表无数据。</w:t>
      </w:r>
      <w:r>
        <w:rPr>
          <w:rFonts w:ascii="Times New Roman" w:hAnsi="Times New Roman" w:cs="宋体"/>
          <w:color w:val="000000" w:themeColor="text1"/>
          <w:sz w:val="20"/>
          <w:szCs w:val="20"/>
        </w:rPr>
        <w:br w:type="textWrapping"/>
      </w:r>
      <w:r>
        <w:rPr>
          <w:rFonts w:ascii="Times New Roman" w:hAnsi="Times New Roman" w:cs="宋体"/>
          <w:color w:val="000000" w:themeColor="text1"/>
          <w:sz w:val="20"/>
          <w:szCs w:val="20"/>
        </w:rPr>
        <w:br w:type="textWrapping"/>
      </w:r>
    </w:p>
    <w:p>
      <w:pPr>
        <w:ind w:firstLine="420" w:firstLineChars="200"/>
        <w:rPr>
          <w:rFonts w:hint="default" w:ascii="Times New Roman" w:hAnsi="Times New Roman" w:cs="宋体"/>
          <w:color w:val="000000" w:themeColor="text1"/>
          <w:sz w:val="21"/>
          <w:szCs w:val="21"/>
        </w:rPr>
      </w:pPr>
      <w:r>
        <w:rPr>
          <w:rFonts w:hint="default" w:ascii="Times New Roman" w:hAnsi="Times New Roman" w:cs="宋体"/>
          <w:color w:val="000000" w:themeColor="text1"/>
          <w:sz w:val="21"/>
          <w:szCs w:val="21"/>
        </w:rPr>
        <w:br w:type="page"/>
      </w:r>
    </w:p>
    <w:tbl>
      <w:tblPr>
        <w:tblStyle w:val="8"/>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重庆市涪陵区林业发展服务中心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0.14</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0.14</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0.14</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0.14</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0.14</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1</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15</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0.74</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0.65</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宋体"/>
                <w:color w:val="000000"/>
                <w:sz w:val="20"/>
                <w:szCs w:val="20"/>
              </w:rPr>
            </w:pPr>
          </w:p>
        </w:tc>
      </w:tr>
    </w:tbl>
    <w:p>
      <w:pPr>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pPr>
        <w:ind w:firstLine="700" w:firstLineChars="350"/>
        <w:rPr>
          <w:rFonts w:hint="default" w:ascii="Times New Roman" w:hAnsi="Times New Roman" w:cs="宋体"/>
          <w:sz w:val="20"/>
          <w:szCs w:val="20"/>
        </w:rPr>
      </w:pP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57"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Helvetica">
    <w:altName w:val="汉仪君黑-35简"/>
    <w:panose1 w:val="020B0504020202030204"/>
    <w:charset w:val="00"/>
    <w:family w:val="swiss"/>
    <w:pitch w:val="default"/>
    <w:sig w:usb0="00000000" w:usb1="00000000" w:usb2="00000000" w:usb3="00000000" w:csb0="00000093"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- 7 -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PAGE   \* MERGEFORMAT</w:instrText>
                </w:r>
                <w:r>
                  <w:fldChar w:fldCharType="separate"/>
                </w:r>
                <w:r>
                  <w:rPr>
                    <w:rFonts w:hint="default"/>
                    <w:lang w:val="zh-CN"/>
                  </w:rPr>
                  <w:t>-</w:t>
                </w:r>
                <w:r>
                  <w:rPr>
                    <w:rFonts w:hint="default"/>
                  </w:rPr>
                  <w:t xml:space="preserve"> 12 -</w:t>
                </w:r>
                <w:r>
                  <w:rPr>
                    <w:rFonts w:hint="default"/>
                  </w:rP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jc w:val="left"/>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kMTJhYTgwMDRhYWZlOGIyZTU0ZjkyZjMwYzU0NGEifQ=="/>
  </w:docVars>
  <w:rsids>
    <w:rsidRoot w:val="00B03CCD"/>
    <w:rsid w:val="00034B89"/>
    <w:rsid w:val="00046013"/>
    <w:rsid w:val="00063586"/>
    <w:rsid w:val="00126E97"/>
    <w:rsid w:val="001436A0"/>
    <w:rsid w:val="001501AB"/>
    <w:rsid w:val="001557A6"/>
    <w:rsid w:val="00191647"/>
    <w:rsid w:val="001D2544"/>
    <w:rsid w:val="00253773"/>
    <w:rsid w:val="00253ADE"/>
    <w:rsid w:val="00270E53"/>
    <w:rsid w:val="00284D60"/>
    <w:rsid w:val="002B254B"/>
    <w:rsid w:val="002E01EF"/>
    <w:rsid w:val="00320FCF"/>
    <w:rsid w:val="00325988"/>
    <w:rsid w:val="00325CAF"/>
    <w:rsid w:val="00407C75"/>
    <w:rsid w:val="00420D46"/>
    <w:rsid w:val="00430036"/>
    <w:rsid w:val="00481FD9"/>
    <w:rsid w:val="0049557D"/>
    <w:rsid w:val="004A597F"/>
    <w:rsid w:val="004D3889"/>
    <w:rsid w:val="004D77C4"/>
    <w:rsid w:val="00543328"/>
    <w:rsid w:val="00550ABE"/>
    <w:rsid w:val="00564F57"/>
    <w:rsid w:val="005753A6"/>
    <w:rsid w:val="0058194B"/>
    <w:rsid w:val="00646F69"/>
    <w:rsid w:val="006B3099"/>
    <w:rsid w:val="006C53C8"/>
    <w:rsid w:val="00703A4E"/>
    <w:rsid w:val="00705EC9"/>
    <w:rsid w:val="00712506"/>
    <w:rsid w:val="00730B61"/>
    <w:rsid w:val="00770383"/>
    <w:rsid w:val="007778DA"/>
    <w:rsid w:val="007819D4"/>
    <w:rsid w:val="00781F2E"/>
    <w:rsid w:val="00785C3E"/>
    <w:rsid w:val="007B419D"/>
    <w:rsid w:val="008026AE"/>
    <w:rsid w:val="00804CEB"/>
    <w:rsid w:val="0080750D"/>
    <w:rsid w:val="00820B40"/>
    <w:rsid w:val="008333AC"/>
    <w:rsid w:val="00851509"/>
    <w:rsid w:val="00855638"/>
    <w:rsid w:val="00876D7B"/>
    <w:rsid w:val="008A45D0"/>
    <w:rsid w:val="009050E3"/>
    <w:rsid w:val="009335C9"/>
    <w:rsid w:val="00963619"/>
    <w:rsid w:val="009B1846"/>
    <w:rsid w:val="009B67B8"/>
    <w:rsid w:val="009D2B67"/>
    <w:rsid w:val="00A00B8E"/>
    <w:rsid w:val="00A23151"/>
    <w:rsid w:val="00A37B81"/>
    <w:rsid w:val="00AF325C"/>
    <w:rsid w:val="00B03CCD"/>
    <w:rsid w:val="00BD5A94"/>
    <w:rsid w:val="00BF59F2"/>
    <w:rsid w:val="00C20C3E"/>
    <w:rsid w:val="00C63B26"/>
    <w:rsid w:val="00D16533"/>
    <w:rsid w:val="00D42AF4"/>
    <w:rsid w:val="00D7053E"/>
    <w:rsid w:val="00D96280"/>
    <w:rsid w:val="00DC0EDC"/>
    <w:rsid w:val="00E91FFB"/>
    <w:rsid w:val="00EC2192"/>
    <w:rsid w:val="00F272B0"/>
    <w:rsid w:val="00F33EF6"/>
    <w:rsid w:val="00F53135"/>
    <w:rsid w:val="00F559F8"/>
    <w:rsid w:val="00F60374"/>
    <w:rsid w:val="00F73F90"/>
    <w:rsid w:val="00F775DB"/>
    <w:rsid w:val="00FA2A3A"/>
    <w:rsid w:val="00FE6012"/>
    <w:rsid w:val="01474EBF"/>
    <w:rsid w:val="01F3521E"/>
    <w:rsid w:val="03B87EA0"/>
    <w:rsid w:val="03E3214F"/>
    <w:rsid w:val="044C50BA"/>
    <w:rsid w:val="048C2E9B"/>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283B24"/>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EF3C1F"/>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4B9B2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4"/>
    <w:basedOn w:val="1"/>
    <w:next w:val="1"/>
    <w:link w:val="18"/>
    <w:qFormat/>
    <w:uiPriority w:val="0"/>
    <w:pPr>
      <w:spacing w:before="100" w:beforeAutospacing="1" w:after="100" w:afterAutospacing="1"/>
      <w:outlineLvl w:val="3"/>
    </w:pPr>
    <w:rPr>
      <w:rFonts w:hint="default" w:cs="宋体"/>
      <w:b/>
      <w:bC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styleId="17">
    <w:name w:val="List Paragraph"/>
    <w:basedOn w:val="1"/>
    <w:qFormat/>
    <w:uiPriority w:val="34"/>
    <w:pPr>
      <w:widowControl w:val="0"/>
      <w:ind w:firstLine="420" w:firstLineChars="200"/>
      <w:jc w:val="both"/>
    </w:pPr>
    <w:rPr>
      <w:rFonts w:hint="default" w:ascii="Times New Roman" w:hAnsi="Times New Roman"/>
      <w:kern w:val="2"/>
      <w:sz w:val="21"/>
      <w:szCs w:val="22"/>
    </w:rPr>
  </w:style>
  <w:style w:type="character" w:customStyle="1" w:styleId="18">
    <w:name w:val="标题 4 Char"/>
    <w:basedOn w:val="10"/>
    <w:link w:val="2"/>
    <w:qFormat/>
    <w:uiPriority w:val="0"/>
    <w:rPr>
      <w:rFonts w:ascii="宋体" w:hAnsi="宋体" w:cs="宋体"/>
      <w:b/>
      <w:bCs/>
      <w:sz w:val="24"/>
      <w:szCs w:val="24"/>
    </w:rPr>
  </w:style>
  <w:style w:type="character" w:customStyle="1" w:styleId="19">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5503</Words>
  <Characters>6294</Characters>
  <Lines>88</Lines>
  <Paragraphs>24</Paragraphs>
  <TotalTime>8</TotalTime>
  <ScaleCrop>false</ScaleCrop>
  <LinksUpToDate>false</LinksUpToDate>
  <CharactersWithSpaces>6349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2024-10-23T09:35:00Z</dcterms:created>
  <dc:creator>Administrator</dc:creator>
  <cp:lastModifiedBy>user</cp:lastModifiedBy>
  <dcterms:modified xsi:type="dcterms:W3CDTF">2024-10-31T16:48:01Z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