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600" w:lineRule="exact"/>
        <w:jc w:val="center"/>
        <w:rPr>
          <w:rStyle w:val="10"/>
          <w:rFonts w:hint="eastAsia" w:ascii="Times New Roman" w:hAnsi="Times New Roman" w:eastAsia="方正小标宋_GBK" w:cs="方正小标宋_GBK"/>
          <w:b w:val="0"/>
          <w:bCs/>
          <w:sz w:val="44"/>
          <w:szCs w:val="44"/>
        </w:rPr>
      </w:pPr>
      <w:r>
        <w:rPr>
          <w:rStyle w:val="10"/>
          <w:rFonts w:hint="eastAsia" w:ascii="Times New Roman" w:hAnsi="Times New Roman" w:eastAsia="方正小标宋_GBK" w:cs="方正小标宋_GBK"/>
          <w:b w:val="0"/>
          <w:bCs/>
          <w:sz w:val="44"/>
          <w:szCs w:val="44"/>
        </w:rPr>
        <w:t>重庆市涪陵区林业局（本级）</w:t>
      </w:r>
    </w:p>
    <w:p>
      <w:pPr>
        <w:pStyle w:val="6"/>
        <w:shd w:val="clear" w:color="auto" w:fill="FFFFFF"/>
        <w:spacing w:before="0" w:beforeAutospacing="0" w:after="0" w:afterAutospacing="0" w:line="600" w:lineRule="exact"/>
        <w:jc w:val="center"/>
        <w:rPr>
          <w:rStyle w:val="10"/>
          <w:rFonts w:hint="eastAsia" w:ascii="Times New Roman" w:hAnsi="Times New Roman" w:eastAsia="方正小标宋_GBK" w:cs="方正小标宋_GBK"/>
          <w:b w:val="0"/>
          <w:bCs/>
          <w:sz w:val="44"/>
          <w:szCs w:val="44"/>
        </w:rPr>
      </w:pPr>
      <w:r>
        <w:rPr>
          <w:rStyle w:val="10"/>
          <w:rFonts w:hint="eastAsia" w:ascii="Times New Roman" w:hAnsi="Times New Roman" w:eastAsia="方正小标宋_GBK" w:cs="方正小标宋_GBK"/>
          <w:b w:val="0"/>
          <w:bCs/>
          <w:sz w:val="44"/>
          <w:szCs w:val="44"/>
        </w:rPr>
        <w:t>2023年度决算</w:t>
      </w:r>
      <w:r>
        <w:rPr>
          <w:rStyle w:val="10"/>
          <w:rFonts w:hint="eastAsia" w:ascii="Times New Roman" w:hAnsi="Times New Roman" w:eastAsia="方正小标宋_GBK" w:cs="方正小标宋_GBK"/>
          <w:b w:val="0"/>
          <w:bCs/>
          <w:sz w:val="44"/>
          <w:szCs w:val="44"/>
          <w:lang w:eastAsia="zh-CN"/>
        </w:rPr>
        <w:t>情况</w:t>
      </w:r>
      <w:bookmarkStart w:id="0" w:name="_GoBack"/>
      <w:bookmarkEnd w:id="0"/>
      <w:r>
        <w:rPr>
          <w:rStyle w:val="10"/>
          <w:rFonts w:hint="eastAsia" w:ascii="Times New Roman" w:hAnsi="Times New Roman" w:eastAsia="方正小标宋_GBK" w:cs="方正小标宋_GBK"/>
          <w:b w:val="0"/>
          <w:bCs/>
          <w:sz w:val="44"/>
          <w:szCs w:val="44"/>
        </w:rPr>
        <w:t>说明</w:t>
      </w:r>
    </w:p>
    <w:p>
      <w:pPr>
        <w:pStyle w:val="6"/>
        <w:shd w:val="clear" w:color="auto" w:fill="FFFFFF"/>
        <w:spacing w:before="0" w:beforeAutospacing="0" w:after="0" w:afterAutospacing="0" w:line="600" w:lineRule="exact"/>
        <w:jc w:val="center"/>
        <w:rPr>
          <w:rStyle w:val="10"/>
          <w:rFonts w:hint="default" w:ascii="Times New Roman" w:hAnsi="Times New Roman" w:eastAsia="方正小标宋_GBK" w:cs="方正小标宋_GBK"/>
          <w:b w:val="0"/>
          <w:bCs/>
          <w:sz w:val="44"/>
          <w:szCs w:val="44"/>
        </w:rPr>
      </w:pPr>
    </w:p>
    <w:p>
      <w:pPr>
        <w:pStyle w:val="6"/>
        <w:shd w:val="clear" w:color="auto" w:fill="FFFFFF"/>
        <w:spacing w:before="0" w:beforeAutospacing="0" w:after="0" w:afterAutospacing="0" w:line="420" w:lineRule="auto"/>
        <w:ind w:firstLine="642" w:firstLineChars="200"/>
        <w:jc w:val="both"/>
        <w:rPr>
          <w:rFonts w:hint="default" w:ascii="Times New Roman" w:hAnsi="Times New Roman" w:eastAsia="方正黑体_GBK"/>
          <w:sz w:val="32"/>
          <w:szCs w:val="32"/>
        </w:rPr>
      </w:pPr>
      <w:r>
        <w:rPr>
          <w:rStyle w:val="10"/>
          <w:rFonts w:ascii="Times New Roman" w:hAnsi="Times New Roman" w:eastAsia="方正黑体_GBK"/>
          <w:sz w:val="32"/>
          <w:szCs w:val="32"/>
        </w:rPr>
        <w:t>一、单位基本情况</w:t>
      </w:r>
    </w:p>
    <w:p>
      <w:pPr>
        <w:pStyle w:val="6"/>
        <w:shd w:val="clear" w:color="auto" w:fill="FFFFFF"/>
        <w:spacing w:before="0" w:beforeAutospacing="0" w:after="0" w:afterAutospacing="0" w:line="420" w:lineRule="auto"/>
        <w:ind w:firstLine="800" w:firstLineChars="250"/>
        <w:jc w:val="both"/>
        <w:rPr>
          <w:rFonts w:hint="default" w:ascii="Times New Roman" w:hAnsi="Times New Roman" w:eastAsia="方正楷体_GBK"/>
          <w:b/>
          <w:sz w:val="32"/>
          <w:szCs w:val="32"/>
        </w:rPr>
      </w:pPr>
      <w:r>
        <w:rPr>
          <w:rStyle w:val="10"/>
          <w:rFonts w:ascii="Times New Roman" w:hAnsi="Times New Roman" w:eastAsia="方正楷体_GBK"/>
          <w:b w:val="0"/>
          <w:sz w:val="32"/>
          <w:szCs w:val="32"/>
        </w:rPr>
        <w:t>（一）职能职责</w:t>
      </w:r>
    </w:p>
    <w:p>
      <w:pPr>
        <w:pStyle w:val="6"/>
        <w:shd w:val="clear" w:color="auto" w:fill="FFFFFF"/>
        <w:spacing w:before="0" w:beforeAutospacing="0" w:after="0" w:afterAutospacing="0" w:line="420" w:lineRule="auto"/>
        <w:ind w:firstLine="640" w:firstLineChars="200"/>
        <w:jc w:val="both"/>
        <w:rPr>
          <w:rFonts w:hint="default" w:ascii="Times New Roman" w:hAnsi="Times New Roman" w:eastAsia="方正仿宋_GBK" w:cs="Helvetica"/>
          <w:color w:val="000000"/>
          <w:sz w:val="32"/>
          <w:szCs w:val="32"/>
          <w:shd w:val="clear" w:color="auto" w:fill="FFFFFF"/>
        </w:rPr>
      </w:pPr>
      <w:r>
        <w:rPr>
          <w:rFonts w:ascii="Times New Roman" w:hAnsi="Times New Roman" w:eastAsia="方正仿宋_GBK" w:cs="Helvetica"/>
          <w:color w:val="000000"/>
          <w:sz w:val="32"/>
          <w:szCs w:val="32"/>
          <w:shd w:val="clear" w:color="auto" w:fill="FFFFFF"/>
        </w:rPr>
        <w:t>负责林业和草原及其生态保护修复的监督管理；牵头组织实施林业和草原等生态保护修复和造林绿化工作；负责森林、草原和湿地资源的监督管理；负责监督管理石漠化防治工作；负责陆生野生动植物资源的监督管理；负责监督管理各类自然保护地；负责推进林业和草原改革发展工作；拟订林业和草原资源优化配置及木材利用办法；指导国有林场基本建设和发展，组织林木种子、草种种质资源普查，组织建立种质资源库，负责良种选育推广，管理林木种子种苗、草种生产经营行为，监管林木种子种苗、草种质量；负责林业和草原领域的相关行政执法工作，指导乡镇（街道）林业和草原领域相关行政执法工作；负责落实综合防灾减灾规划相关要求，组织编制森林、草原火灾防治规划和防护标准并指导实施，指导开展防火巡护、火源管理、防火设施建设等工作；监督管理林业、草原及其生态保护区级以上资金和国有资产；负责林业和草原科技、教育工作，指导全区林业人才队伍建设；完成区委、区政府交办的其他任务。</w:t>
      </w:r>
    </w:p>
    <w:p>
      <w:pPr>
        <w:pStyle w:val="6"/>
        <w:shd w:val="clear" w:color="auto" w:fill="FFFFFF"/>
        <w:spacing w:before="0" w:beforeAutospacing="0" w:after="0" w:afterAutospacing="0" w:line="420" w:lineRule="auto"/>
        <w:ind w:firstLine="800" w:firstLineChars="250"/>
        <w:jc w:val="both"/>
        <w:rPr>
          <w:rStyle w:val="10"/>
          <w:rFonts w:hint="default" w:ascii="Times New Roman" w:hAnsi="Times New Roman" w:eastAsia="方正楷体_GBK"/>
          <w:b w:val="0"/>
          <w:sz w:val="32"/>
          <w:szCs w:val="32"/>
        </w:rPr>
      </w:pPr>
      <w:r>
        <w:rPr>
          <w:rStyle w:val="10"/>
          <w:rFonts w:ascii="Times New Roman" w:hAnsi="Times New Roman" w:eastAsia="方正楷体_GBK"/>
          <w:b w:val="0"/>
          <w:sz w:val="32"/>
          <w:szCs w:val="32"/>
        </w:rPr>
        <w:t>（二）机构设置</w:t>
      </w:r>
    </w:p>
    <w:p>
      <w:pPr>
        <w:pStyle w:val="6"/>
        <w:shd w:val="clear" w:color="auto" w:fill="FFFFFF"/>
        <w:spacing w:before="0" w:beforeAutospacing="0" w:after="0" w:afterAutospacing="0" w:line="420" w:lineRule="auto"/>
        <w:ind w:firstLine="640" w:firstLineChars="200"/>
        <w:jc w:val="both"/>
        <w:rPr>
          <w:rFonts w:hint="default" w:ascii="Times New Roman" w:hAnsi="Times New Roman" w:eastAsia="方正仿宋_GBK" w:cs="Helvetica"/>
          <w:color w:val="000000"/>
          <w:sz w:val="32"/>
          <w:szCs w:val="32"/>
          <w:shd w:val="clear" w:color="auto" w:fill="FFFFFF"/>
        </w:rPr>
      </w:pPr>
      <w:r>
        <w:rPr>
          <w:rFonts w:ascii="Times New Roman" w:hAnsi="Times New Roman" w:eastAsia="方正仿宋_GBK" w:cs="Helvetica"/>
          <w:color w:val="000000"/>
          <w:sz w:val="32"/>
          <w:szCs w:val="32"/>
          <w:shd w:val="clear" w:color="auto" w:fill="FFFFFF"/>
        </w:rPr>
        <w:t>区林业局（本级）内设7个科室，即办公室、组织人事科、生态修复科（区绿化委员会办公室）、资源管理科、自然保护地与野生动植物保护科、行政审批科和森林火灾预防与安全生产科。</w:t>
      </w:r>
    </w:p>
    <w:p>
      <w:pPr>
        <w:pStyle w:val="6"/>
        <w:shd w:val="clear" w:color="auto" w:fill="FFFFFF"/>
        <w:spacing w:before="0" w:beforeAutospacing="0" w:after="0" w:afterAutospacing="0" w:line="420" w:lineRule="auto"/>
        <w:ind w:firstLine="642" w:firstLineChars="200"/>
        <w:jc w:val="both"/>
        <w:rPr>
          <w:rStyle w:val="10"/>
          <w:rFonts w:hint="default" w:ascii="Times New Roman" w:hAnsi="Times New Roman" w:eastAsia="方正黑体_GBK"/>
          <w:sz w:val="32"/>
          <w:szCs w:val="32"/>
        </w:rPr>
      </w:pPr>
      <w:r>
        <w:rPr>
          <w:rStyle w:val="10"/>
          <w:rFonts w:ascii="Times New Roman" w:hAnsi="Times New Roman" w:eastAsia="方正黑体_GBK"/>
          <w:sz w:val="32"/>
          <w:szCs w:val="32"/>
        </w:rPr>
        <w:t>二、单位决算情况说明</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（一）收入支出决算总体情况说明。</w:t>
      </w:r>
    </w:p>
    <w:p>
      <w:pPr>
        <w:pStyle w:val="6"/>
        <w:shd w:val="clear" w:color="auto" w:fill="FFFFFF"/>
        <w:spacing w:before="0" w:beforeAutospacing="0" w:after="0" w:afterAutospacing="0"/>
        <w:ind w:firstLine="642" w:firstLineChars="200"/>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2023年度收入总计16514.53万元(其中当年收入16122.27万元，年初结转结余392.26万元)，支出总计</w:t>
      </w:r>
      <w:r>
        <w:rPr>
          <w:rFonts w:ascii="Times New Roman" w:hAnsi="Times New Roman" w:eastAsia="方正仿宋_GBK" w:cs="方正仿宋_GBK"/>
          <w:sz w:val="32"/>
          <w:szCs w:val="32"/>
        </w:rPr>
        <w:t>16514.53</w:t>
      </w:r>
      <w:r>
        <w:rPr>
          <w:rFonts w:ascii="Times New Roman" w:hAnsi="Times New Roman" w:eastAsia="方正仿宋_GBK" w:cs="方正仿宋_GBK"/>
          <w:sz w:val="32"/>
          <w:szCs w:val="32"/>
          <w:shd w:val="clear" w:color="auto" w:fill="FFFFFF"/>
        </w:rPr>
        <w:t>万元（其中当年支出16111.64万元，年末结转结余402.89万元）。收支较上年决算数增加2043.08万元，增长14.12%，主要原因是三峡后续-两岸青山千里林带项目、城市面山森林防灭火能力提升项目、国土绿化及山水林田湖草沙项目收支增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16122.27万元，较上年决算数增加3230.36万元，增长25.06%，主要原因是为贯彻落实十四五规划，推动绿色发展，本年度加大林业项目投资，市级植被恢复费返还额度增加，森林资源培育有关项目支出增加。其中：财政拨款收入15885.78万元，占98.53%；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236.48</w:t>
      </w:r>
      <w:r>
        <w:rPr>
          <w:rFonts w:ascii="Times New Roman" w:hAnsi="Times New Roman" w:eastAsia="方正仿宋_GBK" w:cs="方正仿宋_GBK"/>
          <w:sz w:val="32"/>
          <w:szCs w:val="32"/>
          <w:shd w:val="clear" w:color="auto" w:fill="FFFFFF"/>
        </w:rPr>
        <w:t>万元,为城门面山森林防灭火能力提升专项债项目，占1.47%。此外，使用非财政拨款结余和专用结余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392.26</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16111.64</w:t>
      </w:r>
      <w:r>
        <w:rPr>
          <w:rFonts w:ascii="Times New Roman" w:hAnsi="Times New Roman" w:eastAsia="方正仿宋_GBK" w:cs="方正仿宋_GBK"/>
          <w:sz w:val="32"/>
          <w:szCs w:val="32"/>
          <w:shd w:val="clear" w:color="auto" w:fill="FFFFFF"/>
        </w:rPr>
        <w:t>万元，较上年决算数增加2117.45万元，增长15.13%，主要原因是本年度加大林业项目投资力度，加快项目实施验收工作，两岸青山千里林带项目及山水林田湖草沙项目资金持续支出。其中：基本支出</w:t>
      </w:r>
      <w:r>
        <w:rPr>
          <w:rFonts w:ascii="Times New Roman" w:hAnsi="Times New Roman" w:eastAsia="方正仿宋_GBK" w:cs="方正仿宋_GBK"/>
          <w:sz w:val="32"/>
          <w:szCs w:val="32"/>
        </w:rPr>
        <w:t>873.25</w:t>
      </w:r>
      <w:r>
        <w:rPr>
          <w:rFonts w:ascii="Times New Roman" w:hAnsi="Times New Roman" w:eastAsia="方正仿宋_GBK" w:cs="方正仿宋_GBK"/>
          <w:sz w:val="32"/>
          <w:szCs w:val="32"/>
          <w:shd w:val="clear" w:color="auto" w:fill="FFFFFF"/>
        </w:rPr>
        <w:t>万元，占5.42%；项目支出</w:t>
      </w:r>
      <w:r>
        <w:rPr>
          <w:rFonts w:ascii="Times New Roman" w:hAnsi="Times New Roman" w:eastAsia="方正仿宋_GBK" w:cs="方正仿宋_GBK"/>
          <w:sz w:val="32"/>
          <w:szCs w:val="32"/>
        </w:rPr>
        <w:t>15238.40</w:t>
      </w:r>
      <w:r>
        <w:rPr>
          <w:rFonts w:ascii="Times New Roman" w:hAnsi="Times New Roman" w:eastAsia="方正仿宋_GBK" w:cs="方正仿宋_GBK"/>
          <w:sz w:val="32"/>
          <w:szCs w:val="32"/>
          <w:shd w:val="clear" w:color="auto" w:fill="FFFFFF"/>
        </w:rPr>
        <w:t>万元，占94.58%；经营支出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402.89</w:t>
      </w:r>
      <w:r>
        <w:rPr>
          <w:rFonts w:ascii="Times New Roman" w:hAnsi="Times New Roman" w:eastAsia="方正仿宋_GBK" w:cs="方正仿宋_GBK"/>
          <w:sz w:val="32"/>
          <w:szCs w:val="32"/>
          <w:shd w:val="clear" w:color="auto" w:fill="FFFFFF"/>
        </w:rPr>
        <w:t>万元，较上年决算数减少74.37万元，下降15.58%，主要原因是蕴绿林业咨询有限公司、吉扬投资有限公司以前年度损益调整。</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2023年度财政拨款收、支总计16221.03万元。与2022年相比，财政拨款收、支总计各增加1811.45万元，增长12.57%。主要原因是三峡后续-两岸青山千里林带项目收支增加。</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13860.04</w:t>
      </w:r>
      <w:r>
        <w:rPr>
          <w:rFonts w:ascii="Times New Roman" w:hAnsi="Times New Roman" w:eastAsia="方正仿宋_GBK" w:cs="方正仿宋_GBK"/>
          <w:sz w:val="32"/>
          <w:szCs w:val="32"/>
          <w:shd w:val="clear" w:color="auto" w:fill="FFFFFF"/>
        </w:rPr>
        <w:t>万元，较上年决算数增加1077.53万元，增长8.43%。主要原因是三峡后续-两岸青山千里林带项目拨款增加。较年初预算数增加3461.63万元，增长33.29%。主要原因是年中追加中央及市级林业改革发展资金用于国土绿化、林业有害生物防治、退耕还林项目。此外，年初财政拨款结转和结余</w:t>
      </w:r>
      <w:r>
        <w:rPr>
          <w:rFonts w:ascii="Times New Roman" w:hAnsi="Times New Roman" w:eastAsia="方正仿宋_GBK" w:cs="方正仿宋_GBK"/>
          <w:sz w:val="32"/>
          <w:szCs w:val="32"/>
        </w:rPr>
        <w:t>335.25</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14085.90万元，较上年决算数增加205.97万元，增长1.48%。主要原因一是2023年度内正常工资薪级晋升、养老保险、职业年金正常调标，二是森林资源培育中两岸青山千里林带项目支出增加。较年初预算数增加3687.49万元，增长35.46%。主要原因是为加大林业项目投入力度，年中追加中央及市级林业改革发展资金用于国土绿化、林业有害生物防治、退耕还林项目。</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109.39万元，较上年决算数减少310.86万元，下降73.97%，主要原因是加快发挥财政资金效益，本年度加快林业防灾减灾-森林防火松材线虫防治，森林生态效益管护费等项目支出力度。</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（1）社会保障与就业支出301.94万元，占2.14%，较年初预算数增加223.18万元，增长283.37%，主要原因是年中追加一次性中人退休补贴、死亡抚恤金、退休人员健康休养费。</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（2）卫生健康支出</w:t>
      </w:r>
      <w:r>
        <w:rPr>
          <w:rFonts w:ascii="Times New Roman" w:hAnsi="Times New Roman" w:eastAsia="方正仿宋_GBK" w:cs="方正仿宋_GBK"/>
          <w:sz w:val="32"/>
          <w:szCs w:val="32"/>
        </w:rPr>
        <w:t>34.71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0.25</w:t>
      </w:r>
      <w:r>
        <w:rPr>
          <w:rFonts w:ascii="Times New Roman" w:hAnsi="Times New Roman" w:eastAsia="方正仿宋_GBK" w:cs="方正仿宋_GBK"/>
          <w:sz w:val="32"/>
          <w:szCs w:val="32"/>
          <w:shd w:val="clear" w:color="auto" w:fill="FFFFFF"/>
        </w:rPr>
        <w:t>%，较年初预算数减少2.62万元，下降7.02%，主要原因是人员退休，职工医疗保险缴费减少。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（3）节能环保支出</w:t>
      </w:r>
      <w:r>
        <w:rPr>
          <w:rFonts w:ascii="Times New Roman" w:hAnsi="Times New Roman" w:eastAsia="方正仿宋_GBK" w:cs="方正仿宋_GBK"/>
          <w:sz w:val="32"/>
          <w:szCs w:val="32"/>
        </w:rPr>
        <w:t>469.96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3.34</w:t>
      </w:r>
      <w:r>
        <w:rPr>
          <w:rFonts w:ascii="Times New Roman" w:hAnsi="Times New Roman" w:eastAsia="方正仿宋_GBK" w:cs="方正仿宋_GBK"/>
          <w:sz w:val="32"/>
          <w:szCs w:val="32"/>
          <w:shd w:val="clear" w:color="auto" w:fill="FFFFFF"/>
        </w:rPr>
        <w:t>%，较年初预算数增加224.96万元，增长91.82%，主要原因是年中追加天然林保护补助及森林保护修复支出。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（4）农林水支出</w:t>
      </w:r>
      <w:r>
        <w:rPr>
          <w:rFonts w:ascii="Times New Roman" w:hAnsi="Times New Roman" w:eastAsia="方正仿宋_GBK" w:cs="方正仿宋_GBK"/>
          <w:sz w:val="32"/>
          <w:szCs w:val="32"/>
        </w:rPr>
        <w:t>9742.92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69.17</w:t>
      </w:r>
      <w:r>
        <w:rPr>
          <w:rFonts w:ascii="Times New Roman" w:hAnsi="Times New Roman" w:eastAsia="方正仿宋_GBK" w:cs="方正仿宋_GBK"/>
          <w:sz w:val="32"/>
          <w:szCs w:val="32"/>
          <w:shd w:val="clear" w:color="auto" w:fill="FFFFFF"/>
        </w:rPr>
        <w:t>%，较年初预算数减少259.55万元，下降2.59%，主要原因一是主要原因是人员退休导致的在职人员基本工资、津贴补贴、绩效工资等支出减少，二是林业项目因行业特殊性，新造林项目需验收后予以兑付，在当年不能完成全部资金兑付。</w:t>
      </w:r>
    </w:p>
    <w:p>
      <w:pPr>
        <w:pStyle w:val="6"/>
        <w:shd w:val="clear" w:color="auto" w:fill="FFFFFF"/>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rPr>
        <w:t>自然资源海洋气象等支出3517.20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24.97</w:t>
      </w:r>
      <w:r>
        <w:rPr>
          <w:rFonts w:ascii="Times New Roman" w:hAnsi="Times New Roman" w:eastAsia="方正仿宋_GBK" w:cs="方正仿宋_GBK"/>
          <w:sz w:val="32"/>
          <w:szCs w:val="32"/>
          <w:shd w:val="clear" w:color="auto" w:fill="FFFFFF"/>
        </w:rPr>
        <w:t>%，较年初预算数增加3517.20万元，增长100.00%，主要原因是年初未对山水林田湖草沙项目进行预算，年中追加2023年山水林田湖草沙项目资金。</w:t>
      </w:r>
    </w:p>
    <w:p>
      <w:pPr>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（6）</w:t>
      </w:r>
      <w:r>
        <w:rPr>
          <w:rFonts w:ascii="Times New Roman" w:hAnsi="Times New Roman" w:eastAsia="方正仿宋_GBK" w:cs="方正仿宋_GBK"/>
          <w:sz w:val="32"/>
          <w:szCs w:val="32"/>
        </w:rPr>
        <w:t>住房保障支出19.18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0.14</w:t>
      </w:r>
      <w:r>
        <w:rPr>
          <w:rFonts w:ascii="Times New Roman" w:hAnsi="Times New Roman" w:eastAsia="方正仿宋_GBK" w:cs="方正仿宋_GBK"/>
          <w:sz w:val="32"/>
          <w:szCs w:val="32"/>
          <w:shd w:val="clear" w:color="auto" w:fill="FFFFFF"/>
        </w:rPr>
        <w:t>%，较年初预算数减少15.67万元，下降44.96%，主要原因一是人员退休导致的住房保障支出减少，二是公务员津补贴清算，对公积金指标进行了调减。</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873.25</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798.27</w:t>
      </w:r>
      <w:r>
        <w:rPr>
          <w:rFonts w:ascii="Times New Roman" w:hAnsi="Times New Roman" w:eastAsia="方正仿宋_GBK" w:cs="方正仿宋_GBK"/>
          <w:sz w:val="32"/>
          <w:szCs w:val="32"/>
          <w:shd w:val="clear" w:color="auto" w:fill="FFFFFF"/>
        </w:rPr>
        <w:t>万元，较上年决算数增加49.83万元，增长6.66%，主要原因是在职人员正常工资薪级晋升、养老保险、职业年金、住房公积金调增。人员经费用途主要包括包括基本工资、津贴补贴、奖金、社会保障缴费、住房公积金、养老保险缴费、职业年金缴费、生活补助等支出。公用经费</w:t>
      </w:r>
      <w:r>
        <w:rPr>
          <w:rFonts w:ascii="Times New Roman" w:hAnsi="Times New Roman" w:eastAsia="方正仿宋_GBK" w:cs="方正仿宋_GBK"/>
          <w:sz w:val="32"/>
          <w:szCs w:val="32"/>
        </w:rPr>
        <w:t>74.98</w:t>
      </w:r>
      <w:r>
        <w:rPr>
          <w:rFonts w:ascii="Times New Roman" w:hAnsi="Times New Roman" w:eastAsia="方正仿宋_GBK" w:cs="方正仿宋_GBK"/>
          <w:sz w:val="32"/>
          <w:szCs w:val="32"/>
          <w:shd w:val="clear" w:color="auto" w:fill="FFFFFF"/>
        </w:rPr>
        <w:t>万元，较上年决算数减少33.73万元，下降31.03%，主要原因是贯彻落实中央过“紧日子”思想，公用经费口径持续压缩，严格控制各项支出范围及标准。公用经费用途主要包括办公费、维修（维护）费、劳务费、委托业务费、公务用车运行维护费、其他商品和服务支出、办公设备购置等。</w:t>
      </w:r>
    </w:p>
    <w:p>
      <w:pPr>
        <w:pStyle w:val="11"/>
        <w:autoSpaceDE w:val="0"/>
        <w:ind w:firstLine="417" w:firstLineChars="130"/>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2025.74</w:t>
      </w:r>
      <w:r>
        <w:rPr>
          <w:rFonts w:ascii="Times New Roman" w:hAnsi="Times New Roman" w:eastAsia="方正仿宋_GBK" w:cs="方正仿宋_GBK"/>
          <w:sz w:val="32"/>
          <w:szCs w:val="32"/>
          <w:shd w:val="clear" w:color="auto" w:fill="FFFFFF"/>
        </w:rPr>
        <w:t>万元，较上年决算数增加1916.34万元，增长1751.68%，主要原因是三峡后续-千里林带项目资金拨入。本年支出</w:t>
      </w:r>
      <w:r>
        <w:rPr>
          <w:rFonts w:ascii="Times New Roman" w:hAnsi="Times New Roman" w:eastAsia="方正仿宋_GBK" w:cs="方正仿宋_GBK"/>
          <w:sz w:val="32"/>
          <w:szCs w:val="32"/>
        </w:rPr>
        <w:t>2025.74</w:t>
      </w:r>
      <w:r>
        <w:rPr>
          <w:rFonts w:ascii="Times New Roman" w:hAnsi="Times New Roman" w:eastAsia="方正仿宋_GBK" w:cs="方正仿宋_GBK"/>
          <w:sz w:val="32"/>
          <w:szCs w:val="32"/>
          <w:shd w:val="clear" w:color="auto" w:fill="FFFFFF"/>
        </w:rPr>
        <w:t>万元，较上年决算数增加1916.34万元，增长1751.68%，主要原因是按项目实施进度情况，完成三峡后续千里林带项目资金的兑付工作。</w:t>
      </w:r>
      <w:r>
        <w:rPr>
          <w:rFonts w:hint="default" w:ascii="Times New Roman" w:hAnsi="Times New Roman" w:eastAsia="方正仿宋_GBK" w:cs="方正仿宋_GBK"/>
          <w:sz w:val="32"/>
          <w:szCs w:val="32"/>
        </w:rPr>
        <w:t xml:space="preserve"> </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本单位2023年度无国有资本经营预算财政拨款支出。</w:t>
      </w:r>
    </w:p>
    <w:p>
      <w:pPr>
        <w:pStyle w:val="6"/>
        <w:shd w:val="clear" w:color="auto" w:fill="FFFFFF"/>
        <w:spacing w:before="0" w:beforeAutospacing="0" w:after="0" w:afterAutospacing="0"/>
        <w:ind w:firstLine="314" w:firstLineChars="98"/>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三、“三公”经费情况说明</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51.74</w:t>
      </w:r>
      <w:r>
        <w:rPr>
          <w:rFonts w:ascii="Times New Roman" w:hAnsi="Times New Roman" w:eastAsia="方正仿宋_GBK" w:cs="方正仿宋_GBK"/>
          <w:sz w:val="32"/>
          <w:szCs w:val="32"/>
          <w:shd w:val="clear" w:color="auto" w:fill="FFFFFF"/>
        </w:rPr>
        <w:t>万元，较年初预算数增加33.74万元，增长187.44%，主要原因是森林防火工作需要，国有林场消防队新购入两台消防车辆，公务用车购置费及公车运行维护费相应增加。较上年支出数增加35.85万元，增长225.61%，主要原因是国有林场消防队新购入两台消防车辆，公务用车购置费及公车运行维护费相应增加。</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（二）“三公”经费分项支出情况</w:t>
      </w:r>
    </w:p>
    <w:p>
      <w:pPr>
        <w:pStyle w:val="6"/>
        <w:shd w:val="clear" w:color="auto" w:fill="FFFFFF"/>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cs="方正仿宋_GBK"/>
          <w:sz w:val="32"/>
          <w:szCs w:val="32"/>
          <w:shd w:val="clear" w:color="auto" w:fill="FFFFFF"/>
        </w:rPr>
        <w:t>2023年度本单位因公出国（境）费用</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ascii="Times New Roman" w:hAnsi="Times New Roman" w:eastAsia="方正仿宋_GBK"/>
          <w:color w:val="000000" w:themeColor="text1"/>
          <w:sz w:val="32"/>
          <w:szCs w:val="32"/>
        </w:rPr>
        <w:t>费用支出较年初预算数增加0万元，增长0.0%。较上年支出数增加0万元，增长</w:t>
      </w:r>
      <w:r>
        <w:rPr>
          <w:rFonts w:ascii="Times New Roman" w:hAnsi="Times New Roman" w:eastAsia="方正仿宋_GBK"/>
          <w:sz w:val="32"/>
          <w:szCs w:val="32"/>
        </w:rPr>
        <w:t>0.0%，</w:t>
      </w:r>
      <w:r>
        <w:rPr>
          <w:rFonts w:ascii="Times New Roman" w:hAnsi="Times New Roman" w:eastAsia="方正仿宋_GBK" w:cs="Helvetica"/>
          <w:color w:val="000000"/>
          <w:sz w:val="32"/>
          <w:szCs w:val="32"/>
          <w:shd w:val="clear" w:color="auto" w:fill="FFFFFF"/>
        </w:rPr>
        <w:t>与上年持平。本单位2023年度未发生因公出国（境）支出。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公务车购置费</w:t>
      </w:r>
      <w:r>
        <w:rPr>
          <w:rFonts w:ascii="Times New Roman" w:hAnsi="Times New Roman" w:eastAsia="方正仿宋_GBK" w:cs="方正仿宋_GBK"/>
          <w:sz w:val="32"/>
          <w:szCs w:val="32"/>
        </w:rPr>
        <w:t>29.16</w:t>
      </w:r>
      <w:r>
        <w:rPr>
          <w:rFonts w:ascii="Times New Roman" w:hAnsi="Times New Roman" w:eastAsia="方正仿宋_GBK" w:cs="方正仿宋_GBK"/>
          <w:sz w:val="32"/>
          <w:szCs w:val="32"/>
          <w:shd w:val="clear" w:color="auto" w:fill="FFFFFF"/>
        </w:rPr>
        <w:t>万元，主要用于国有林场消防队消防车辆购置，提高森林防灭火能力。费用支出较年初预算数增加29.16万元，增长100.00%，主要原因是年初未预算公务用车购置费。较上年支出数增加29.16万元，增长100.00%，主要原因是新购置国有林场专业消防队用车。</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19.25</w:t>
      </w:r>
      <w:r>
        <w:rPr>
          <w:rFonts w:ascii="Times New Roman" w:hAnsi="Times New Roman" w:eastAsia="方正仿宋_GBK" w:cs="方正仿宋_GBK"/>
          <w:sz w:val="32"/>
          <w:szCs w:val="32"/>
          <w:shd w:val="clear" w:color="auto" w:fill="FFFFFF"/>
        </w:rPr>
        <w:t>万元，主要用于开展森林防火、松材线虫除治等工作所需车辆的燃料费、维修费、过桥过路费、保险费等。费用支出较年初预算数增加6.25万元，增长48.08%，主要原因是年中购置两辆消防车运行维护费增加。较上年支出数增加4.78万元，增长33.03%，主要原因是新购入车辆维修保养、车辆保险、燃料费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3.33</w:t>
      </w:r>
      <w:r>
        <w:rPr>
          <w:rFonts w:ascii="Times New Roman" w:hAnsi="Times New Roman" w:eastAsia="方正仿宋_GBK" w:cs="方正仿宋_GBK"/>
          <w:sz w:val="32"/>
          <w:szCs w:val="32"/>
          <w:shd w:val="clear" w:color="auto" w:fill="FFFFFF"/>
        </w:rPr>
        <w:t>万元，主要用于接待</w:t>
      </w:r>
      <w:r>
        <w:rPr>
          <w:rFonts w:ascii="Times New Roman" w:hAnsi="Times New Roman" w:eastAsia="方正仿宋_GBK" w:cs="Helvetica"/>
          <w:color w:val="000000"/>
          <w:sz w:val="32"/>
          <w:szCs w:val="32"/>
          <w:shd w:val="clear" w:color="auto" w:fill="FFFFFF"/>
        </w:rPr>
        <w:t>上级相关部门检查指导工作发生的接待支出以及</w:t>
      </w:r>
      <w:r>
        <w:rPr>
          <w:rFonts w:ascii="Times New Roman" w:hAnsi="Times New Roman" w:eastAsia="方正仿宋_GBK" w:cs="Helvetica"/>
          <w:sz w:val="32"/>
          <w:szCs w:val="32"/>
          <w:shd w:val="clear" w:color="auto" w:fill="FFFFFF"/>
        </w:rPr>
        <w:t>市内其他区县林业主管部门到我区学习交流发生的接待支出。</w:t>
      </w:r>
      <w:r>
        <w:rPr>
          <w:rFonts w:ascii="Times New Roman" w:hAnsi="Times New Roman" w:eastAsia="方正仿宋_GBK" w:cs="方正仿宋_GBK"/>
          <w:sz w:val="32"/>
          <w:szCs w:val="32"/>
          <w:shd w:val="clear" w:color="auto" w:fill="FFFFFF"/>
        </w:rPr>
        <w:t>费用支出较年初预算数减少1.67万元，下降33.40%，主要原因是</w:t>
      </w:r>
      <w:r>
        <w:rPr>
          <w:rFonts w:ascii="Times New Roman" w:hAnsi="Times New Roman" w:eastAsia="方正仿宋_GBK"/>
          <w:sz w:val="32"/>
          <w:szCs w:val="32"/>
        </w:rPr>
        <w:t>严格遵守公务接待开支和范围，严格控制陪餐人</w:t>
      </w:r>
      <w:r>
        <w:rPr>
          <w:rFonts w:ascii="Times New Roman" w:hAnsi="Times New Roman" w:eastAsia="方正仿宋_GBK"/>
          <w:color w:val="000000" w:themeColor="text1"/>
          <w:sz w:val="32"/>
          <w:szCs w:val="32"/>
        </w:rPr>
        <w:t>数</w:t>
      </w:r>
      <w:r>
        <w:rPr>
          <w:rFonts w:ascii="Times New Roman" w:hAnsi="Times New Roman" w:eastAsia="方正仿宋_GBK" w:cs="方正仿宋_GBK"/>
          <w:sz w:val="32"/>
          <w:szCs w:val="32"/>
          <w:shd w:val="clear" w:color="auto" w:fill="FFFFFF"/>
        </w:rPr>
        <w:t>。较上年支出数增加1.91万元，增长134.51%，主要原因是2022年因疫情防控原因，上级督查检查较少，2023年为加强对林业工作的监督和指导，上级部门指导检查工作、调研活动增多，区县交流学习次数增多，在2022年的基数上有所增加。</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5</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38</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342</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97.37</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14.58</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3.85</w:t>
      </w:r>
      <w:r>
        <w:rPr>
          <w:rFonts w:ascii="Times New Roman" w:hAnsi="Times New Roman" w:eastAsia="方正仿宋_GBK" w:cs="方正仿宋_GBK"/>
          <w:sz w:val="32"/>
          <w:szCs w:val="32"/>
          <w:shd w:val="clear" w:color="auto" w:fill="FFFFFF"/>
        </w:rPr>
        <w:t>万元。</w:t>
      </w:r>
    </w:p>
    <w:p>
      <w:pPr>
        <w:pStyle w:val="6"/>
        <w:shd w:val="clear" w:color="auto" w:fill="FFFFFF"/>
        <w:spacing w:before="0" w:beforeAutospacing="0" w:after="0" w:afterAutospacing="0"/>
        <w:ind w:firstLine="472" w:firstLineChars="147"/>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黑体" w:cs="黑体"/>
          <w:sz w:val="32"/>
          <w:szCs w:val="32"/>
          <w:shd w:val="clear" w:color="auto" w:fill="FFFFFF"/>
        </w:rPr>
        <w:t>四、其他需要说明的事项</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xml:space="preserve"> 本年度会议费支出</w:t>
      </w:r>
      <w:r>
        <w:rPr>
          <w:rFonts w:ascii="Times New Roman" w:hAnsi="Times New Roman" w:eastAsia="方正仿宋_GBK" w:cs="方正仿宋_GBK"/>
          <w:sz w:val="32"/>
          <w:szCs w:val="32"/>
        </w:rPr>
        <w:t>1.64</w:t>
      </w:r>
      <w:r>
        <w:rPr>
          <w:rFonts w:ascii="Times New Roman" w:hAnsi="Times New Roman" w:eastAsia="方正仿宋_GBK" w:cs="方正仿宋_GBK"/>
          <w:sz w:val="32"/>
          <w:szCs w:val="32"/>
          <w:shd w:val="clear" w:color="auto" w:fill="FFFFFF"/>
        </w:rPr>
        <w:t>万元，较上年决算数增加1.04万元，增长173.33%，主要原因是2022年度因疫情防控原因，未集中组织有关会议，2023年度为提升各类业务水平，交流学习次数增多，会议场地租赁费增加。本年度培训费支出</w:t>
      </w:r>
      <w:r>
        <w:rPr>
          <w:rFonts w:ascii="Times New Roman" w:hAnsi="Times New Roman" w:eastAsia="方正仿宋_GBK" w:cs="方正仿宋_GBK"/>
          <w:sz w:val="32"/>
          <w:szCs w:val="32"/>
        </w:rPr>
        <w:t>1.59</w:t>
      </w:r>
      <w:r>
        <w:rPr>
          <w:rFonts w:ascii="Times New Roman" w:hAnsi="Times New Roman" w:eastAsia="方正仿宋_GBK" w:cs="方正仿宋_GBK"/>
          <w:sz w:val="32"/>
          <w:szCs w:val="32"/>
          <w:shd w:val="clear" w:color="auto" w:fill="FFFFFF"/>
        </w:rPr>
        <w:t>万元，较上年决算数增加0.59万元，增长59.00%，主要原因是2022年度因疫情防控原因，未组织职工参加集中培训，2023年度为增强干部队伍业务工作能力，新进人员及领导班子积极参加各类专题培训。</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2023年度本单位机关运行经费支出</w:t>
      </w:r>
      <w:r>
        <w:rPr>
          <w:rFonts w:ascii="Times New Roman" w:hAnsi="Times New Roman" w:eastAsia="方正仿宋_GBK" w:cs="方正仿宋_GBK"/>
          <w:sz w:val="32"/>
          <w:szCs w:val="32"/>
        </w:rPr>
        <w:t>74.98</w:t>
      </w:r>
      <w:r>
        <w:rPr>
          <w:rFonts w:ascii="Times New Roman" w:hAnsi="Times New Roman" w:eastAsia="方正仿宋_GBK" w:cs="方正仿宋_GBK"/>
          <w:sz w:val="32"/>
          <w:szCs w:val="32"/>
          <w:shd w:val="clear" w:color="auto" w:fill="FFFFFF"/>
        </w:rPr>
        <w:t>万元，机关运行经费主要用于开支</w:t>
      </w:r>
      <w:r>
        <w:rPr>
          <w:rFonts w:ascii="Times New Roman" w:hAnsi="Times New Roman" w:eastAsia="方正仿宋_GBK" w:cs="Helvetica"/>
          <w:color w:val="000000"/>
          <w:sz w:val="32"/>
          <w:szCs w:val="32"/>
          <w:shd w:val="clear" w:color="auto" w:fill="FFFFFF"/>
        </w:rPr>
        <w:t>办公费、维修（护）费、劳务费、委托业务费、差旅费、公务车运行维护费等</w:t>
      </w:r>
      <w:r>
        <w:rPr>
          <w:rFonts w:ascii="Times New Roman" w:hAnsi="Times New Roman" w:eastAsia="方正仿宋_GBK"/>
          <w:sz w:val="32"/>
          <w:szCs w:val="32"/>
        </w:rPr>
        <w:t>机关运行经费。</w:t>
      </w:r>
      <w:r>
        <w:rPr>
          <w:rFonts w:ascii="Times New Roman" w:hAnsi="Times New Roman" w:eastAsia="方正仿宋_GBK" w:cs="方正仿宋_GBK"/>
          <w:sz w:val="32"/>
          <w:szCs w:val="32"/>
          <w:shd w:val="clear" w:color="auto" w:fill="FFFFFF"/>
        </w:rPr>
        <w:t>机关运行经费较上年支出数减少33.73万元，下降31.03%，主要原因是通过加强管理，倡导节约用水用电，严控出差标准、人数和行程，对非重点、非刚性、非急需支出进行压减。</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160" w:firstLineChars="5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截至2023年12月31日，本单位共有车辆</w:t>
      </w:r>
      <w:r>
        <w:rPr>
          <w:rFonts w:ascii="Times New Roman" w:hAnsi="Times New Roman" w:eastAsia="方正仿宋_GBK" w:cs="方正仿宋_GBK"/>
          <w:sz w:val="32"/>
          <w:szCs w:val="32"/>
        </w:rPr>
        <w:t>7</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2023年度本单位政府采购支出总额</w:t>
      </w:r>
      <w:r>
        <w:rPr>
          <w:rFonts w:ascii="Times New Roman" w:hAnsi="Times New Roman" w:eastAsia="方正仿宋_GBK" w:cs="方正仿宋_GBK"/>
          <w:sz w:val="32"/>
          <w:szCs w:val="32"/>
        </w:rPr>
        <w:t>9083.45</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5379.25</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3704.20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5697.25万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62.72</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724.28</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7.97</w:t>
      </w:r>
      <w:r>
        <w:rPr>
          <w:rFonts w:ascii="Times New Roman" w:hAnsi="Times New Roman" w:eastAsia="方正仿宋_GBK" w:cs="方正仿宋_GBK"/>
          <w:sz w:val="32"/>
          <w:szCs w:val="32"/>
          <w:shd w:val="clear" w:color="auto" w:fill="FFFFFF"/>
        </w:rPr>
        <w:t xml:space="preserve"> %。主要用于采购千里林带项目、城市面山防灭火能力提升项目工程采购、千里林带项目勘察设计造林服务费、森林草原火情智能监控系统服务采购、各类</w:t>
      </w:r>
      <w:r>
        <w:rPr>
          <w:rFonts w:ascii="Times New Roman" w:hAnsi="Times New Roman" w:eastAsia="方正仿宋_GBK"/>
          <w:sz w:val="32"/>
          <w:szCs w:val="32"/>
        </w:rPr>
        <w:t>林业技术服务采购等等</w:t>
      </w:r>
      <w:r>
        <w:rPr>
          <w:rFonts w:ascii="Times New Roman" w:hAnsi="Times New Roman" w:eastAsia="方正仿宋_GBK" w:cs="方正仿宋_GBK"/>
          <w:sz w:val="32"/>
          <w:szCs w:val="32"/>
          <w:shd w:val="clear" w:color="auto" w:fill="FFFFFF"/>
        </w:rPr>
        <w:t>。</w:t>
      </w:r>
    </w:p>
    <w:p>
      <w:pPr>
        <w:pStyle w:val="6"/>
        <w:numPr>
          <w:ilvl w:val="0"/>
          <w:numId w:val="1"/>
        </w:numPr>
        <w:shd w:val="clear" w:color="auto" w:fill="FFFFFF"/>
        <w:spacing w:before="0" w:beforeAutospacing="0" w:after="0" w:afterAutospacing="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预算绩效管理情况说明</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（一）单位自评情况</w:t>
      </w:r>
    </w:p>
    <w:p>
      <w:pPr>
        <w:pStyle w:val="12"/>
        <w:autoSpaceDE w:val="0"/>
        <w:spacing w:before="0" w:beforeAutospacing="0" w:after="0" w:afterAutospacing="0" w:line="600" w:lineRule="exact"/>
        <w:ind w:firstLine="640"/>
        <w:rPr>
          <w:rFonts w:ascii="Times New Roman" w:hAnsi="Times New Roman" w:eastAsia="方正仿宋_GBK" w:cs="宋体"/>
          <w:sz w:val="32"/>
          <w:szCs w:val="32"/>
          <w:highlight w:val="yellow"/>
        </w:rPr>
      </w:pPr>
      <w:r>
        <w:rPr>
          <w:rFonts w:hint="eastAsia" w:ascii="Times New Roman" w:hAnsi="Times New Roman" w:eastAsia="方正仿宋_GBK" w:cs="方正仿宋_GBK"/>
          <w:sz w:val="32"/>
          <w:szCs w:val="32"/>
          <w:shd w:val="clear" w:color="auto" w:fill="FFFFFF"/>
        </w:rPr>
        <w:t>根据预算绩效管理要求，我单位对23个项目开展了绩效自评。</w:t>
      </w:r>
    </w:p>
    <w:p>
      <w:pPr>
        <w:pStyle w:val="12"/>
        <w:spacing w:before="0" w:beforeAutospacing="0" w:after="0" w:afterAutospacing="0"/>
        <w:ind w:firstLine="560"/>
        <w:rPr>
          <w:rFonts w:ascii="Times New Roman" w:hAnsi="Times New Roman" w:eastAsia="方正仿宋_GBK" w:cs="方正仿宋_GBK"/>
          <w:sz w:val="28"/>
          <w:szCs w:val="28"/>
          <w:shd w:val="clear" w:color="auto" w:fill="FFFFFF"/>
        </w:rPr>
      </w:pPr>
      <w:r>
        <w:rPr>
          <w:rFonts w:hint="eastAsia" w:ascii="Times New Roman" w:hAnsi="Times New Roman" w:eastAsia="方正仿宋_GBK" w:cs="方正仿宋_GBK"/>
          <w:sz w:val="28"/>
          <w:szCs w:val="28"/>
          <w:shd w:val="clear" w:color="auto" w:fill="FFFFFF"/>
        </w:rPr>
        <w:t>1.项目支出绩效自评汇总表</w:t>
      </w:r>
    </w:p>
    <w:tbl>
      <w:tblPr>
        <w:tblStyle w:val="7"/>
        <w:tblW w:w="7953" w:type="dxa"/>
        <w:tblInd w:w="93" w:type="dxa"/>
        <w:tblLayout w:type="autofit"/>
        <w:tblCellMar>
          <w:top w:w="0" w:type="dxa"/>
          <w:left w:w="108" w:type="dxa"/>
          <w:bottom w:w="0" w:type="dxa"/>
          <w:right w:w="108" w:type="dxa"/>
        </w:tblCellMar>
      </w:tblPr>
      <w:tblGrid>
        <w:gridCol w:w="580"/>
        <w:gridCol w:w="2280"/>
        <w:gridCol w:w="3959"/>
        <w:gridCol w:w="1134"/>
      </w:tblGrid>
      <w:tr>
        <w:tblPrEx>
          <w:tblCellMar>
            <w:top w:w="0" w:type="dxa"/>
            <w:left w:w="108" w:type="dxa"/>
            <w:bottom w:w="0" w:type="dxa"/>
            <w:right w:w="108" w:type="dxa"/>
          </w:tblCellMar>
        </w:tblPrEx>
        <w:trPr>
          <w:trHeight w:val="345" w:hRule="atLeast"/>
        </w:trPr>
        <w:tc>
          <w:tcPr>
            <w:tcW w:w="7953" w:type="dxa"/>
            <w:gridSpan w:val="4"/>
            <w:tcBorders>
              <w:top w:val="nil"/>
              <w:left w:val="nil"/>
              <w:bottom w:val="single" w:color="auto" w:sz="4" w:space="0"/>
              <w:right w:val="nil"/>
            </w:tcBorders>
            <w:shd w:val="clear" w:color="auto" w:fill="auto"/>
            <w:vAlign w:val="center"/>
          </w:tcPr>
          <w:p>
            <w:pPr>
              <w:rPr>
                <w:rFonts w:hint="default" w:ascii="Times New Roman" w:hAnsi="Times New Roman" w:eastAsia="方正仿宋_GBK" w:cs="宋体"/>
                <w:b/>
                <w:color w:val="000000"/>
                <w:sz w:val="15"/>
                <w:szCs w:val="15"/>
              </w:rPr>
            </w:pP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序号</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单位信息</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项目名称</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自评得分</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国土绿化提升行动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85</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hint="default" w:ascii="Times New Roman" w:hAnsi="Times New Roman" w:eastAsia="方正仿宋_GBK"/>
                <w:b/>
                <w:color w:val="000000"/>
                <w:sz w:val="15"/>
                <w:szCs w:val="15"/>
              </w:rPr>
              <w:t>2023年森林资源管护费</w:t>
            </w:r>
            <w:r>
              <w:rPr>
                <w:rFonts w:ascii="Times New Roman" w:hAnsi="Times New Roman" w:eastAsia="方正仿宋_GBK"/>
                <w:b/>
                <w:color w:val="000000"/>
                <w:sz w:val="15"/>
                <w:szCs w:val="15"/>
              </w:rPr>
              <w:t>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　</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3</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森林防火宣传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　</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4</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涪陵区森林草原火情智能监控购买服务</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5</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区国有林场森林消防专业队运行项目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6</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涪陵区</w:t>
            </w:r>
            <w:r>
              <w:rPr>
                <w:rFonts w:hint="default" w:ascii="Times New Roman" w:hAnsi="Times New Roman" w:eastAsia="方正仿宋_GBK"/>
                <w:b/>
                <w:color w:val="000000"/>
                <w:sz w:val="15"/>
                <w:szCs w:val="15"/>
              </w:rPr>
              <w:t>2023年同乐镇雪峰村花卉产业示范基地建设项目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7</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中央及市级林业改革发展项目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8</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三峡后续项目</w:t>
            </w:r>
            <w:r>
              <w:rPr>
                <w:rFonts w:hint="default" w:ascii="Times New Roman" w:hAnsi="Times New Roman" w:eastAsia="方正仿宋_GBK"/>
                <w:b/>
                <w:color w:val="000000"/>
                <w:sz w:val="15"/>
                <w:szCs w:val="15"/>
              </w:rPr>
              <w:t>-千里林带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9</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长江绿化土地流转项目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差异化运转项目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11</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森林防火标准化检查站</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12</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区国有林场森林消防专业队建队项目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70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13</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涪陵区百胜镇等</w:t>
            </w:r>
            <w:r>
              <w:rPr>
                <w:rFonts w:hint="default" w:ascii="Times New Roman" w:hAnsi="Times New Roman" w:eastAsia="方正仿宋_GBK"/>
                <w:b/>
                <w:color w:val="000000"/>
                <w:sz w:val="15"/>
                <w:szCs w:val="15"/>
              </w:rPr>
              <w:t>13个镇街和2个国有林场森林病虫害防治</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96.67</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14</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涪陵区白涛街道等</w:t>
            </w:r>
            <w:r>
              <w:rPr>
                <w:rFonts w:hint="default" w:ascii="Times New Roman" w:hAnsi="Times New Roman" w:eastAsia="方正仿宋_GBK"/>
                <w:b/>
                <w:color w:val="000000"/>
                <w:sz w:val="15"/>
                <w:szCs w:val="15"/>
              </w:rPr>
              <w:t>13个镇街森林病虫害防治</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77.77</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15</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自然保护区管理</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16</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遗属人员基本生活补助</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17</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新一轮退耕还林项目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64</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18</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涪陵区</w:t>
            </w:r>
            <w:r>
              <w:rPr>
                <w:rFonts w:hint="default" w:ascii="Times New Roman" w:hAnsi="Times New Roman" w:eastAsia="方正仿宋_GBK"/>
                <w:b/>
                <w:color w:val="000000"/>
                <w:sz w:val="15"/>
                <w:szCs w:val="15"/>
              </w:rPr>
              <w:t>2023年马武镇石朝门村花卉产业示范基地建设项目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19</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湿地等生态保护支出</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20</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创建国家森林城市项目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21</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森林资源培育及森林生态效益补偿项目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98.4</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22</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涪陵区白涛街道等</w:t>
            </w:r>
            <w:r>
              <w:rPr>
                <w:rFonts w:hint="default" w:ascii="Times New Roman" w:hAnsi="Times New Roman" w:eastAsia="方正仿宋_GBK"/>
                <w:b/>
                <w:color w:val="000000"/>
                <w:sz w:val="15"/>
                <w:szCs w:val="15"/>
              </w:rPr>
              <w:t>10个镇街石漠化综合治理</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50</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23</w:t>
            </w:r>
          </w:p>
        </w:tc>
        <w:tc>
          <w:tcPr>
            <w:tcW w:w="22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重庆市涪陵区林业局（本级）</w:t>
            </w:r>
          </w:p>
        </w:tc>
        <w:tc>
          <w:tcPr>
            <w:tcW w:w="39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中央及市级林业生态恢复保护项目</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r>
    </w:tbl>
    <w:p>
      <w:pPr>
        <w:pStyle w:val="12"/>
        <w:spacing w:before="0" w:beforeAutospacing="0" w:after="0" w:afterAutospacing="0"/>
        <w:ind w:firstLine="560"/>
        <w:rPr>
          <w:rStyle w:val="13"/>
          <w:rFonts w:ascii="Times New Roman" w:hAnsi="Times New Roman" w:eastAsia="方正仿宋_GBK" w:cs="方正仿宋_GBK"/>
          <w:color w:val="FF0000"/>
          <w:sz w:val="32"/>
          <w:szCs w:val="32"/>
          <w:shd w:val="clear" w:color="auto" w:fill="FFFFFF"/>
        </w:rPr>
      </w:pPr>
      <w:r>
        <w:rPr>
          <w:rFonts w:hint="eastAsia" w:ascii="Times New Roman" w:hAnsi="Times New Roman" w:eastAsia="方正仿宋_GBK" w:cs="方正仿宋_GBK"/>
          <w:sz w:val="28"/>
          <w:szCs w:val="28"/>
          <w:shd w:val="clear" w:color="auto" w:fill="FFFFFF"/>
        </w:rPr>
        <w:t>2.项目支出绩效自评表</w:t>
      </w:r>
    </w:p>
    <w:tbl>
      <w:tblPr>
        <w:tblStyle w:val="7"/>
        <w:tblW w:w="7954" w:type="dxa"/>
        <w:tblInd w:w="92" w:type="dxa"/>
        <w:tblLayout w:type="autofit"/>
        <w:tblCellMar>
          <w:top w:w="0" w:type="dxa"/>
          <w:left w:w="108" w:type="dxa"/>
          <w:bottom w:w="0" w:type="dxa"/>
          <w:right w:w="108" w:type="dxa"/>
        </w:tblCellMar>
      </w:tblPr>
      <w:tblGrid>
        <w:gridCol w:w="862"/>
        <w:gridCol w:w="252"/>
        <w:gridCol w:w="450"/>
        <w:gridCol w:w="491"/>
        <w:gridCol w:w="84"/>
        <w:gridCol w:w="550"/>
        <w:gridCol w:w="682"/>
        <w:gridCol w:w="643"/>
        <w:gridCol w:w="199"/>
        <w:gridCol w:w="314"/>
        <w:gridCol w:w="662"/>
        <w:gridCol w:w="361"/>
        <w:gridCol w:w="331"/>
        <w:gridCol w:w="692"/>
        <w:gridCol w:w="691"/>
        <w:gridCol w:w="690"/>
      </w:tblGrid>
      <w:tr>
        <w:tblPrEx>
          <w:tblCellMar>
            <w:top w:w="0" w:type="dxa"/>
            <w:left w:w="108" w:type="dxa"/>
            <w:bottom w:w="0" w:type="dxa"/>
            <w:right w:w="108" w:type="dxa"/>
          </w:tblCellMar>
        </w:tblPrEx>
        <w:trPr>
          <w:trHeight w:val="540" w:hRule="atLeast"/>
        </w:trPr>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项目名称：</w:t>
            </w:r>
          </w:p>
        </w:tc>
        <w:tc>
          <w:tcPr>
            <w:tcW w:w="153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宋体"/>
                <w:color w:val="000000"/>
                <w:sz w:val="18"/>
                <w:szCs w:val="18"/>
              </w:rPr>
            </w:pPr>
            <w:r>
              <w:rPr>
                <w:rFonts w:ascii="Times New Roman" w:hAnsi="Times New Roman" w:eastAsia="方正仿宋_GBK"/>
                <w:b/>
                <w:color w:val="000000"/>
                <w:sz w:val="15"/>
                <w:szCs w:val="15"/>
              </w:rPr>
              <w:t>三峡后续项目</w:t>
            </w:r>
            <w:r>
              <w:rPr>
                <w:rFonts w:hint="default" w:ascii="Times New Roman" w:hAnsi="Times New Roman" w:eastAsia="方正仿宋_GBK"/>
                <w:b/>
                <w:color w:val="000000"/>
                <w:sz w:val="15"/>
                <w:szCs w:val="15"/>
              </w:rPr>
              <w:t>-千里林带</w:t>
            </w:r>
          </w:p>
        </w:tc>
        <w:tc>
          <w:tcPr>
            <w:tcW w:w="132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执行率得分：</w:t>
            </w:r>
          </w:p>
        </w:tc>
        <w:tc>
          <w:tcPr>
            <w:tcW w:w="51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eastAsia="方正仿宋_GBK"/>
                <w:b/>
                <w:color w:val="000000"/>
                <w:sz w:val="15"/>
                <w:szCs w:val="15"/>
              </w:rPr>
              <w:t>10</w:t>
            </w:r>
            <w:r>
              <w:rPr>
                <w:rFonts w:ascii="Times New Roman" w:hAnsi="Times New Roman" w:cs="宋体"/>
                <w:b/>
                <w:bCs/>
                <w:color w:val="000000"/>
                <w:sz w:val="18"/>
                <w:szCs w:val="18"/>
              </w:rPr>
              <w:t>　</w:t>
            </w:r>
          </w:p>
        </w:tc>
        <w:tc>
          <w:tcPr>
            <w:tcW w:w="102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自评总分：</w:t>
            </w:r>
          </w:p>
        </w:tc>
        <w:tc>
          <w:tcPr>
            <w:tcW w:w="243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w:t>
            </w:r>
            <w:r>
              <w:rPr>
                <w:rFonts w:ascii="Times New Roman" w:hAnsi="Times New Roman" w:eastAsia="方正仿宋_GBK"/>
                <w:b/>
                <w:color w:val="000000"/>
                <w:sz w:val="15"/>
                <w:szCs w:val="15"/>
              </w:rPr>
              <w:t>100</w:t>
            </w: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微软雅黑" w:cs="宋体"/>
                <w:b/>
                <w:bCs/>
                <w:sz w:val="18"/>
                <w:szCs w:val="18"/>
              </w:rPr>
            </w:pPr>
            <w:r>
              <w:rPr>
                <w:rFonts w:ascii="Times New Roman" w:hAnsi="Times New Roman" w:eastAsia="微软雅黑" w:cs="宋体"/>
                <w:b/>
                <w:bCs/>
                <w:sz w:val="18"/>
                <w:szCs w:val="18"/>
              </w:rPr>
              <w:t>绩效目标</w:t>
            </w:r>
          </w:p>
        </w:tc>
      </w:tr>
      <w:tr>
        <w:tblPrEx>
          <w:tblCellMar>
            <w:top w:w="0" w:type="dxa"/>
            <w:left w:w="108" w:type="dxa"/>
            <w:bottom w:w="0" w:type="dxa"/>
            <w:right w:w="108" w:type="dxa"/>
          </w:tblCellMar>
        </w:tblPrEx>
        <w:trPr>
          <w:trHeight w:val="435" w:hRule="atLeast"/>
        </w:trPr>
        <w:tc>
          <w:tcPr>
            <w:tcW w:w="2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宋体"/>
                <w:b/>
                <w:bCs/>
                <w:sz w:val="18"/>
                <w:szCs w:val="18"/>
              </w:rPr>
            </w:pPr>
            <w:r>
              <w:rPr>
                <w:rFonts w:ascii="Times New Roman" w:hAnsi="Times New Roman" w:cs="宋体"/>
                <w:b/>
                <w:bCs/>
                <w:sz w:val="18"/>
                <w:szCs w:val="18"/>
              </w:rPr>
              <w:t>年初绩效目标</w:t>
            </w:r>
          </w:p>
        </w:tc>
        <w:tc>
          <w:tcPr>
            <w:tcW w:w="2357"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sz w:val="18"/>
                <w:szCs w:val="18"/>
              </w:rPr>
            </w:pPr>
            <w:r>
              <w:rPr>
                <w:rFonts w:ascii="Times New Roman" w:hAnsi="Times New Roman" w:cs="宋体"/>
                <w:b/>
                <w:bCs/>
                <w:sz w:val="18"/>
                <w:szCs w:val="18"/>
              </w:rPr>
              <w:t>全年（调整）绩效目标</w:t>
            </w:r>
          </w:p>
        </w:tc>
        <w:tc>
          <w:tcPr>
            <w:tcW w:w="3457"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sz w:val="18"/>
                <w:szCs w:val="18"/>
              </w:rPr>
            </w:pPr>
            <w:r>
              <w:rPr>
                <w:rFonts w:ascii="Times New Roman" w:hAnsi="Times New Roman" w:cs="宋体"/>
                <w:b/>
                <w:bCs/>
                <w:sz w:val="18"/>
                <w:szCs w:val="18"/>
              </w:rPr>
              <w:t>全年目标实际完成情况</w:t>
            </w:r>
          </w:p>
        </w:tc>
      </w:tr>
      <w:tr>
        <w:tblPrEx>
          <w:tblCellMar>
            <w:top w:w="0" w:type="dxa"/>
            <w:left w:w="108" w:type="dxa"/>
            <w:bottom w:w="0" w:type="dxa"/>
            <w:right w:w="108" w:type="dxa"/>
          </w:tblCellMar>
        </w:tblPrEx>
        <w:trPr>
          <w:trHeight w:val="975" w:hRule="atLeast"/>
        </w:trPr>
        <w:tc>
          <w:tcPr>
            <w:tcW w:w="2140"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宋体"/>
                <w:sz w:val="18"/>
                <w:szCs w:val="18"/>
              </w:rPr>
            </w:pPr>
            <w:r>
              <w:rPr>
                <w:rFonts w:ascii="Times New Roman" w:hAnsi="Times New Roman" w:cs="宋体"/>
                <w:sz w:val="18"/>
                <w:szCs w:val="18"/>
              </w:rPr>
              <w:t>　</w:t>
            </w:r>
            <w:r>
              <w:rPr>
                <w:rFonts w:ascii="Times New Roman" w:hAnsi="Times New Roman" w:eastAsia="方正仿宋_GBK"/>
                <w:b/>
                <w:color w:val="000000"/>
                <w:sz w:val="15"/>
                <w:szCs w:val="15"/>
              </w:rPr>
              <w:t>通过实施千里林带工程，项目区内城区、工业园区及工矿地周边植被被破坏、土层流失严重的区域将得到治理和修复，进一步改善库区良好生态环境，维护库区生态安全，助推三峡库区移民安稳致富。</w:t>
            </w:r>
          </w:p>
        </w:tc>
        <w:tc>
          <w:tcPr>
            <w:tcW w:w="2357" w:type="dxa"/>
            <w:gridSpan w:val="5"/>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cs="宋体"/>
                <w:sz w:val="18"/>
                <w:szCs w:val="18"/>
              </w:rPr>
            </w:pPr>
            <w:r>
              <w:rPr>
                <w:rFonts w:ascii="Times New Roman" w:hAnsi="Times New Roman" w:cs="宋体"/>
                <w:sz w:val="18"/>
                <w:szCs w:val="18"/>
              </w:rPr>
              <w:t>　</w:t>
            </w:r>
          </w:p>
        </w:tc>
        <w:tc>
          <w:tcPr>
            <w:tcW w:w="3457" w:type="dxa"/>
            <w:gridSpan w:val="6"/>
            <w:tcBorders>
              <w:top w:val="single" w:color="auto" w:sz="4" w:space="0"/>
              <w:left w:val="nil"/>
              <w:bottom w:val="single" w:color="auto" w:sz="4" w:space="0"/>
              <w:right w:val="single" w:color="auto" w:sz="4" w:space="0"/>
            </w:tcBorders>
            <w:shd w:val="clear" w:color="auto" w:fill="auto"/>
          </w:tcPr>
          <w:p>
            <w:pPr>
              <w:jc w:val="center"/>
              <w:rPr>
                <w:rFonts w:hint="default" w:ascii="Times New Roman" w:hAnsi="Times New Roman" w:cs="宋体"/>
                <w:sz w:val="18"/>
                <w:szCs w:val="18"/>
              </w:rPr>
            </w:pPr>
            <w:r>
              <w:rPr>
                <w:rFonts w:ascii="Times New Roman" w:hAnsi="Times New Roman" w:cs="宋体"/>
                <w:sz w:val="18"/>
                <w:szCs w:val="18"/>
              </w:rPr>
              <w:t>　</w:t>
            </w:r>
            <w:r>
              <w:rPr>
                <w:rFonts w:ascii="Times New Roman" w:hAnsi="Times New Roman" w:eastAsia="方正仿宋_GBK"/>
                <w:b/>
                <w:color w:val="000000"/>
                <w:sz w:val="15"/>
                <w:szCs w:val="15"/>
              </w:rPr>
              <w:t>通过实施千里林带工程，项目区内城区、工业园区及工矿地周边植被被破坏、土层流失严重的区域将得到治理和修复，进一步改善库区良好生态环境，维护库区生态安全，助推三峡库区移民安稳致富。</w:t>
            </w: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微软雅黑" w:cs="宋体"/>
                <w:b/>
                <w:bCs/>
                <w:sz w:val="18"/>
                <w:szCs w:val="18"/>
              </w:rPr>
            </w:pPr>
            <w:r>
              <w:rPr>
                <w:rFonts w:ascii="Times New Roman" w:hAnsi="Times New Roman" w:eastAsia="微软雅黑" w:cs="宋体"/>
                <w:b/>
                <w:bCs/>
                <w:sz w:val="18"/>
                <w:szCs w:val="18"/>
              </w:rPr>
              <w:t>绩效指标</w:t>
            </w:r>
          </w:p>
        </w:tc>
      </w:tr>
      <w:tr>
        <w:tblPrEx>
          <w:tblCellMar>
            <w:top w:w="0" w:type="dxa"/>
            <w:left w:w="108" w:type="dxa"/>
            <w:bottom w:w="0" w:type="dxa"/>
            <w:right w:w="108" w:type="dxa"/>
          </w:tblCellMar>
        </w:tblPrEx>
        <w:trPr>
          <w:trHeight w:val="1080" w:hRule="atLeast"/>
        </w:trPr>
        <w:tc>
          <w:tcPr>
            <w:tcW w:w="867"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指标名称</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计量单位</w:t>
            </w:r>
          </w:p>
        </w:tc>
        <w:tc>
          <w:tcPr>
            <w:tcW w:w="4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指标性质</w:t>
            </w:r>
          </w:p>
        </w:tc>
        <w:tc>
          <w:tcPr>
            <w:tcW w:w="586"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指标值</w:t>
            </w:r>
          </w:p>
        </w:tc>
        <w:tc>
          <w:tcPr>
            <w:tcW w:w="68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全年完成值</w:t>
            </w:r>
          </w:p>
        </w:tc>
        <w:tc>
          <w:tcPr>
            <w:tcW w:w="844"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偏离度（%）</w:t>
            </w:r>
          </w:p>
        </w:tc>
        <w:tc>
          <w:tcPr>
            <w:tcW w:w="9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得分系数（%）</w:t>
            </w:r>
          </w:p>
        </w:tc>
        <w:tc>
          <w:tcPr>
            <w:tcW w:w="698"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指标权重</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指标得分</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是否核心指标</w:t>
            </w:r>
          </w:p>
        </w:tc>
        <w:tc>
          <w:tcPr>
            <w:tcW w:w="697"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宋体"/>
                <w:b/>
                <w:bCs/>
                <w:color w:val="000000"/>
                <w:sz w:val="18"/>
                <w:szCs w:val="18"/>
              </w:rPr>
            </w:pPr>
            <w:r>
              <w:rPr>
                <w:rFonts w:ascii="Times New Roman" w:hAnsi="Times New Roman" w:cs="宋体"/>
                <w:b/>
                <w:bCs/>
                <w:color w:val="000000"/>
                <w:sz w:val="18"/>
                <w:szCs w:val="18"/>
              </w:rPr>
              <w:t>说明</w:t>
            </w:r>
          </w:p>
        </w:tc>
      </w:tr>
      <w:tr>
        <w:tblPrEx>
          <w:tblCellMar>
            <w:top w:w="0" w:type="dxa"/>
            <w:left w:w="108" w:type="dxa"/>
            <w:bottom w:w="0" w:type="dxa"/>
            <w:right w:w="108" w:type="dxa"/>
          </w:tblCellMar>
        </w:tblPrEx>
        <w:trPr>
          <w:trHeight w:val="892" w:hRule="atLeast"/>
        </w:trPr>
        <w:tc>
          <w:tcPr>
            <w:tcW w:w="867"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低效林改造面积</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平方千米</w:t>
            </w:r>
          </w:p>
        </w:tc>
        <w:tc>
          <w:tcPr>
            <w:tcW w:w="4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w:t>
            </w:r>
          </w:p>
        </w:tc>
        <w:tc>
          <w:tcPr>
            <w:tcW w:w="586"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2.5</w:t>
            </w:r>
          </w:p>
        </w:tc>
        <w:tc>
          <w:tcPr>
            <w:tcW w:w="68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2.5</w:t>
            </w:r>
          </w:p>
        </w:tc>
        <w:tc>
          <w:tcPr>
            <w:tcW w:w="844"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0</w:t>
            </w:r>
          </w:p>
        </w:tc>
        <w:tc>
          <w:tcPr>
            <w:tcW w:w="9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c>
          <w:tcPr>
            <w:tcW w:w="698"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p>
        </w:tc>
        <w:tc>
          <w:tcPr>
            <w:tcW w:w="69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color w:val="000000"/>
                <w:sz w:val="18"/>
                <w:szCs w:val="18"/>
              </w:rPr>
            </w:pPr>
          </w:p>
        </w:tc>
      </w:tr>
      <w:tr>
        <w:tblPrEx>
          <w:tblCellMar>
            <w:top w:w="0" w:type="dxa"/>
            <w:left w:w="108" w:type="dxa"/>
            <w:bottom w:w="0" w:type="dxa"/>
            <w:right w:w="108" w:type="dxa"/>
          </w:tblCellMar>
        </w:tblPrEx>
        <w:trPr>
          <w:trHeight w:val="435" w:hRule="atLeast"/>
        </w:trPr>
        <w:tc>
          <w:tcPr>
            <w:tcW w:w="867"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景观示范林面积</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平方千米</w:t>
            </w:r>
          </w:p>
        </w:tc>
        <w:tc>
          <w:tcPr>
            <w:tcW w:w="4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w:t>
            </w:r>
          </w:p>
        </w:tc>
        <w:tc>
          <w:tcPr>
            <w:tcW w:w="586"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w:t>
            </w:r>
          </w:p>
        </w:tc>
        <w:tc>
          <w:tcPr>
            <w:tcW w:w="68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w:t>
            </w:r>
          </w:p>
        </w:tc>
        <w:tc>
          <w:tcPr>
            <w:tcW w:w="844"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0</w:t>
            </w:r>
          </w:p>
        </w:tc>
        <w:tc>
          <w:tcPr>
            <w:tcW w:w="9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w:t>
            </w:r>
          </w:p>
        </w:tc>
        <w:tc>
          <w:tcPr>
            <w:tcW w:w="698"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p>
        </w:tc>
        <w:tc>
          <w:tcPr>
            <w:tcW w:w="69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color w:val="000000"/>
                <w:sz w:val="18"/>
                <w:szCs w:val="18"/>
              </w:rPr>
            </w:pPr>
          </w:p>
        </w:tc>
      </w:tr>
      <w:tr>
        <w:tblPrEx>
          <w:tblCellMar>
            <w:top w:w="0" w:type="dxa"/>
            <w:left w:w="108" w:type="dxa"/>
            <w:bottom w:w="0" w:type="dxa"/>
            <w:right w:w="108" w:type="dxa"/>
          </w:tblCellMar>
        </w:tblPrEx>
        <w:trPr>
          <w:trHeight w:val="435" w:hRule="atLeast"/>
        </w:trPr>
        <w:tc>
          <w:tcPr>
            <w:tcW w:w="867"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农业种植结构调整新（改）造林面积</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平方千米</w:t>
            </w:r>
          </w:p>
        </w:tc>
        <w:tc>
          <w:tcPr>
            <w:tcW w:w="4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w:t>
            </w:r>
          </w:p>
        </w:tc>
        <w:tc>
          <w:tcPr>
            <w:tcW w:w="586"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3.5　</w:t>
            </w:r>
          </w:p>
        </w:tc>
        <w:tc>
          <w:tcPr>
            <w:tcW w:w="68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3.5　</w:t>
            </w:r>
          </w:p>
        </w:tc>
        <w:tc>
          <w:tcPr>
            <w:tcW w:w="844"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0　</w:t>
            </w:r>
          </w:p>
        </w:tc>
        <w:tc>
          <w:tcPr>
            <w:tcW w:w="9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　</w:t>
            </w:r>
          </w:p>
        </w:tc>
        <w:tc>
          <w:tcPr>
            <w:tcW w:w="698"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15</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15　</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w:t>
            </w:r>
          </w:p>
        </w:tc>
        <w:tc>
          <w:tcPr>
            <w:tcW w:w="69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color w:val="000000"/>
                <w:sz w:val="18"/>
                <w:szCs w:val="18"/>
              </w:rPr>
            </w:pPr>
            <w:r>
              <w:rPr>
                <w:rFonts w:ascii="Times New Roman" w:hAnsi="Times New Roman" w:cs="宋体"/>
                <w:color w:val="000000"/>
                <w:sz w:val="18"/>
                <w:szCs w:val="18"/>
              </w:rPr>
              <w:t>　</w:t>
            </w:r>
          </w:p>
        </w:tc>
      </w:tr>
      <w:tr>
        <w:tblPrEx>
          <w:tblCellMar>
            <w:top w:w="0" w:type="dxa"/>
            <w:left w:w="108" w:type="dxa"/>
            <w:bottom w:w="0" w:type="dxa"/>
            <w:right w:w="108" w:type="dxa"/>
          </w:tblCellMar>
        </w:tblPrEx>
        <w:trPr>
          <w:trHeight w:val="435" w:hRule="atLeast"/>
        </w:trPr>
        <w:tc>
          <w:tcPr>
            <w:tcW w:w="867"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宜林地造林与灌木林地培育面积</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平方千米</w:t>
            </w:r>
          </w:p>
        </w:tc>
        <w:tc>
          <w:tcPr>
            <w:tcW w:w="4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w:t>
            </w:r>
          </w:p>
        </w:tc>
        <w:tc>
          <w:tcPr>
            <w:tcW w:w="586"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w:t>
            </w:r>
          </w:p>
        </w:tc>
        <w:tc>
          <w:tcPr>
            <w:tcW w:w="68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w:t>
            </w:r>
          </w:p>
        </w:tc>
        <w:tc>
          <w:tcPr>
            <w:tcW w:w="844"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0</w:t>
            </w:r>
          </w:p>
        </w:tc>
        <w:tc>
          <w:tcPr>
            <w:tcW w:w="9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　</w:t>
            </w:r>
          </w:p>
        </w:tc>
        <w:tc>
          <w:tcPr>
            <w:tcW w:w="698"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15</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15</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p>
        </w:tc>
        <w:tc>
          <w:tcPr>
            <w:tcW w:w="69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color w:val="000000"/>
                <w:sz w:val="18"/>
                <w:szCs w:val="18"/>
              </w:rPr>
            </w:pPr>
          </w:p>
        </w:tc>
      </w:tr>
      <w:tr>
        <w:tblPrEx>
          <w:tblCellMar>
            <w:top w:w="0" w:type="dxa"/>
            <w:left w:w="108" w:type="dxa"/>
            <w:bottom w:w="0" w:type="dxa"/>
            <w:right w:w="108" w:type="dxa"/>
          </w:tblCellMar>
        </w:tblPrEx>
        <w:trPr>
          <w:trHeight w:val="435" w:hRule="atLeast"/>
        </w:trPr>
        <w:tc>
          <w:tcPr>
            <w:tcW w:w="867"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工程质量合格率</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w:t>
            </w:r>
          </w:p>
        </w:tc>
        <w:tc>
          <w:tcPr>
            <w:tcW w:w="4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w:t>
            </w:r>
          </w:p>
        </w:tc>
        <w:tc>
          <w:tcPr>
            <w:tcW w:w="586"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95</w:t>
            </w:r>
          </w:p>
        </w:tc>
        <w:tc>
          <w:tcPr>
            <w:tcW w:w="68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95</w:t>
            </w:r>
          </w:p>
        </w:tc>
        <w:tc>
          <w:tcPr>
            <w:tcW w:w="844"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0</w:t>
            </w:r>
          </w:p>
        </w:tc>
        <w:tc>
          <w:tcPr>
            <w:tcW w:w="9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　</w:t>
            </w:r>
          </w:p>
        </w:tc>
        <w:tc>
          <w:tcPr>
            <w:tcW w:w="698"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p>
        </w:tc>
        <w:tc>
          <w:tcPr>
            <w:tcW w:w="69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color w:val="000000"/>
                <w:sz w:val="18"/>
                <w:szCs w:val="18"/>
              </w:rPr>
            </w:pPr>
          </w:p>
        </w:tc>
      </w:tr>
      <w:tr>
        <w:tblPrEx>
          <w:tblCellMar>
            <w:top w:w="0" w:type="dxa"/>
            <w:left w:w="108" w:type="dxa"/>
            <w:bottom w:w="0" w:type="dxa"/>
            <w:right w:w="108" w:type="dxa"/>
          </w:tblCellMar>
        </w:tblPrEx>
        <w:trPr>
          <w:trHeight w:val="435" w:hRule="atLeast"/>
        </w:trPr>
        <w:tc>
          <w:tcPr>
            <w:tcW w:w="867"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受益移民人数</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人</w:t>
            </w:r>
          </w:p>
        </w:tc>
        <w:tc>
          <w:tcPr>
            <w:tcW w:w="4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w:t>
            </w:r>
          </w:p>
        </w:tc>
        <w:tc>
          <w:tcPr>
            <w:tcW w:w="586"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2500</w:t>
            </w:r>
          </w:p>
        </w:tc>
        <w:tc>
          <w:tcPr>
            <w:tcW w:w="68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2500</w:t>
            </w:r>
          </w:p>
        </w:tc>
        <w:tc>
          <w:tcPr>
            <w:tcW w:w="844"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0</w:t>
            </w:r>
          </w:p>
        </w:tc>
        <w:tc>
          <w:tcPr>
            <w:tcW w:w="98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100　</w:t>
            </w:r>
          </w:p>
        </w:tc>
        <w:tc>
          <w:tcPr>
            <w:tcW w:w="698"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30</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30</w:t>
            </w:r>
          </w:p>
        </w:tc>
        <w:tc>
          <w:tcPr>
            <w:tcW w:w="69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b/>
                <w:color w:val="000000"/>
                <w:sz w:val="15"/>
                <w:szCs w:val="15"/>
              </w:rPr>
            </w:pPr>
          </w:p>
        </w:tc>
        <w:tc>
          <w:tcPr>
            <w:tcW w:w="69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color w:val="000000"/>
                <w:sz w:val="18"/>
                <w:szCs w:val="18"/>
              </w:rPr>
            </w:pPr>
          </w:p>
        </w:tc>
      </w:tr>
    </w:tbl>
    <w:p>
      <w:pPr>
        <w:pStyle w:val="11"/>
        <w:autoSpaceDE w:val="0"/>
        <w:ind w:firstLine="417" w:firstLineChars="130"/>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（二）单位绩效评价情况</w:t>
      </w:r>
    </w:p>
    <w:p>
      <w:pPr>
        <w:pStyle w:val="16"/>
        <w:tabs>
          <w:tab w:val="center" w:pos="4153"/>
          <w:tab w:val="left" w:pos="7275"/>
        </w:tabs>
        <w:spacing w:line="600" w:lineRule="exact"/>
        <w:ind w:firstLine="64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本单位没有委托第三方开展绩效评价。</w:t>
      </w:r>
    </w:p>
    <w:p>
      <w:pPr>
        <w:pStyle w:val="11"/>
        <w:autoSpaceDE w:val="0"/>
        <w:ind w:firstLine="472" w:firstLineChars="147"/>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（三）财政绩效评价情况</w:t>
      </w:r>
    </w:p>
    <w:p>
      <w:pPr>
        <w:pStyle w:val="11"/>
        <w:autoSpaceDE w:val="0"/>
        <w:ind w:firstLine="643"/>
        <w:rPr>
          <w:rFonts w:ascii="Times New Roman" w:hAnsi="Times New Roman" w:eastAsia="方正仿宋_GBK" w:cs="方正仿宋_GBK"/>
          <w:sz w:val="32"/>
          <w:szCs w:val="32"/>
          <w:shd w:val="clear" w:color="auto" w:fill="FFFFFF"/>
        </w:rPr>
      </w:pPr>
      <w:r>
        <w:rPr>
          <w:rFonts w:hint="eastAsia" w:ascii="Times New Roman" w:hAnsi="Times New Roman" w:eastAsia="楷体" w:cs="楷体"/>
          <w:b/>
          <w:bCs/>
          <w:sz w:val="32"/>
          <w:szCs w:val="32"/>
          <w:shd w:val="clear" w:color="auto" w:fill="FFFFFF"/>
        </w:rPr>
        <w:t>区财政局未委托第三方对我单位开展绩效评价</w:t>
      </w:r>
    </w:p>
    <w:p>
      <w:pPr>
        <w:pStyle w:val="6"/>
        <w:shd w:val="clear" w:color="auto" w:fill="FFFFFF"/>
        <w:spacing w:before="0" w:beforeAutospacing="0" w:after="0" w:afterAutospacing="0"/>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ascii="Times New Roman" w:hAnsi="Times New Roman"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b/>
          <w:bCs/>
          <w:sz w:val="32"/>
          <w:szCs w:val="32"/>
          <w:shd w:val="clear" w:color="auto" w:fill="FFFFFF"/>
        </w:rPr>
        <w:t> </w:t>
      </w:r>
      <w:r>
        <w:rPr>
          <w:rFonts w:ascii="Times New Roman" w:hAnsi="Times New Roman" w:eastAsia="楷体" w:cs="楷体"/>
          <w:b/>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 （十六）对个人和家庭的补助（支出经济分类科目类级）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ascii="Times New Roman" w:hAnsi="Times New Roman"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default" w:ascii="Times New Roman" w:hAnsi="Times New Roman"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sz w:val="32"/>
          <w:szCs w:val="32"/>
          <w:shd w:val="clear" w:color="auto" w:fill="FFFFFF"/>
        </w:rPr>
        <w:t>本单位决算公开信息反馈和联系方式： 023-72371188</w:t>
      </w:r>
    </w:p>
    <w:p>
      <w:pPr>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重庆市涪陵区林业局（本级）</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13,860.04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2,025.74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236.48</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301.94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34.71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469.96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11,768.66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3,517.20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19.18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16,122.27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16,111.64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392.26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402.89</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16,514.53</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16,514.53</w:t>
            </w:r>
          </w:p>
        </w:tc>
      </w:tr>
    </w:tbl>
    <w:p>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重庆市涪陵区林业局（本级）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16,122.27</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15,885.78</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236.48</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301.94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301.94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301.94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301.94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236.98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236.98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34.71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34.71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34.71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34.71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34.71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34.71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469.96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469.96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自然保护地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2110501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社会保险补助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其他天然林保护支出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退耕还林还草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222.96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222.96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2110602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退耕现金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2110699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其他退耕还林还草支出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11,779.28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11,542.80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236.48</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9,455.36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9,218.87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236.48</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5,047.66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5,047.66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1,568.00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1,568.00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湿地保护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2130226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2130234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1,076.79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840.31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236.48</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891.48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891.48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298.19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298.19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149.10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149.10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21369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2,025.74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2,025.74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2136902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2,025.74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2,025.74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3,517.20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19.18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19.18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bl>
    <w:p>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重庆市涪陵区林业局（本级）</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16,111.64</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873.25</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15,238.40</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301.94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301.94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301.94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301.94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236.98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236.98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34.71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34.71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34.71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34.71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34.71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34.71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469.96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469.96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自然保护地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社会保险补助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87.00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87.00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其他天然林保护支出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退耕还林还草</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222.96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222.96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2110602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退耕现金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2110699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其他退耕还林还草支出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11,768.66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517.42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11,251.24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9,444.73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517.42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8,927.31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5,047.66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5,047.66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113.00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113.00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1,636.51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1,636.51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湿地保护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2130226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2130234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997.66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997.66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891.48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891.48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298.19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298.19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149.10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149.10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149.09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21369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2,025.74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2,025.74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2136902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2,025.74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2,025.74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3,517.20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3,517.20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3,517.20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3,517.20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3,517.20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3,517.20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19.18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19.18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bl>
    <w:p>
      <w:pP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1"/>
          <w:szCs w:val="21"/>
        </w:rPr>
      </w:pPr>
    </w:p>
    <w:p>
      <w:pP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重庆市涪陵区林业局（本级）</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13,860.04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2,025.74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34.71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34.71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469.96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469.96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11,768.66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9,742.92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2,025.74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3,517.20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3,517.20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15,885.78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16,111.64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14,085.90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2,025.74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335.25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109.39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109.39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335.25</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16,221.03</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16,221.03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14,195.29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2,025.74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bl>
    <w:p>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14,085.90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873.25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13,212.66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301.94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301.94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301.94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301.94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16.78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16.78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29.50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18.68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236.98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236.98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34.71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34.71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34.71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34.71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34.71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34.71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469.96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469.96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自然保护地</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207.00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207.00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社会保险补助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87.00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87.00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其他天然林保护支出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退耕还林还草</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222.96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222.96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退耕现金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221.16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221.16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其他退耕还林还草支出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9,742.92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517.42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9,225.50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9,444.73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517.42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8,927.31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517.42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517.42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5,047.66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5,047.66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113.00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113.00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1,636.51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1,636.51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湿地保护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211.00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997.66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997.66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891.48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891.48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298.19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298.19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149.10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149.10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149.09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149.09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3,517.20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3,517.20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3,517.20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3,517.20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3,517.20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3,517.20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19.18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19.18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19.18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19.18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19.18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19.18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bl>
    <w:p>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重庆市涪陵区林业局（本级）</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366.63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72.33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2.65</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84.33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5.75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56.27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0.28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2.65</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129.90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0.02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29.50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18.68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0.45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12.16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3.43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4.67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19.18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10.42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431.63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3.33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161.32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253.76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16.56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10.75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7.85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798.27</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74.98</w:t>
            </w:r>
          </w:p>
        </w:tc>
      </w:tr>
    </w:tbl>
    <w:p>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2,025.74</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2,025.74</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21369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2,025.74</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2136902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2,025.74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2,025.74</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bl>
    <w:p>
      <w:pPr>
        <w:rPr>
          <w:rFonts w:hint="default" w:ascii="Times New Roman" w:hAnsi="Times New Roman" w:cs="宋体"/>
          <w:sz w:val="21"/>
          <w:szCs w:val="21"/>
        </w:rPr>
      </w:pPr>
      <w:r>
        <w:rPr>
          <w:rFonts w:ascii="Times New Roman" w:hAnsi="Times New Roman" w:cs="宋体"/>
          <w:sz w:val="20"/>
          <w:szCs w:val="20"/>
        </w:rPr>
        <w:t>备注：1.本表反映单位本年度政府性基金预算财政拨款收入支出及结转和结余情况。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重庆市涪陵区林业局（本级）</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bl>
    <w:p>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1"/>
          <w:szCs w:val="21"/>
        </w:rPr>
      </w:pPr>
      <w:r>
        <w:rPr>
          <w:rFonts w:hint="default" w:ascii="Times New Roman" w:hAnsi="Times New Roman"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重庆市涪陵区林业局（本级）</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74.98</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51.74</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51.74</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74.98</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48.41</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48.41</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29.16</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29.16</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7</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19.25</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19.25</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3.33</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3.33</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3.33</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4</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2</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1</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2</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5</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38</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9,083.45</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342</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5,379.25</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3,704.20</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5,697.25</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724.28</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1.64</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1.59</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宋体"/>
                <w:color w:val="000000"/>
                <w:sz w:val="20"/>
                <w:szCs w:val="20"/>
              </w:rPr>
            </w:pPr>
          </w:p>
        </w:tc>
      </w:tr>
    </w:tbl>
    <w:p>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27 -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C493A"/>
    <w:multiLevelType w:val="multilevel"/>
    <w:tmpl w:val="663C493A"/>
    <w:lvl w:ilvl="0" w:tentative="0">
      <w:start w:val="5"/>
      <w:numFmt w:val="japaneseCounting"/>
      <w:lvlText w:val="%1、"/>
      <w:lvlJc w:val="left"/>
      <w:pPr>
        <w:ind w:left="1510" w:hanging="720"/>
      </w:pPr>
      <w:rPr>
        <w:rFonts w:hint="default"/>
      </w:rPr>
    </w:lvl>
    <w:lvl w:ilvl="1" w:tentative="0">
      <w:start w:val="1"/>
      <w:numFmt w:val="lowerLetter"/>
      <w:lvlText w:val="%2)"/>
      <w:lvlJc w:val="left"/>
      <w:pPr>
        <w:ind w:left="1630" w:hanging="420"/>
      </w:pPr>
    </w:lvl>
    <w:lvl w:ilvl="2" w:tentative="0">
      <w:start w:val="1"/>
      <w:numFmt w:val="lowerRoman"/>
      <w:lvlText w:val="%3."/>
      <w:lvlJc w:val="right"/>
      <w:pPr>
        <w:ind w:left="2050" w:hanging="420"/>
      </w:pPr>
    </w:lvl>
    <w:lvl w:ilvl="3" w:tentative="0">
      <w:start w:val="1"/>
      <w:numFmt w:val="decimal"/>
      <w:lvlText w:val="%4."/>
      <w:lvlJc w:val="left"/>
      <w:pPr>
        <w:ind w:left="2470" w:hanging="420"/>
      </w:pPr>
    </w:lvl>
    <w:lvl w:ilvl="4" w:tentative="0">
      <w:start w:val="1"/>
      <w:numFmt w:val="lowerLetter"/>
      <w:lvlText w:val="%5)"/>
      <w:lvlJc w:val="left"/>
      <w:pPr>
        <w:ind w:left="2890" w:hanging="420"/>
      </w:pPr>
    </w:lvl>
    <w:lvl w:ilvl="5" w:tentative="0">
      <w:start w:val="1"/>
      <w:numFmt w:val="lowerRoman"/>
      <w:lvlText w:val="%6."/>
      <w:lvlJc w:val="right"/>
      <w:pPr>
        <w:ind w:left="3310" w:hanging="420"/>
      </w:pPr>
    </w:lvl>
    <w:lvl w:ilvl="6" w:tentative="0">
      <w:start w:val="1"/>
      <w:numFmt w:val="decimal"/>
      <w:lvlText w:val="%7."/>
      <w:lvlJc w:val="left"/>
      <w:pPr>
        <w:ind w:left="3730" w:hanging="420"/>
      </w:pPr>
    </w:lvl>
    <w:lvl w:ilvl="7" w:tentative="0">
      <w:start w:val="1"/>
      <w:numFmt w:val="lowerLetter"/>
      <w:lvlText w:val="%8)"/>
      <w:lvlJc w:val="left"/>
      <w:pPr>
        <w:ind w:left="4150" w:hanging="420"/>
      </w:pPr>
    </w:lvl>
    <w:lvl w:ilvl="8" w:tentative="0">
      <w:start w:val="1"/>
      <w:numFmt w:val="lowerRoman"/>
      <w:lvlText w:val="%9."/>
      <w:lvlJc w:val="right"/>
      <w:pPr>
        <w:ind w:left="45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kMTJhYTgwMDRhYWZlOGIyZTU0ZjkyZjMwYzU0NGEifQ=="/>
  </w:docVars>
  <w:rsids>
    <w:rsidRoot w:val="00B03CCD"/>
    <w:rsid w:val="00001E5D"/>
    <w:rsid w:val="00005FBC"/>
    <w:rsid w:val="00011534"/>
    <w:rsid w:val="0008257F"/>
    <w:rsid w:val="000A59A0"/>
    <w:rsid w:val="000B25BD"/>
    <w:rsid w:val="001B35B3"/>
    <w:rsid w:val="001C50AF"/>
    <w:rsid w:val="001D4E18"/>
    <w:rsid w:val="001E5404"/>
    <w:rsid w:val="00233976"/>
    <w:rsid w:val="00242E0F"/>
    <w:rsid w:val="0024676D"/>
    <w:rsid w:val="00270E53"/>
    <w:rsid w:val="00282AFC"/>
    <w:rsid w:val="00291C2E"/>
    <w:rsid w:val="002B254B"/>
    <w:rsid w:val="002D714A"/>
    <w:rsid w:val="002E61BB"/>
    <w:rsid w:val="002F63D3"/>
    <w:rsid w:val="00340136"/>
    <w:rsid w:val="003469AC"/>
    <w:rsid w:val="00346D08"/>
    <w:rsid w:val="00351D6A"/>
    <w:rsid w:val="003577B8"/>
    <w:rsid w:val="0039509F"/>
    <w:rsid w:val="003F41F7"/>
    <w:rsid w:val="00416B88"/>
    <w:rsid w:val="0042206F"/>
    <w:rsid w:val="0047110F"/>
    <w:rsid w:val="00474E1F"/>
    <w:rsid w:val="004A597F"/>
    <w:rsid w:val="004B47E1"/>
    <w:rsid w:val="004B6A13"/>
    <w:rsid w:val="004C7895"/>
    <w:rsid w:val="004E1269"/>
    <w:rsid w:val="004F7453"/>
    <w:rsid w:val="005173BC"/>
    <w:rsid w:val="00526B13"/>
    <w:rsid w:val="00526FA6"/>
    <w:rsid w:val="00550ABE"/>
    <w:rsid w:val="005A535C"/>
    <w:rsid w:val="005B565B"/>
    <w:rsid w:val="006564EC"/>
    <w:rsid w:val="00667AAA"/>
    <w:rsid w:val="00686B7C"/>
    <w:rsid w:val="00691765"/>
    <w:rsid w:val="006A11A7"/>
    <w:rsid w:val="006C1FD1"/>
    <w:rsid w:val="006C6190"/>
    <w:rsid w:val="006D3B6E"/>
    <w:rsid w:val="006F3A49"/>
    <w:rsid w:val="007151C7"/>
    <w:rsid w:val="007249FE"/>
    <w:rsid w:val="00724D06"/>
    <w:rsid w:val="00770383"/>
    <w:rsid w:val="007819D4"/>
    <w:rsid w:val="007B419D"/>
    <w:rsid w:val="007C4C00"/>
    <w:rsid w:val="00804B49"/>
    <w:rsid w:val="00866009"/>
    <w:rsid w:val="008702B1"/>
    <w:rsid w:val="00891857"/>
    <w:rsid w:val="00891B26"/>
    <w:rsid w:val="008F1C06"/>
    <w:rsid w:val="009211F6"/>
    <w:rsid w:val="00927F8B"/>
    <w:rsid w:val="00933898"/>
    <w:rsid w:val="0094774A"/>
    <w:rsid w:val="0095018E"/>
    <w:rsid w:val="00981AF7"/>
    <w:rsid w:val="009A1FC5"/>
    <w:rsid w:val="009B67B8"/>
    <w:rsid w:val="009D2B67"/>
    <w:rsid w:val="009E17EA"/>
    <w:rsid w:val="009E5696"/>
    <w:rsid w:val="00A2609C"/>
    <w:rsid w:val="00A46CB9"/>
    <w:rsid w:val="00A86EBD"/>
    <w:rsid w:val="00AC2B3C"/>
    <w:rsid w:val="00B03CCD"/>
    <w:rsid w:val="00B6007F"/>
    <w:rsid w:val="00B8193B"/>
    <w:rsid w:val="00BB28DA"/>
    <w:rsid w:val="00C03DCE"/>
    <w:rsid w:val="00C16BB3"/>
    <w:rsid w:val="00C20C3E"/>
    <w:rsid w:val="00C25423"/>
    <w:rsid w:val="00C3159C"/>
    <w:rsid w:val="00C31E54"/>
    <w:rsid w:val="00C40E30"/>
    <w:rsid w:val="00CB68FD"/>
    <w:rsid w:val="00CC39A8"/>
    <w:rsid w:val="00CC5684"/>
    <w:rsid w:val="00CD14AB"/>
    <w:rsid w:val="00D232AE"/>
    <w:rsid w:val="00D26AEC"/>
    <w:rsid w:val="00D72D5F"/>
    <w:rsid w:val="00DB5E26"/>
    <w:rsid w:val="00DD1209"/>
    <w:rsid w:val="00DF207C"/>
    <w:rsid w:val="00DF72AA"/>
    <w:rsid w:val="00E33B03"/>
    <w:rsid w:val="00E5075D"/>
    <w:rsid w:val="00E80BE6"/>
    <w:rsid w:val="00EA2EDB"/>
    <w:rsid w:val="00ED18D2"/>
    <w:rsid w:val="00ED3C70"/>
    <w:rsid w:val="00EE5AC6"/>
    <w:rsid w:val="00F32C11"/>
    <w:rsid w:val="00F4254F"/>
    <w:rsid w:val="00F45C63"/>
    <w:rsid w:val="00F73F90"/>
    <w:rsid w:val="00FE263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0158A3"/>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FDD33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6864</Words>
  <Characters>7742</Characters>
  <Lines>130</Lines>
  <Paragraphs>36</Paragraphs>
  <TotalTime>1</TotalTime>
  <ScaleCrop>false</ScaleCrop>
  <LinksUpToDate>false</LinksUpToDate>
  <CharactersWithSpaces>7796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2024-10-23T10:32:00Z</dcterms:created>
  <dc:creator>Administrator</dc:creator>
  <cp:lastModifiedBy>user</cp:lastModifiedBy>
  <dcterms:modified xsi:type="dcterms:W3CDTF">2024-10-31T17:07:13Z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