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rPr>
      </w:pPr>
      <w:bookmarkStart w:id="0" w:name="_GoBack"/>
      <w:r>
        <w:rPr>
          <w:rFonts w:ascii="方正小标宋_GBK" w:hAnsi="方正小标宋_GBK" w:eastAsia="方正小标宋_GBK" w:cs="方正小标宋_GBK"/>
          <w:sz w:val="36"/>
          <w:szCs w:val="36"/>
        </w:rPr>
        <w:t>重庆市涪陵区社会保险事务中心2023年度决算公开</w:t>
      </w:r>
    </w:p>
    <w:bookmarkEnd w:id="0"/>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pacing w:before="0" w:beforeAutospacing="0" w:after="0" w:afterAutospacing="0"/>
        <w:ind w:firstLine="588" w:firstLineChars="196"/>
        <w:rPr>
          <w:rFonts w:hint="default" w:ascii="仿宋" w:hAnsi="仿宋" w:eastAsia="仿宋" w:cs="仿宋"/>
          <w:sz w:val="30"/>
          <w:szCs w:val="30"/>
        </w:rPr>
      </w:pPr>
      <w:r>
        <w:rPr>
          <w:rFonts w:ascii="仿宋" w:hAnsi="仿宋" w:eastAsia="仿宋" w:cs="仿宋"/>
          <w:sz w:val="30"/>
          <w:szCs w:val="30"/>
        </w:rPr>
        <w:t>重庆市涪陵区社会保险事务中心承担社会保险管理相关事务性、技术性等具体工作。包括：1.贯彻执行社会保险的法律、法规和方针政策; 2.负责建立健全社会保险各项业务、财务、安全和风险管理制度;3.承担社会保险登记、个人权益记录、社会保险待遇支付等工作;4.承担社会保险基金决算草案的编制工作，承担社会保险基金收支会计核算工作和社会保险基金管理相关工作;5.承担社会保险网络信息化系统的建设、管理和维护工作，依法承担社会保障卡的发放、制作、应用相关工作;6.承担社会保险基金支付稽核的事务性工作，协助相关部门处理骗取社会保险基金举报投诉案件;7.承担社会保险业务档案管理工作;8.承担实施工伤保险协议服务相关工作;9.承担社会保险法律法规及政策宣传、业务咨询和参保对象社会保险权益告知、查询等相关服务工作;10.指导乡镇（街道）社会保险经办机构规范、有序开展社会保险经办服务工作;11.承担区委、区政府和区人力社保局交办的其他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ind w:firstLine="600" w:firstLineChars="200"/>
        <w:rPr>
          <w:rFonts w:hint="default" w:ascii="仿宋" w:hAnsi="仿宋" w:eastAsia="仿宋" w:cs="仿宋"/>
          <w:sz w:val="30"/>
          <w:szCs w:val="30"/>
        </w:rPr>
      </w:pPr>
      <w:r>
        <w:rPr>
          <w:rFonts w:ascii="仿宋" w:hAnsi="仿宋" w:eastAsia="仿宋" w:cs="仿宋"/>
          <w:sz w:val="30"/>
          <w:szCs w:val="30"/>
        </w:rPr>
        <w:t>根据上述职责，重庆市涪陵区社会保险事务中心设12个内设机构，即办公室、党建办公室、基金财务管理科、公共业务受理科、机关事业单位养老保险科、单位参保科、个人参保科、养老保险待遇科、工伤保险待遇科、信息化管理科、稽核服务科、劳动能力鉴定科。</w:t>
      </w:r>
    </w:p>
    <w:p>
      <w:pPr>
        <w:pStyle w:val="6"/>
        <w:shd w:val="clear" w:color="auto" w:fill="FFFFFF"/>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02" w:firstLineChars="200"/>
        <w:rPr>
          <w:rFonts w:hint="default" w:ascii="仿宋" w:hAnsi="仿宋" w:eastAsia="仿宋" w:cs="仿宋"/>
          <w:sz w:val="30"/>
          <w:szCs w:val="30"/>
        </w:rPr>
      </w:pPr>
      <w:r>
        <w:rPr>
          <w:rFonts w:ascii="仿宋" w:hAnsi="仿宋" w:eastAsia="仿宋" w:cs="仿宋"/>
          <w:b/>
          <w:sz w:val="30"/>
          <w:szCs w:val="30"/>
        </w:rPr>
        <w:t>1.总体情况。</w:t>
      </w:r>
      <w:r>
        <w:rPr>
          <w:rFonts w:ascii="仿宋" w:hAnsi="仿宋" w:eastAsia="仿宋" w:cs="仿宋"/>
          <w:sz w:val="30"/>
          <w:szCs w:val="30"/>
        </w:rPr>
        <w:t>2023年度收入总计6216.46万元，支出总计6216.46万元。收支较上年决算数减少57.43万元，下降0.92%，主要原因一是财政总体压缩公用经费及本级项目预算；二是军转干部享受待遇人数减少导致军队转业干部安置项目支出减少。</w:t>
      </w:r>
    </w:p>
    <w:p>
      <w:pPr>
        <w:pStyle w:val="6"/>
        <w:shd w:val="clear" w:color="auto" w:fill="FFFFFF"/>
        <w:ind w:firstLine="602" w:firstLineChars="200"/>
        <w:rPr>
          <w:rFonts w:hint="default" w:ascii="仿宋" w:hAnsi="仿宋" w:eastAsia="仿宋" w:cs="仿宋"/>
          <w:sz w:val="30"/>
          <w:szCs w:val="30"/>
        </w:rPr>
      </w:pPr>
      <w:r>
        <w:rPr>
          <w:rFonts w:ascii="仿宋" w:hAnsi="仿宋" w:eastAsia="仿宋" w:cs="仿宋"/>
          <w:b/>
          <w:sz w:val="30"/>
          <w:szCs w:val="30"/>
        </w:rPr>
        <w:t>2.收入情况。</w:t>
      </w:r>
      <w:r>
        <w:rPr>
          <w:rFonts w:ascii="仿宋" w:hAnsi="仿宋" w:eastAsia="仿宋" w:cs="仿宋"/>
          <w:sz w:val="30"/>
          <w:szCs w:val="30"/>
        </w:rPr>
        <w:t>2023年度收入合计6216.46万元，较上年决算数减少57.43万元，下降0.92%，主要原因一是财政总体压缩公用经费及本级项目预算；二是军转干部享受待遇人数减少导致军队转业干部安置项目支出减少。其中：财政拨款收入6216.46万元，占100.00%；事业收入0.00万元，占0.00%；经营收入0.00万元，占0.00%；其他收入0.00万元，占0.00%。此外，使用非财政拨款结余和专用结余0.00万元，年初结转和结余0.00万元。</w:t>
      </w:r>
    </w:p>
    <w:p>
      <w:pPr>
        <w:pStyle w:val="6"/>
        <w:shd w:val="clear" w:color="auto" w:fill="FFFFFF"/>
        <w:ind w:firstLine="602" w:firstLineChars="200"/>
        <w:rPr>
          <w:rFonts w:hint="default" w:ascii="仿宋" w:hAnsi="仿宋" w:eastAsia="仿宋" w:cs="仿宋"/>
          <w:sz w:val="30"/>
          <w:szCs w:val="30"/>
        </w:rPr>
      </w:pPr>
      <w:r>
        <w:rPr>
          <w:rFonts w:ascii="仿宋" w:hAnsi="仿宋" w:eastAsia="仿宋" w:cs="仿宋"/>
          <w:b/>
          <w:sz w:val="30"/>
          <w:szCs w:val="30"/>
        </w:rPr>
        <w:t>3.支出情况。</w:t>
      </w:r>
      <w:r>
        <w:rPr>
          <w:rFonts w:ascii="仿宋" w:hAnsi="仿宋" w:eastAsia="仿宋" w:cs="仿宋"/>
          <w:sz w:val="30"/>
          <w:szCs w:val="30"/>
        </w:rPr>
        <w:t>2023年度支出合计6216.46万元，较上年决算数减少57.43万元，下降0.92%，主要原因一是财政总体压缩公用经费及本级项目预算；二是军转干部享受待遇人数减少导致军队转业干部安置项目支出减少。其中：基本支出1335.76万元，占21.49%；项目支出4880.71万元，占78.51%；经营支出0.00万元，占0.00%。此外，结余分配0.00万元。</w:t>
      </w:r>
    </w:p>
    <w:p>
      <w:pPr>
        <w:pStyle w:val="6"/>
        <w:shd w:val="clear" w:color="auto" w:fill="FFFFFF"/>
        <w:ind w:firstLine="602" w:firstLineChars="200"/>
        <w:rPr>
          <w:rFonts w:hint="default" w:ascii="仿宋" w:hAnsi="仿宋" w:eastAsia="仿宋" w:cs="仿宋"/>
          <w:sz w:val="30"/>
          <w:szCs w:val="30"/>
        </w:rPr>
      </w:pPr>
      <w:r>
        <w:rPr>
          <w:rFonts w:ascii="仿宋" w:hAnsi="仿宋" w:eastAsia="仿宋" w:cs="仿宋"/>
          <w:b/>
          <w:sz w:val="30"/>
          <w:szCs w:val="30"/>
        </w:rPr>
        <w:t>4.结转结余情况。</w:t>
      </w:r>
      <w:r>
        <w:rPr>
          <w:rFonts w:ascii="仿宋" w:hAnsi="仿宋" w:eastAsia="仿宋" w:cs="仿宋"/>
          <w:sz w:val="30"/>
          <w:szCs w:val="30"/>
        </w:rPr>
        <w:t>2023年度年末结转和结余0.00万元，与上年决算数持平。</w:t>
      </w:r>
    </w:p>
    <w:p>
      <w:pPr>
        <w:pStyle w:val="6"/>
        <w:snapToGrid w:val="0"/>
        <w:spacing w:before="0" w:beforeAutospacing="0" w:after="0" w:afterAutospacing="0" w:line="600" w:lineRule="exact"/>
        <w:ind w:firstLine="642"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pStyle w:val="6"/>
        <w:shd w:val="clear" w:color="auto" w:fill="FFFFFF"/>
        <w:ind w:firstLine="600" w:firstLineChars="200"/>
        <w:rPr>
          <w:rFonts w:hint="default" w:ascii="仿宋" w:hAnsi="仿宋" w:eastAsia="仿宋" w:cs="仿宋"/>
          <w:sz w:val="30"/>
          <w:szCs w:val="30"/>
        </w:rPr>
      </w:pPr>
      <w:r>
        <w:rPr>
          <w:rFonts w:ascii="仿宋" w:hAnsi="仿宋" w:eastAsia="仿宋" w:cs="仿宋"/>
          <w:sz w:val="30"/>
          <w:szCs w:val="30"/>
        </w:rPr>
        <w:t>2023年度财政拨款收、支总计6216.46万元。与2022年相比，财政拨款收、支总计各减少57.43万元，下降0.92%。主要原因一是财政总体压缩公用经费及本级项目预算；二是军转干部享受待遇人数减少导致军队转业干部安置项目支出减少。</w:t>
      </w:r>
    </w:p>
    <w:p>
      <w:pPr>
        <w:pStyle w:val="6"/>
        <w:snapToGrid w:val="0"/>
        <w:spacing w:before="0" w:beforeAutospacing="0" w:after="0" w:afterAutospacing="0" w:line="600" w:lineRule="exact"/>
        <w:ind w:firstLine="642"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pStyle w:val="6"/>
        <w:shd w:val="clear" w:color="auto" w:fill="FFFFFF"/>
        <w:ind w:firstLine="602" w:firstLineChars="200"/>
        <w:rPr>
          <w:rFonts w:hint="default" w:ascii="仿宋" w:hAnsi="仿宋" w:eastAsia="仿宋" w:cs="仿宋"/>
          <w:sz w:val="30"/>
          <w:szCs w:val="30"/>
        </w:rPr>
      </w:pPr>
      <w:r>
        <w:rPr>
          <w:rFonts w:ascii="仿宋" w:hAnsi="仿宋" w:eastAsia="仿宋" w:cs="仿宋"/>
          <w:b/>
          <w:sz w:val="30"/>
          <w:szCs w:val="30"/>
        </w:rPr>
        <w:t>1.收入情况。</w:t>
      </w:r>
      <w:r>
        <w:rPr>
          <w:rFonts w:ascii="仿宋" w:hAnsi="仿宋" w:eastAsia="仿宋" w:cs="仿宋"/>
          <w:sz w:val="30"/>
          <w:szCs w:val="30"/>
        </w:rPr>
        <w:t>2023年度一般公共预算财政拨款收入6216.46万元，较上年决算数减少57.43万元，下降0.92%。主要原因一是财政总体压缩公用经费及本级项目预算；二是军转干部享受待遇人数减少导致军队转业干部安置项目支出减少。较年初预算数增加2749.44万元，增长79.30%。主要原因是企业退休人员、征地超龄人员春节慰问金，国有企业职教幼教退休教师生活补助等项目为年中追加预算，未纳入年初预算。此外，年初财政拨款结转和结余0.00万元。</w:t>
      </w:r>
    </w:p>
    <w:p>
      <w:pPr>
        <w:pStyle w:val="6"/>
        <w:shd w:val="clear" w:color="auto" w:fill="FFFFFF"/>
        <w:ind w:firstLine="602" w:firstLineChars="200"/>
        <w:rPr>
          <w:rFonts w:ascii="仿宋" w:hAnsi="仿宋" w:eastAsia="仿宋" w:cs="仿宋"/>
          <w:sz w:val="30"/>
          <w:szCs w:val="30"/>
        </w:rPr>
      </w:pPr>
      <w:r>
        <w:rPr>
          <w:rFonts w:ascii="仿宋" w:hAnsi="仿宋" w:eastAsia="仿宋" w:cs="仿宋"/>
          <w:b/>
          <w:sz w:val="30"/>
          <w:szCs w:val="30"/>
        </w:rPr>
        <w:t>2.支出情况。</w:t>
      </w:r>
      <w:r>
        <w:rPr>
          <w:rFonts w:ascii="仿宋" w:hAnsi="仿宋" w:eastAsia="仿宋" w:cs="仿宋"/>
          <w:sz w:val="30"/>
          <w:szCs w:val="30"/>
        </w:rPr>
        <w:t>2023年度一般公共预算财政拨款支出6216.46万元，较上年决算数减少57.43万元，下降0.92%。主要原因一是财政总体压缩公用经费及本级项目预算；二是军转干部享受待遇人数减少导致军队转业干部安置项目支出减少。较年初预算数增加2749.44万元，增长79.30%。主要原因是企业退休人员、征地超龄人员春节慰问金，国有企业职教幼教退休教师生活补助等项目为年中追加预算，未纳入年初预算。</w:t>
      </w:r>
    </w:p>
    <w:p>
      <w:pPr>
        <w:pStyle w:val="6"/>
        <w:shd w:val="clear" w:color="auto" w:fill="FFFFFF"/>
        <w:ind w:firstLine="602" w:firstLineChars="200"/>
        <w:rPr>
          <w:rFonts w:hint="default" w:ascii="仿宋" w:hAnsi="仿宋" w:eastAsia="仿宋" w:cs="仿宋"/>
          <w:sz w:val="30"/>
          <w:szCs w:val="30"/>
        </w:rPr>
      </w:pPr>
      <w:r>
        <w:rPr>
          <w:rFonts w:ascii="仿宋" w:hAnsi="仿宋" w:eastAsia="仿宋" w:cs="仿宋"/>
          <w:b/>
          <w:sz w:val="30"/>
          <w:szCs w:val="30"/>
        </w:rPr>
        <w:t>3.结转结余情况。</w:t>
      </w:r>
      <w:r>
        <w:rPr>
          <w:rFonts w:ascii="仿宋" w:hAnsi="仿宋" w:eastAsia="仿宋" w:cs="仿宋"/>
          <w:sz w:val="30"/>
          <w:szCs w:val="30"/>
        </w:rPr>
        <w:t>2023年度年末一般公共预算财政拨款结转和结余0.00万元，与上年决算数持平。</w:t>
      </w:r>
    </w:p>
    <w:p>
      <w:pPr>
        <w:pStyle w:val="6"/>
        <w:shd w:val="clear" w:color="auto" w:fill="FFFFFF"/>
        <w:ind w:firstLine="602" w:firstLineChars="200"/>
        <w:rPr>
          <w:rFonts w:hint="default" w:ascii="仿宋" w:hAnsi="仿宋" w:eastAsia="仿宋" w:cs="仿宋"/>
          <w:sz w:val="30"/>
          <w:szCs w:val="30"/>
        </w:rPr>
      </w:pPr>
      <w:r>
        <w:rPr>
          <w:rFonts w:ascii="仿宋" w:hAnsi="仿宋" w:eastAsia="仿宋" w:cs="仿宋"/>
          <w:b/>
          <w:sz w:val="30"/>
          <w:szCs w:val="30"/>
        </w:rPr>
        <w:t xml:space="preserve"> 4.比较情况。</w:t>
      </w:r>
      <w:r>
        <w:rPr>
          <w:rFonts w:ascii="仿宋" w:hAnsi="仿宋" w:eastAsia="仿宋" w:cs="仿宋"/>
          <w:sz w:val="30"/>
          <w:szCs w:val="30"/>
        </w:rPr>
        <w:t>本单位2023年度一般公共预算财政拨款支出主要用于以下几个方面：</w:t>
      </w:r>
    </w:p>
    <w:p>
      <w:pPr>
        <w:pStyle w:val="6"/>
        <w:shd w:val="clear" w:color="auto" w:fill="FFFFFF"/>
        <w:ind w:firstLine="600" w:firstLineChars="200"/>
        <w:rPr>
          <w:rFonts w:ascii="仿宋" w:hAnsi="仿宋" w:eastAsia="仿宋" w:cs="仿宋"/>
          <w:sz w:val="30"/>
          <w:szCs w:val="30"/>
        </w:rPr>
      </w:pPr>
      <w:r>
        <w:rPr>
          <w:rFonts w:ascii="仿宋" w:hAnsi="仿宋" w:eastAsia="仿宋" w:cs="仿宋"/>
          <w:sz w:val="30"/>
          <w:szCs w:val="30"/>
        </w:rPr>
        <w:t>（1）社会保障与就业支出6119.49万元，占98.44%，较年初预算数增加2787.44万元，增长83.66%，主要原因是企业退休人员、征地超龄人员春节慰问金，国有企业职教幼教退休教师生活补助等项目为年中追加预算，未纳入年初预算。</w:t>
      </w:r>
    </w:p>
    <w:p>
      <w:pPr>
        <w:pStyle w:val="6"/>
        <w:shd w:val="clear" w:color="auto" w:fill="FFFFFF"/>
        <w:ind w:firstLine="600" w:firstLineChars="200"/>
        <w:rPr>
          <w:rFonts w:hint="default" w:ascii="仿宋" w:hAnsi="仿宋" w:eastAsia="仿宋" w:cs="仿宋"/>
          <w:sz w:val="30"/>
          <w:szCs w:val="30"/>
        </w:rPr>
      </w:pPr>
      <w:r>
        <w:rPr>
          <w:rFonts w:ascii="仿宋" w:hAnsi="仿宋" w:eastAsia="仿宋" w:cs="仿宋"/>
          <w:sz w:val="30"/>
          <w:szCs w:val="30"/>
        </w:rPr>
        <w:t>（2）卫生健康支出52.72万元，占0.85%，较年初预算数减少0.54万元，下降1.01%，主要原因是人员变动,调整相应预算支出。</w:t>
      </w:r>
    </w:p>
    <w:p>
      <w:pPr>
        <w:pStyle w:val="6"/>
        <w:spacing w:before="0" w:beforeAutospacing="0" w:after="0" w:afterAutospacing="0"/>
        <w:ind w:firstLine="450" w:firstLineChars="150"/>
        <w:jc w:val="both"/>
        <w:rPr>
          <w:rFonts w:ascii="仿宋" w:hAnsi="仿宋" w:eastAsia="仿宋" w:cs="仿宋"/>
          <w:sz w:val="30"/>
          <w:szCs w:val="30"/>
        </w:rPr>
      </w:pPr>
      <w:r>
        <w:rPr>
          <w:rFonts w:ascii="仿宋" w:hAnsi="仿宋" w:eastAsia="仿宋" w:cs="仿宋"/>
          <w:sz w:val="30"/>
          <w:szCs w:val="30"/>
        </w:rPr>
        <w:t>（3）住房保障支出44.25万元，占0.71%，较年初预算数减少37.47万元，下降45.85%，主要原因是清算2021和2022年度公务员津补贴，追减住房公积金预算指标。</w:t>
      </w:r>
    </w:p>
    <w:p>
      <w:pPr>
        <w:pStyle w:val="6"/>
        <w:spacing w:before="0" w:beforeAutospacing="0" w:after="0" w:afterAutospacing="0"/>
        <w:ind w:firstLine="481" w:firstLineChars="15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spacing w:line="360" w:lineRule="auto"/>
        <w:ind w:firstLine="640" w:firstLineChars="200"/>
        <w:rPr>
          <w:rFonts w:hint="default" w:ascii="方正仿宋_GBK" w:eastAsia="方正仿宋_GBK" w:cs="宋体"/>
          <w:sz w:val="32"/>
          <w:szCs w:val="32"/>
        </w:rPr>
      </w:pPr>
      <w:r>
        <w:rPr>
          <w:rFonts w:ascii="方正仿宋_GBK" w:hAnsi="方正仿宋_GBK" w:eastAsia="方正仿宋_GBK" w:cs="方正仿宋_GBK"/>
          <w:sz w:val="32"/>
          <w:szCs w:val="32"/>
          <w:shd w:val="clear" w:color="auto" w:fill="FFFFFF"/>
        </w:rPr>
        <w:t> </w:t>
      </w:r>
      <w:r>
        <w:rPr>
          <w:rFonts w:ascii="仿宋" w:hAnsi="仿宋" w:eastAsia="仿宋" w:cs="仿宋"/>
          <w:sz w:val="30"/>
          <w:szCs w:val="30"/>
        </w:rPr>
        <w:t>2023年度一般公共财政拨款基本支出1335.76万元。其中：人员经费1193.90万元，较上年决算数增加3.48万元，增长0.29%，主要原因是人员增资、新进人员。人员经费用途主要包括基本工资、津贴补贴、奖金、社会保障缴费、住房公积金、医疗费、其他工资福利支出等。公用经费141.86万元，较上年决算数减少61.49万元，下降30.24%，主要原因一是由于上年度非税收入列支公用经费，本年将非税列入项目支出；二是厉行节约原则，压缩公用经费支出。公用经费用途主要包括办公费、邮电费、差旅费、会议费、培训费、劳务费、其他交通费用、其他商品和服务支出等。</w:t>
      </w:r>
    </w:p>
    <w:p>
      <w:pPr>
        <w:pStyle w:val="6"/>
        <w:snapToGrid w:val="0"/>
        <w:spacing w:before="0" w:beforeAutospacing="0" w:after="0" w:afterAutospacing="0" w:line="600" w:lineRule="exact"/>
        <w:ind w:firstLine="642"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00" w:firstLineChars="200"/>
        <w:jc w:val="both"/>
        <w:rPr>
          <w:rFonts w:hint="default" w:ascii="仿宋" w:hAnsi="仿宋" w:eastAsia="仿宋" w:cs="仿宋"/>
          <w:sz w:val="30"/>
          <w:szCs w:val="30"/>
        </w:rPr>
      </w:pPr>
      <w:r>
        <w:rPr>
          <w:rFonts w:ascii="仿宋" w:hAnsi="仿宋" w:eastAsia="仿宋" w:cs="仿宋"/>
          <w:sz w:val="30"/>
          <w:szCs w:val="30"/>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00" w:firstLineChars="200"/>
        <w:jc w:val="both"/>
        <w:rPr>
          <w:rFonts w:hint="default" w:ascii="仿宋" w:hAnsi="仿宋" w:eastAsia="仿宋" w:cs="仿宋"/>
          <w:sz w:val="30"/>
          <w:szCs w:val="30"/>
        </w:rPr>
      </w:pPr>
      <w:r>
        <w:rPr>
          <w:rFonts w:ascii="仿宋" w:hAnsi="仿宋" w:eastAsia="仿宋" w:cs="仿宋"/>
          <w:sz w:val="30"/>
          <w:szCs w:val="30"/>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00" w:firstLineChars="200"/>
        <w:jc w:val="both"/>
        <w:rPr>
          <w:rFonts w:hint="default" w:ascii="仿宋" w:hAnsi="仿宋" w:eastAsia="仿宋" w:cs="仿宋"/>
          <w:sz w:val="30"/>
          <w:szCs w:val="30"/>
        </w:rPr>
      </w:pPr>
      <w:r>
        <w:rPr>
          <w:rFonts w:ascii="仿宋" w:hAnsi="仿宋" w:eastAsia="仿宋" w:cs="仿宋"/>
          <w:sz w:val="30"/>
          <w:szCs w:val="30"/>
        </w:rPr>
        <w:t>2023年度“三公”经费支出共计29.37万元，较年初预算数增加26.37万元，增长879.00%，主要原因是本年度采购应急保障公务用车1辆, 公务车购置费为追加预算。较上年支出数增加25.78万元，增长718.11%，主要原因是本年度采购应急保障公务用车1辆。</w:t>
      </w:r>
    </w:p>
    <w:p>
      <w:pPr>
        <w:pStyle w:val="6"/>
        <w:snapToGrid w:val="0"/>
        <w:spacing w:before="0" w:beforeAutospacing="0" w:after="0" w:afterAutospacing="0" w:line="600" w:lineRule="exact"/>
        <w:ind w:firstLine="642"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00" w:firstLineChars="200"/>
        <w:jc w:val="both"/>
        <w:rPr>
          <w:rFonts w:hint="default" w:ascii="仿宋" w:hAnsi="仿宋" w:eastAsia="仿宋" w:cs="仿宋"/>
          <w:sz w:val="30"/>
          <w:szCs w:val="30"/>
        </w:rPr>
      </w:pPr>
      <w:r>
        <w:rPr>
          <w:rFonts w:ascii="仿宋" w:hAnsi="仿宋" w:eastAsia="仿宋" w:cs="仿宋"/>
          <w:sz w:val="30"/>
          <w:szCs w:val="30"/>
        </w:rPr>
        <w:t>本单位2023年度未发生因公出国（境）费用支出,费用支出与年初预算数、上年支出数持平。</w:t>
      </w:r>
    </w:p>
    <w:p>
      <w:pPr>
        <w:pStyle w:val="6"/>
        <w:snapToGrid w:val="0"/>
        <w:spacing w:before="0" w:beforeAutospacing="0" w:after="0" w:afterAutospacing="0" w:line="600" w:lineRule="exact"/>
        <w:ind w:firstLine="600" w:firstLineChars="200"/>
        <w:jc w:val="both"/>
        <w:rPr>
          <w:rFonts w:hint="default" w:ascii="仿宋" w:hAnsi="仿宋" w:eastAsia="仿宋" w:cs="仿宋"/>
          <w:sz w:val="30"/>
          <w:szCs w:val="30"/>
        </w:rPr>
      </w:pPr>
      <w:r>
        <w:rPr>
          <w:rFonts w:ascii="仿宋" w:hAnsi="仿宋" w:eastAsia="仿宋" w:cs="仿宋"/>
          <w:sz w:val="30"/>
          <w:szCs w:val="30"/>
        </w:rPr>
        <w:t> 公务车购置费24.98万元，主要原因是本年度采购应急保障公务用车1辆。费用支出较年初预算数增加24.98万元，增长100.00%，主要原因是本年度采购应急保障公务用车1辆, 公务车购置费为追加预算。较上年支出数增加24.98万元，增长100.00%，主要原因是本年度采购应急保障公务用车1辆。</w:t>
      </w:r>
    </w:p>
    <w:p>
      <w:pPr>
        <w:pStyle w:val="6"/>
        <w:snapToGrid w:val="0"/>
        <w:spacing w:before="0" w:beforeAutospacing="0" w:after="0" w:afterAutospacing="0" w:line="600" w:lineRule="exact"/>
        <w:ind w:firstLine="600" w:firstLineChars="200"/>
        <w:jc w:val="both"/>
        <w:rPr>
          <w:rFonts w:hint="default" w:ascii="仿宋" w:hAnsi="仿宋" w:eastAsia="仿宋" w:cs="仿宋"/>
          <w:sz w:val="30"/>
          <w:szCs w:val="30"/>
        </w:rPr>
      </w:pPr>
      <w:r>
        <w:rPr>
          <w:rFonts w:ascii="仿宋" w:hAnsi="仿宋" w:eastAsia="仿宋" w:cs="仿宋"/>
          <w:sz w:val="30"/>
          <w:szCs w:val="30"/>
        </w:rPr>
        <w:t> 公务车运行维护费3.54万元，主要用于机要文件交换、市内因公出行等工作所需车辆的燃料费、过桥过路费、停车费、洗车费等。费用支出较年初预算数增加1.54万元，增长77.00%，较上年支出数增加0.38万元，增长12.03%，主要原因是根据实际工作情况需要，公务用车次数增加，运行成本提高。</w:t>
      </w:r>
    </w:p>
    <w:p>
      <w:pPr>
        <w:pStyle w:val="6"/>
        <w:snapToGrid w:val="0"/>
        <w:spacing w:before="0" w:beforeAutospacing="0" w:after="0" w:afterAutospacing="0" w:line="600" w:lineRule="exact"/>
        <w:ind w:firstLine="600" w:firstLineChars="200"/>
        <w:jc w:val="both"/>
        <w:rPr>
          <w:rFonts w:hint="default" w:ascii="仿宋" w:hAnsi="仿宋" w:eastAsia="仿宋" w:cs="仿宋"/>
          <w:sz w:val="30"/>
          <w:szCs w:val="30"/>
        </w:rPr>
      </w:pPr>
      <w:r>
        <w:rPr>
          <w:rFonts w:ascii="仿宋" w:hAnsi="仿宋" w:eastAsia="仿宋" w:cs="仿宋"/>
          <w:sz w:val="30"/>
          <w:szCs w:val="30"/>
        </w:rPr>
        <w:t> 公务接待费0.86万元，主要用于本单位开展劳动能力鉴定工作发生的接待支出。费用支出较年初预算数减少0.14万元，下降14.00%，较上年支出数增加0.44万元，增长104.76%，主要原因是强化公务接待支出管理，严格遵守公务接待开支范围和开支标准，严格控制陪餐人数。</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仿宋" w:hAnsi="仿宋" w:eastAsia="仿宋" w:cs="仿宋"/>
          <w:sz w:val="30"/>
          <w:szCs w:val="30"/>
        </w:rPr>
      </w:pPr>
      <w:r>
        <w:rPr>
          <w:rFonts w:ascii="方正仿宋_GBK" w:hAnsi="方正仿宋_GBK" w:eastAsia="方正仿宋_GBK" w:cs="方正仿宋_GBK"/>
          <w:sz w:val="32"/>
          <w:szCs w:val="32"/>
          <w:shd w:val="clear" w:color="auto" w:fill="FFFFFF"/>
        </w:rPr>
        <w:t> </w:t>
      </w:r>
      <w:r>
        <w:rPr>
          <w:rFonts w:ascii="仿宋" w:hAnsi="仿宋" w:eastAsia="仿宋" w:cs="仿宋"/>
          <w:sz w:val="30"/>
          <w:szCs w:val="30"/>
        </w:rPr>
        <w:t>2023年度本单位因公出国（境）共计0个团组，0人；公务用车购置1辆，公务车保有量为1辆；国内公务接待9批次168人，其中：国内外事接待0批次，0人；国（境）外公务接待0批次，0人。2023年本单位人均接待费50.91元，车均购置费24.98万元，车均维护费3.54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（一）财政拨款会议费和培训费情况说明</w:t>
      </w:r>
    </w:p>
    <w:p>
      <w:pPr>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本年度会议费支出0.26万元，较上年决算数增加0.26万元，增长100.00%，主要原因是本年度线下会议增加，上年度因疫情防控需要，未组织召开大中型会议。本年度培训费支出6.42万元，较上年决算数增加6.41万元，增长64100.00%，主要原因是本年度培训次数增加，上年度因疫情防控需要极少开展线下培训。</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2023年度本单位机关运行经费支出141.86万元，机关运行经费主要用于开支办公费、邮电费、差旅费、会议费、培训费、劳务费、其他交通费用、其他商品和服务支出等。机关运行经费较上年支出数减少61.49万元，下降30.24%，主要原因是厉行节约原则，压缩公用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spacing w:line="360" w:lineRule="auto"/>
        <w:ind w:firstLine="640" w:firstLineChars="200"/>
        <w:rPr>
          <w:rFonts w:hint="default" w:ascii="仿宋" w:hAnsi="仿宋" w:eastAsia="仿宋" w:cs="仿宋"/>
          <w:sz w:val="30"/>
          <w:szCs w:val="30"/>
        </w:rPr>
      </w:pPr>
      <w:r>
        <w:rPr>
          <w:rFonts w:ascii="方正仿宋_GBK" w:hAnsi="方正仿宋_GBK" w:eastAsia="方正仿宋_GBK" w:cs="方正仿宋_GBK"/>
          <w:sz w:val="32"/>
          <w:szCs w:val="32"/>
          <w:shd w:val="clear" w:color="auto" w:fill="FFFFFF"/>
        </w:rPr>
        <w:t> </w:t>
      </w:r>
      <w:r>
        <w:rPr>
          <w:rFonts w:ascii="仿宋" w:hAnsi="仿宋" w:eastAsia="仿宋" w:cs="仿宋"/>
          <w:sz w:val="30"/>
          <w:szCs w:val="30"/>
        </w:rPr>
        <w:t>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spacing w:line="360" w:lineRule="auto"/>
        <w:ind w:firstLine="640" w:firstLineChars="200"/>
        <w:rPr>
          <w:rFonts w:hint="default" w:ascii="仿宋" w:hAnsi="仿宋" w:eastAsia="仿宋" w:cs="仿宋"/>
          <w:sz w:val="30"/>
          <w:szCs w:val="30"/>
        </w:rPr>
      </w:pPr>
      <w:r>
        <w:rPr>
          <w:rFonts w:ascii="方正仿宋_GBK" w:hAnsi="方正仿宋_GBK" w:eastAsia="方正仿宋_GBK" w:cs="方正仿宋_GBK"/>
          <w:sz w:val="32"/>
          <w:szCs w:val="32"/>
          <w:shd w:val="clear" w:color="auto" w:fill="FFFFFF"/>
        </w:rPr>
        <w:t xml:space="preserve"> </w:t>
      </w:r>
      <w:r>
        <w:rPr>
          <w:rFonts w:ascii="仿宋" w:hAnsi="仿宋" w:eastAsia="仿宋" w:cs="仿宋"/>
          <w:sz w:val="30"/>
          <w:szCs w:val="30"/>
        </w:rPr>
        <w:t>根据预算绩效管理要求，我单位对21个项目开展了绩效自评。</w:t>
      </w:r>
    </w:p>
    <w:p>
      <w:pPr>
        <w:pStyle w:val="12"/>
        <w:spacing w:before="0" w:beforeAutospacing="0" w:after="0" w:afterAutospacing="0"/>
        <w:ind w:firstLine="56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1.项目支出绩效自评汇总表</w:t>
      </w:r>
    </w:p>
    <w:tbl>
      <w:tblPr>
        <w:tblStyle w:val="7"/>
        <w:tblW w:w="9525" w:type="dxa"/>
        <w:tblInd w:w="93" w:type="dxa"/>
        <w:tblLayout w:type="autofit"/>
        <w:tblCellMar>
          <w:top w:w="0" w:type="dxa"/>
          <w:left w:w="108" w:type="dxa"/>
          <w:bottom w:w="0" w:type="dxa"/>
          <w:right w:w="108" w:type="dxa"/>
        </w:tblCellMar>
      </w:tblPr>
      <w:tblGrid>
        <w:gridCol w:w="580"/>
        <w:gridCol w:w="5672"/>
        <w:gridCol w:w="1701"/>
        <w:gridCol w:w="1572"/>
      </w:tblGrid>
      <w:tr>
        <w:tblPrEx>
          <w:tblCellMar>
            <w:top w:w="0" w:type="dxa"/>
            <w:left w:w="108" w:type="dxa"/>
            <w:bottom w:w="0" w:type="dxa"/>
            <w:right w:w="108" w:type="dxa"/>
          </w:tblCellMar>
        </w:tblPrEx>
        <w:trPr>
          <w:gridAfter w:val="1"/>
          <w:wAfter w:w="1572" w:type="dxa"/>
          <w:trHeight w:val="345" w:hRule="atLeast"/>
        </w:trPr>
        <w:tc>
          <w:tcPr>
            <w:tcW w:w="7953" w:type="dxa"/>
            <w:gridSpan w:val="3"/>
            <w:tcBorders>
              <w:top w:val="nil"/>
              <w:left w:val="nil"/>
              <w:bottom w:val="single" w:color="auto" w:sz="4" w:space="0"/>
              <w:right w:val="nil"/>
            </w:tcBorders>
            <w:shd w:val="clear" w:color="auto" w:fill="auto"/>
            <w:vAlign w:val="center"/>
          </w:tcPr>
          <w:p>
            <w:pPr>
              <w:jc w:val="center"/>
              <w:rPr>
                <w:rFonts w:hint="default" w:ascii="方正仿宋_GBK" w:eastAsia="方正仿宋_GBK" w:cs="宋体"/>
                <w:b/>
                <w:color w:val="000000"/>
                <w:sz w:val="15"/>
                <w:szCs w:val="15"/>
              </w:rPr>
            </w:pPr>
          </w:p>
        </w:tc>
      </w:tr>
      <w:tr>
        <w:tblPrEx>
          <w:tblCellMar>
            <w:top w:w="0" w:type="dxa"/>
            <w:left w:w="108" w:type="dxa"/>
            <w:bottom w:w="0" w:type="dxa"/>
            <w:right w:w="108" w:type="dxa"/>
          </w:tblCellMar>
        </w:tblPrEx>
        <w:trPr>
          <w:gridAfter w:val="1"/>
          <w:wAfter w:w="1572" w:type="dxa"/>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序号</w:t>
            </w:r>
          </w:p>
        </w:tc>
        <w:tc>
          <w:tcPr>
            <w:tcW w:w="5672"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项目名称</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b/>
                <w:color w:val="000000"/>
                <w:sz w:val="15"/>
                <w:szCs w:val="15"/>
              </w:rPr>
            </w:pPr>
            <w:r>
              <w:rPr>
                <w:rFonts w:ascii="方正仿宋_GBK" w:eastAsia="方正仿宋_GBK" w:cs="宋体"/>
                <w:b/>
                <w:color w:val="000000"/>
                <w:sz w:val="15"/>
                <w:szCs w:val="15"/>
              </w:rPr>
              <w:t>自评得分</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w:t>
            </w:r>
          </w:p>
        </w:tc>
        <w:tc>
          <w:tcPr>
            <w:tcW w:w="5672" w:type="dxa"/>
            <w:tcBorders>
              <w:top w:val="nil"/>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原农税助征员医疗补助</w:t>
            </w:r>
          </w:p>
        </w:tc>
        <w:tc>
          <w:tcPr>
            <w:tcW w:w="1701" w:type="dxa"/>
            <w:tcBorders>
              <w:top w:val="nil"/>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2</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差异化运转项目</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3</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购买服务费用</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4</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企业退休化社会管理工作补助费用</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5</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国有企业职教幼教退休教师生活补助</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6</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建国初期参加革命工作退休人员生活补助费</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7</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社保大厅运行维护及花卉租赁费用</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8</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养老个人账户信息公示核对工作费用</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9</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审计稽核及生存状况调查工作费用</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关破企业离休干部和建国前老工人生活补助费</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11</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涪陵区特困、破产企业“三类”人员生活补助费</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12</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撤停企业和落实政策退休遗留人员政策补助费</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13</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网络运行工作费用</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14</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金融机构代发企业养老金手续费</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15</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企业退休人员社会化管理服务及非统筹代发工作费用</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16</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离岗乡村医生养老保险、医疗保险补助费</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17</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企业、征地、超龄及未参保集体企业等退休人员春节慰问费</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18</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民办教师和放映员养老保险、医疗保险补助费</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19</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未参保集体企业退休人员养老补助费</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20</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老工伤人员医疗及辅助器具配置（更换）费用</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21</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textAlignment w:val="center"/>
              <w:rPr>
                <w:rFonts w:hint="default" w:cs="宋体"/>
                <w:sz w:val="22"/>
                <w:szCs w:val="22"/>
              </w:rPr>
            </w:pPr>
            <w:r>
              <w:rPr>
                <w:rFonts w:cs="宋体"/>
                <w:sz w:val="22"/>
                <w:szCs w:val="22"/>
              </w:rPr>
              <w:t>军转干部生活补助费、医疗补助费</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textAlignment w:val="center"/>
              <w:rPr>
                <w:rFonts w:hint="default" w:ascii="方正仿宋_GBK" w:hAnsi="方正仿宋_GBK" w:eastAsia="方正仿宋_GBK" w:cs="方正仿宋_GBK"/>
                <w:b/>
                <w:sz w:val="15"/>
                <w:szCs w:val="15"/>
              </w:rPr>
            </w:pPr>
            <w:r>
              <w:rPr>
                <w:rFonts w:hint="default" w:ascii="方正仿宋_GBK" w:hAnsi="方正仿宋_GBK" w:eastAsia="方正仿宋_GBK" w:cs="方正仿宋_GBK"/>
                <w:b/>
                <w:sz w:val="15"/>
                <w:szCs w:val="15"/>
              </w:rPr>
              <w:t>100</w:t>
            </w:r>
          </w:p>
        </w:tc>
        <w:tc>
          <w:tcPr>
            <w:tcW w:w="1572" w:type="dxa"/>
            <w:vAlign w:val="center"/>
          </w:tcPr>
          <w:p>
            <w:pPr>
              <w:jc w:val="center"/>
              <w:textAlignment w:val="center"/>
              <w:rPr>
                <w:rFonts w:hint="default" w:ascii="方正仿宋_GBK" w:hAnsi="方正仿宋_GBK" w:eastAsia="方正仿宋_GBK" w:cs="方正仿宋_GBK"/>
                <w:b/>
                <w:sz w:val="15"/>
                <w:szCs w:val="15"/>
              </w:rPr>
            </w:pPr>
          </w:p>
        </w:tc>
      </w:tr>
    </w:tbl>
    <w:p>
      <w:pPr>
        <w:pStyle w:val="12"/>
        <w:spacing w:before="0" w:beforeAutospacing="0" w:after="0" w:afterAutospacing="0"/>
        <w:ind w:firstLine="560"/>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2.项目支出绩效自评表</w:t>
      </w:r>
    </w:p>
    <w:tbl>
      <w:tblPr>
        <w:tblStyle w:val="7"/>
        <w:tblW w:w="8852" w:type="dxa"/>
        <w:tblInd w:w="92" w:type="dxa"/>
        <w:tblLayout w:type="autofit"/>
        <w:tblCellMar>
          <w:top w:w="0" w:type="dxa"/>
          <w:left w:w="108" w:type="dxa"/>
          <w:bottom w:w="0" w:type="dxa"/>
          <w:right w:w="108" w:type="dxa"/>
        </w:tblCellMar>
      </w:tblPr>
      <w:tblGrid>
        <w:gridCol w:w="2773"/>
        <w:gridCol w:w="1258"/>
        <w:gridCol w:w="88"/>
        <w:gridCol w:w="623"/>
        <w:gridCol w:w="486"/>
        <w:gridCol w:w="486"/>
        <w:gridCol w:w="260"/>
        <w:gridCol w:w="105"/>
        <w:gridCol w:w="337"/>
        <w:gridCol w:w="275"/>
        <w:gridCol w:w="426"/>
        <w:gridCol w:w="284"/>
        <w:gridCol w:w="202"/>
        <w:gridCol w:w="416"/>
        <w:gridCol w:w="416"/>
        <w:gridCol w:w="417"/>
      </w:tblGrid>
      <w:tr>
        <w:tblPrEx>
          <w:tblCellMar>
            <w:top w:w="0" w:type="dxa"/>
            <w:left w:w="108" w:type="dxa"/>
            <w:bottom w:w="0" w:type="dxa"/>
            <w:right w:w="108" w:type="dxa"/>
          </w:tblCellMar>
        </w:tblPrEx>
        <w:trPr>
          <w:trHeight w:val="548" w:hRule="atLeast"/>
        </w:trPr>
        <w:tc>
          <w:tcPr>
            <w:tcW w:w="41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项目名称：</w:t>
            </w:r>
          </w:p>
        </w:tc>
        <w:tc>
          <w:tcPr>
            <w:tcW w:w="111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color w:val="000000"/>
                <w:sz w:val="18"/>
                <w:szCs w:val="18"/>
              </w:rPr>
            </w:pPr>
            <w:r>
              <w:rPr>
                <w:rFonts w:cs="宋体"/>
                <w:color w:val="000000"/>
                <w:sz w:val="18"/>
                <w:szCs w:val="18"/>
              </w:rPr>
              <w:t>军转干部生活补助费、医疗补助费</w:t>
            </w:r>
          </w:p>
        </w:tc>
        <w:tc>
          <w:tcPr>
            <w:tcW w:w="78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执行率得分：</w:t>
            </w:r>
          </w:p>
        </w:tc>
        <w:tc>
          <w:tcPr>
            <w:tcW w:w="613"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default" w:cs="宋体"/>
                <w:b/>
                <w:bCs/>
                <w:color w:val="000000"/>
                <w:sz w:val="18"/>
                <w:szCs w:val="18"/>
              </w:rPr>
            </w:pPr>
            <w:r>
              <w:rPr>
                <w:rFonts w:cs="宋体"/>
                <w:b/>
                <w:bCs/>
                <w:color w:val="000000"/>
                <w:sz w:val="18"/>
                <w:szCs w:val="18"/>
              </w:rPr>
              <w:t>10　</w:t>
            </w:r>
          </w:p>
        </w:tc>
        <w:tc>
          <w:tcPr>
            <w:tcW w:w="71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自评总分：</w:t>
            </w:r>
          </w:p>
        </w:tc>
        <w:tc>
          <w:tcPr>
            <w:tcW w:w="1453" w:type="dxa"/>
            <w:gridSpan w:val="4"/>
            <w:tcBorders>
              <w:top w:val="single" w:color="auto" w:sz="4" w:space="0"/>
              <w:left w:val="nil"/>
              <w:bottom w:val="single" w:color="auto" w:sz="4" w:space="0"/>
              <w:right w:val="single" w:color="auto" w:sz="4" w:space="0"/>
            </w:tcBorders>
            <w:shd w:val="clear" w:color="auto" w:fill="auto"/>
            <w:vAlign w:val="center"/>
          </w:tcPr>
          <w:p>
            <w:pPr>
              <w:rPr>
                <w:rFonts w:hint="default" w:cs="宋体"/>
                <w:b/>
                <w:bCs/>
                <w:color w:val="000000"/>
                <w:sz w:val="18"/>
                <w:szCs w:val="18"/>
              </w:rPr>
            </w:pPr>
            <w:r>
              <w:rPr>
                <w:rFonts w:cs="宋体"/>
                <w:b/>
                <w:bCs/>
                <w:color w:val="000000"/>
                <w:sz w:val="18"/>
                <w:szCs w:val="18"/>
              </w:rPr>
              <w:t>　100</w:t>
            </w:r>
          </w:p>
        </w:tc>
      </w:tr>
      <w:tr>
        <w:tblPrEx>
          <w:tblCellMar>
            <w:top w:w="0" w:type="dxa"/>
            <w:left w:w="108" w:type="dxa"/>
            <w:bottom w:w="0" w:type="dxa"/>
            <w:right w:w="108" w:type="dxa"/>
          </w:tblCellMar>
        </w:tblPrEx>
        <w:trPr>
          <w:trHeight w:val="442" w:hRule="atLeast"/>
        </w:trPr>
        <w:tc>
          <w:tcPr>
            <w:tcW w:w="8852"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sz w:val="18"/>
                <w:szCs w:val="18"/>
              </w:rPr>
            </w:pPr>
            <w:r>
              <w:rPr>
                <w:rFonts w:ascii="微软雅黑" w:hAnsi="微软雅黑" w:eastAsia="微软雅黑" w:cs="宋体"/>
                <w:b/>
                <w:bCs/>
                <w:sz w:val="18"/>
                <w:szCs w:val="18"/>
              </w:rPr>
              <w:t>绩效目标</w:t>
            </w:r>
          </w:p>
        </w:tc>
      </w:tr>
      <w:tr>
        <w:tblPrEx>
          <w:tblCellMar>
            <w:top w:w="0" w:type="dxa"/>
            <w:left w:w="108" w:type="dxa"/>
            <w:bottom w:w="0" w:type="dxa"/>
            <w:right w:w="108" w:type="dxa"/>
          </w:tblCellMar>
        </w:tblPrEx>
        <w:trPr>
          <w:trHeight w:val="442" w:hRule="atLeast"/>
        </w:trPr>
        <w:tc>
          <w:tcPr>
            <w:tcW w:w="28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sz w:val="18"/>
                <w:szCs w:val="18"/>
              </w:rPr>
            </w:pPr>
            <w:r>
              <w:rPr>
                <w:rFonts w:cs="宋体"/>
                <w:b/>
                <w:bCs/>
                <w:sz w:val="18"/>
                <w:szCs w:val="18"/>
              </w:rPr>
              <w:t>年初绩效目标</w:t>
            </w:r>
          </w:p>
        </w:tc>
        <w:tc>
          <w:tcPr>
            <w:tcW w:w="3149"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sz w:val="18"/>
                <w:szCs w:val="18"/>
              </w:rPr>
            </w:pPr>
            <w:r>
              <w:rPr>
                <w:rFonts w:cs="宋体"/>
                <w:b/>
                <w:bCs/>
                <w:sz w:val="18"/>
                <w:szCs w:val="18"/>
              </w:rPr>
              <w:t>全年（调整）绩效目标</w:t>
            </w:r>
          </w:p>
        </w:tc>
        <w:tc>
          <w:tcPr>
            <w:tcW w:w="2881" w:type="dxa"/>
            <w:gridSpan w:val="9"/>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sz w:val="18"/>
                <w:szCs w:val="18"/>
              </w:rPr>
            </w:pPr>
            <w:r>
              <w:rPr>
                <w:rFonts w:cs="宋体"/>
                <w:b/>
                <w:bCs/>
                <w:sz w:val="18"/>
                <w:szCs w:val="18"/>
              </w:rPr>
              <w:t>全年目标实际完成情况</w:t>
            </w:r>
          </w:p>
        </w:tc>
      </w:tr>
      <w:tr>
        <w:tblPrEx>
          <w:tblCellMar>
            <w:top w:w="0" w:type="dxa"/>
            <w:left w:w="108" w:type="dxa"/>
            <w:bottom w:w="0" w:type="dxa"/>
            <w:right w:w="108" w:type="dxa"/>
          </w:tblCellMar>
        </w:tblPrEx>
        <w:trPr>
          <w:trHeight w:val="990" w:hRule="atLeast"/>
        </w:trPr>
        <w:tc>
          <w:tcPr>
            <w:tcW w:w="2822" w:type="dxa"/>
            <w:tcBorders>
              <w:top w:val="single" w:color="auto" w:sz="4" w:space="0"/>
              <w:left w:val="single" w:color="auto" w:sz="4" w:space="0"/>
              <w:bottom w:val="single" w:color="auto" w:sz="4" w:space="0"/>
              <w:right w:val="single" w:color="auto" w:sz="4" w:space="0"/>
            </w:tcBorders>
            <w:shd w:val="clear" w:color="auto" w:fill="auto"/>
          </w:tcPr>
          <w:p>
            <w:pPr>
              <w:rPr>
                <w:rFonts w:hint="default" w:cs="宋体"/>
                <w:sz w:val="18"/>
                <w:szCs w:val="18"/>
              </w:rPr>
            </w:pPr>
            <w:r>
              <w:rPr>
                <w:rFonts w:cs="宋体"/>
                <w:color w:val="000000"/>
                <w:sz w:val="18"/>
                <w:szCs w:val="18"/>
              </w:rPr>
              <w:t>为全区企业退休军转干部提供生活和医疗保障，维护社会稳定。</w:t>
            </w:r>
          </w:p>
        </w:tc>
        <w:tc>
          <w:tcPr>
            <w:tcW w:w="3149" w:type="dxa"/>
            <w:gridSpan w:val="6"/>
            <w:tcBorders>
              <w:top w:val="single" w:color="auto" w:sz="4" w:space="0"/>
              <w:left w:val="nil"/>
              <w:bottom w:val="single" w:color="auto" w:sz="4" w:space="0"/>
              <w:right w:val="single" w:color="auto" w:sz="4" w:space="0"/>
            </w:tcBorders>
            <w:shd w:val="clear" w:color="auto" w:fill="auto"/>
          </w:tcPr>
          <w:p>
            <w:pPr>
              <w:rPr>
                <w:rFonts w:hint="default" w:cs="宋体"/>
                <w:sz w:val="18"/>
                <w:szCs w:val="18"/>
              </w:rPr>
            </w:pPr>
            <w:r>
              <w:rPr>
                <w:rFonts w:cs="宋体"/>
                <w:sz w:val="18"/>
                <w:szCs w:val="18"/>
              </w:rPr>
              <w:t>　</w:t>
            </w:r>
          </w:p>
        </w:tc>
        <w:tc>
          <w:tcPr>
            <w:tcW w:w="2881" w:type="dxa"/>
            <w:gridSpan w:val="9"/>
            <w:tcBorders>
              <w:top w:val="single" w:color="auto" w:sz="4" w:space="0"/>
              <w:left w:val="nil"/>
              <w:bottom w:val="single" w:color="auto" w:sz="4" w:space="0"/>
              <w:right w:val="single" w:color="auto" w:sz="4" w:space="0"/>
            </w:tcBorders>
            <w:shd w:val="clear" w:color="auto" w:fill="auto"/>
          </w:tcPr>
          <w:p>
            <w:pPr>
              <w:rPr>
                <w:rFonts w:hint="default" w:cs="宋体"/>
                <w:sz w:val="18"/>
                <w:szCs w:val="18"/>
              </w:rPr>
            </w:pPr>
            <w:r>
              <w:rPr>
                <w:rFonts w:cs="宋体"/>
                <w:color w:val="000000"/>
                <w:sz w:val="18"/>
                <w:szCs w:val="18"/>
              </w:rPr>
              <w:t>全年受益人数367人，发放覆盖范围达100%，发放准确率达100%，发放完成及时率达100%，服务对象满意度达100%。</w:t>
            </w:r>
          </w:p>
        </w:tc>
      </w:tr>
      <w:tr>
        <w:tblPrEx>
          <w:tblCellMar>
            <w:top w:w="0" w:type="dxa"/>
            <w:left w:w="108" w:type="dxa"/>
            <w:bottom w:w="0" w:type="dxa"/>
            <w:right w:w="108" w:type="dxa"/>
          </w:tblCellMar>
        </w:tblPrEx>
        <w:trPr>
          <w:trHeight w:val="442" w:hRule="atLeast"/>
        </w:trPr>
        <w:tc>
          <w:tcPr>
            <w:tcW w:w="8852"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sz w:val="18"/>
                <w:szCs w:val="18"/>
              </w:rPr>
            </w:pPr>
            <w:r>
              <w:rPr>
                <w:rFonts w:ascii="微软雅黑" w:hAnsi="微软雅黑" w:eastAsia="微软雅黑" w:cs="宋体"/>
                <w:b/>
                <w:bCs/>
                <w:sz w:val="18"/>
                <w:szCs w:val="18"/>
              </w:rPr>
              <w:t>绩效指标</w:t>
            </w:r>
          </w:p>
        </w:tc>
      </w:tr>
      <w:tr>
        <w:tblPrEx>
          <w:tblCellMar>
            <w:top w:w="0" w:type="dxa"/>
            <w:left w:w="108" w:type="dxa"/>
            <w:bottom w:w="0" w:type="dxa"/>
            <w:right w:w="108" w:type="dxa"/>
          </w:tblCellMar>
        </w:tblPrEx>
        <w:trPr>
          <w:trHeight w:val="1096" w:hRule="atLeast"/>
        </w:trPr>
        <w:tc>
          <w:tcPr>
            <w:tcW w:w="2822"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指标名称</w:t>
            </w:r>
          </w:p>
        </w:tc>
        <w:tc>
          <w:tcPr>
            <w:tcW w:w="1269"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计量单位</w:t>
            </w:r>
          </w:p>
        </w:tc>
        <w:tc>
          <w:tcPr>
            <w:tcW w:w="718"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指标性质</w:t>
            </w:r>
          </w:p>
        </w:tc>
        <w:tc>
          <w:tcPr>
            <w:tcW w:w="486"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指标值</w:t>
            </w:r>
          </w:p>
        </w:tc>
        <w:tc>
          <w:tcPr>
            <w:tcW w:w="416"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全年完成值</w:t>
            </w:r>
          </w:p>
        </w:tc>
        <w:tc>
          <w:tcPr>
            <w:tcW w:w="702" w:type="dxa"/>
            <w:gridSpan w:val="3"/>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偏离度（%）</w:t>
            </w:r>
          </w:p>
        </w:tc>
        <w:tc>
          <w:tcPr>
            <w:tcW w:w="702"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得分系数（%）</w:t>
            </w:r>
          </w:p>
        </w:tc>
        <w:tc>
          <w:tcPr>
            <w:tcW w:w="488"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指标权重</w:t>
            </w:r>
          </w:p>
        </w:tc>
        <w:tc>
          <w:tcPr>
            <w:tcW w:w="416"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指标得分</w:t>
            </w:r>
          </w:p>
        </w:tc>
        <w:tc>
          <w:tcPr>
            <w:tcW w:w="416"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是否核心指标</w:t>
            </w:r>
          </w:p>
        </w:tc>
        <w:tc>
          <w:tcPr>
            <w:tcW w:w="417"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8"/>
                <w:szCs w:val="18"/>
              </w:rPr>
            </w:pPr>
            <w:r>
              <w:rPr>
                <w:rFonts w:cs="宋体"/>
                <w:b/>
                <w:bCs/>
                <w:color w:val="000000"/>
                <w:sz w:val="18"/>
                <w:szCs w:val="18"/>
              </w:rPr>
              <w:t>说明</w:t>
            </w:r>
          </w:p>
        </w:tc>
      </w:tr>
      <w:tr>
        <w:tblPrEx>
          <w:tblCellMar>
            <w:top w:w="0" w:type="dxa"/>
            <w:left w:w="108" w:type="dxa"/>
            <w:bottom w:w="0" w:type="dxa"/>
            <w:right w:w="108" w:type="dxa"/>
          </w:tblCellMar>
        </w:tblPrEx>
        <w:trPr>
          <w:trHeight w:val="442" w:hRule="atLeast"/>
        </w:trPr>
        <w:tc>
          <w:tcPr>
            <w:tcW w:w="2822" w:type="dxa"/>
            <w:tcBorders>
              <w:top w:val="nil"/>
              <w:left w:val="single" w:color="auto" w:sz="4" w:space="0"/>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发放覆盖范围</w:t>
            </w:r>
          </w:p>
        </w:tc>
        <w:tc>
          <w:tcPr>
            <w:tcW w:w="1269" w:type="dxa"/>
            <w:tcBorders>
              <w:top w:val="nil"/>
              <w:left w:val="nil"/>
              <w:bottom w:val="single" w:color="auto" w:sz="4" w:space="0"/>
              <w:right w:val="single" w:color="auto" w:sz="4" w:space="0"/>
            </w:tcBorders>
            <w:shd w:val="clear" w:color="auto" w:fill="auto"/>
            <w:vAlign w:val="center"/>
          </w:tcPr>
          <w:p>
            <w:pPr>
              <w:ind w:firstLine="360" w:firstLineChars="150"/>
              <w:rPr>
                <w:rFonts w:hint="default" w:cs="宋体"/>
                <w:color w:val="000000"/>
                <w:sz w:val="18"/>
                <w:szCs w:val="18"/>
              </w:rPr>
            </w:pPr>
            <w:r>
              <w:t>%</w:t>
            </w:r>
          </w:p>
        </w:tc>
        <w:tc>
          <w:tcPr>
            <w:tcW w:w="718" w:type="dxa"/>
            <w:gridSpan w:val="2"/>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w:t>
            </w:r>
          </w:p>
        </w:tc>
        <w:tc>
          <w:tcPr>
            <w:tcW w:w="48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　</w:t>
            </w:r>
          </w:p>
        </w:tc>
        <w:tc>
          <w:tcPr>
            <w:tcW w:w="41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　</w:t>
            </w:r>
          </w:p>
        </w:tc>
        <w:tc>
          <w:tcPr>
            <w:tcW w:w="702" w:type="dxa"/>
            <w:gridSpan w:val="3"/>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0.00　</w:t>
            </w:r>
          </w:p>
        </w:tc>
        <w:tc>
          <w:tcPr>
            <w:tcW w:w="702"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　</w:t>
            </w:r>
          </w:p>
        </w:tc>
        <w:tc>
          <w:tcPr>
            <w:tcW w:w="488"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20　</w:t>
            </w:r>
          </w:p>
        </w:tc>
        <w:tc>
          <w:tcPr>
            <w:tcW w:w="41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20　</w:t>
            </w:r>
          </w:p>
        </w:tc>
        <w:tc>
          <w:tcPr>
            <w:tcW w:w="416"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否</w:t>
            </w:r>
          </w:p>
        </w:tc>
        <w:tc>
          <w:tcPr>
            <w:tcW w:w="417"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w:t>
            </w:r>
          </w:p>
        </w:tc>
      </w:tr>
      <w:tr>
        <w:tblPrEx>
          <w:tblCellMar>
            <w:top w:w="0" w:type="dxa"/>
            <w:left w:w="108" w:type="dxa"/>
            <w:bottom w:w="0" w:type="dxa"/>
            <w:right w:w="108" w:type="dxa"/>
          </w:tblCellMar>
        </w:tblPrEx>
        <w:trPr>
          <w:trHeight w:val="442" w:hRule="atLeast"/>
        </w:trPr>
        <w:tc>
          <w:tcPr>
            <w:tcW w:w="2822" w:type="dxa"/>
            <w:tcBorders>
              <w:top w:val="nil"/>
              <w:left w:val="single" w:color="auto" w:sz="4" w:space="0"/>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军转干人员补助发放准确率</w:t>
            </w:r>
          </w:p>
        </w:tc>
        <w:tc>
          <w:tcPr>
            <w:tcW w:w="1269" w:type="dxa"/>
            <w:tcBorders>
              <w:top w:val="nil"/>
              <w:left w:val="nil"/>
              <w:bottom w:val="single" w:color="auto" w:sz="4" w:space="0"/>
              <w:right w:val="single" w:color="auto" w:sz="4" w:space="0"/>
            </w:tcBorders>
            <w:shd w:val="clear" w:color="auto" w:fill="auto"/>
            <w:vAlign w:val="center"/>
          </w:tcPr>
          <w:p>
            <w:pPr>
              <w:ind w:firstLine="360" w:firstLineChars="150"/>
              <w:rPr>
                <w:rFonts w:hint="default" w:cs="宋体"/>
                <w:color w:val="000000"/>
                <w:sz w:val="18"/>
                <w:szCs w:val="18"/>
              </w:rPr>
            </w:pPr>
            <w:r>
              <w:t>%</w:t>
            </w:r>
          </w:p>
        </w:tc>
        <w:tc>
          <w:tcPr>
            <w:tcW w:w="718" w:type="dxa"/>
            <w:gridSpan w:val="2"/>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w:t>
            </w:r>
          </w:p>
        </w:tc>
        <w:tc>
          <w:tcPr>
            <w:tcW w:w="48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w:t>
            </w:r>
          </w:p>
        </w:tc>
        <w:tc>
          <w:tcPr>
            <w:tcW w:w="41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w:t>
            </w:r>
          </w:p>
        </w:tc>
        <w:tc>
          <w:tcPr>
            <w:tcW w:w="702" w:type="dxa"/>
            <w:gridSpan w:val="3"/>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0.00</w:t>
            </w:r>
          </w:p>
        </w:tc>
        <w:tc>
          <w:tcPr>
            <w:tcW w:w="702"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w:t>
            </w:r>
          </w:p>
        </w:tc>
        <w:tc>
          <w:tcPr>
            <w:tcW w:w="488"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20</w:t>
            </w:r>
          </w:p>
        </w:tc>
        <w:tc>
          <w:tcPr>
            <w:tcW w:w="41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20</w:t>
            </w:r>
          </w:p>
        </w:tc>
        <w:tc>
          <w:tcPr>
            <w:tcW w:w="416"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否</w:t>
            </w:r>
          </w:p>
        </w:tc>
        <w:tc>
          <w:tcPr>
            <w:tcW w:w="417"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442" w:hRule="atLeast"/>
        </w:trPr>
        <w:tc>
          <w:tcPr>
            <w:tcW w:w="2822" w:type="dxa"/>
            <w:tcBorders>
              <w:top w:val="nil"/>
              <w:left w:val="single" w:color="auto" w:sz="4" w:space="0"/>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军转干人员补助发放完成及时率</w:t>
            </w:r>
          </w:p>
        </w:tc>
        <w:tc>
          <w:tcPr>
            <w:tcW w:w="1269" w:type="dxa"/>
            <w:tcBorders>
              <w:top w:val="nil"/>
              <w:left w:val="nil"/>
              <w:bottom w:val="single" w:color="auto" w:sz="4" w:space="0"/>
              <w:right w:val="single" w:color="auto" w:sz="4" w:space="0"/>
            </w:tcBorders>
            <w:shd w:val="clear" w:color="auto" w:fill="auto"/>
            <w:vAlign w:val="center"/>
          </w:tcPr>
          <w:p>
            <w:pPr>
              <w:ind w:firstLine="360" w:firstLineChars="150"/>
              <w:rPr>
                <w:rFonts w:hint="default" w:cs="宋体"/>
                <w:color w:val="000000"/>
                <w:sz w:val="18"/>
                <w:szCs w:val="18"/>
              </w:rPr>
            </w:pPr>
            <w:r>
              <w:t>%</w:t>
            </w:r>
          </w:p>
        </w:tc>
        <w:tc>
          <w:tcPr>
            <w:tcW w:w="718" w:type="dxa"/>
            <w:gridSpan w:val="2"/>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w:t>
            </w:r>
          </w:p>
        </w:tc>
        <w:tc>
          <w:tcPr>
            <w:tcW w:w="48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w:t>
            </w:r>
          </w:p>
        </w:tc>
        <w:tc>
          <w:tcPr>
            <w:tcW w:w="41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w:t>
            </w:r>
          </w:p>
        </w:tc>
        <w:tc>
          <w:tcPr>
            <w:tcW w:w="702" w:type="dxa"/>
            <w:gridSpan w:val="3"/>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0.00</w:t>
            </w:r>
          </w:p>
        </w:tc>
        <w:tc>
          <w:tcPr>
            <w:tcW w:w="702"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w:t>
            </w:r>
          </w:p>
        </w:tc>
        <w:tc>
          <w:tcPr>
            <w:tcW w:w="488"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20</w:t>
            </w:r>
          </w:p>
        </w:tc>
        <w:tc>
          <w:tcPr>
            <w:tcW w:w="41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20</w:t>
            </w:r>
          </w:p>
        </w:tc>
        <w:tc>
          <w:tcPr>
            <w:tcW w:w="416"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否</w:t>
            </w:r>
          </w:p>
        </w:tc>
        <w:tc>
          <w:tcPr>
            <w:tcW w:w="417"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442" w:hRule="atLeast"/>
        </w:trPr>
        <w:tc>
          <w:tcPr>
            <w:tcW w:w="2822" w:type="dxa"/>
            <w:tcBorders>
              <w:top w:val="nil"/>
              <w:left w:val="single" w:color="auto" w:sz="4" w:space="0"/>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受益人数</w:t>
            </w:r>
          </w:p>
        </w:tc>
        <w:tc>
          <w:tcPr>
            <w:tcW w:w="1269" w:type="dxa"/>
            <w:tcBorders>
              <w:top w:val="nil"/>
              <w:left w:val="nil"/>
              <w:bottom w:val="single" w:color="auto" w:sz="4" w:space="0"/>
              <w:right w:val="single" w:color="auto" w:sz="4" w:space="0"/>
            </w:tcBorders>
            <w:shd w:val="clear" w:color="auto" w:fill="auto"/>
            <w:vAlign w:val="center"/>
          </w:tcPr>
          <w:p>
            <w:pPr>
              <w:ind w:firstLine="360" w:firstLineChars="200"/>
              <w:rPr>
                <w:rFonts w:hint="default" w:cs="宋体"/>
                <w:color w:val="000000"/>
                <w:sz w:val="18"/>
                <w:szCs w:val="18"/>
              </w:rPr>
            </w:pPr>
            <w:r>
              <w:rPr>
                <w:rFonts w:cs="宋体"/>
                <w:color w:val="000000"/>
                <w:sz w:val="18"/>
                <w:szCs w:val="18"/>
              </w:rPr>
              <w:t>人</w:t>
            </w:r>
          </w:p>
        </w:tc>
        <w:tc>
          <w:tcPr>
            <w:tcW w:w="718" w:type="dxa"/>
            <w:gridSpan w:val="2"/>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w:t>
            </w:r>
          </w:p>
        </w:tc>
        <w:tc>
          <w:tcPr>
            <w:tcW w:w="48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367</w:t>
            </w:r>
          </w:p>
        </w:tc>
        <w:tc>
          <w:tcPr>
            <w:tcW w:w="41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367</w:t>
            </w:r>
          </w:p>
        </w:tc>
        <w:tc>
          <w:tcPr>
            <w:tcW w:w="702" w:type="dxa"/>
            <w:gridSpan w:val="3"/>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0.00</w:t>
            </w:r>
          </w:p>
        </w:tc>
        <w:tc>
          <w:tcPr>
            <w:tcW w:w="702"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w:t>
            </w:r>
          </w:p>
        </w:tc>
        <w:tc>
          <w:tcPr>
            <w:tcW w:w="488"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20</w:t>
            </w:r>
          </w:p>
        </w:tc>
        <w:tc>
          <w:tcPr>
            <w:tcW w:w="41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20</w:t>
            </w:r>
          </w:p>
        </w:tc>
        <w:tc>
          <w:tcPr>
            <w:tcW w:w="416"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是</w:t>
            </w:r>
          </w:p>
        </w:tc>
        <w:tc>
          <w:tcPr>
            <w:tcW w:w="417"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p>
        </w:tc>
      </w:tr>
      <w:tr>
        <w:tblPrEx>
          <w:tblCellMar>
            <w:top w:w="0" w:type="dxa"/>
            <w:left w:w="108" w:type="dxa"/>
            <w:bottom w:w="0" w:type="dxa"/>
            <w:right w:w="108" w:type="dxa"/>
          </w:tblCellMar>
        </w:tblPrEx>
        <w:trPr>
          <w:trHeight w:val="442" w:hRule="atLeast"/>
        </w:trPr>
        <w:tc>
          <w:tcPr>
            <w:tcW w:w="2822" w:type="dxa"/>
            <w:tcBorders>
              <w:top w:val="nil"/>
              <w:left w:val="single" w:color="auto" w:sz="4" w:space="0"/>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军转干人员满意度</w:t>
            </w:r>
          </w:p>
        </w:tc>
        <w:tc>
          <w:tcPr>
            <w:tcW w:w="1269"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xml:space="preserve">　   </w:t>
            </w:r>
            <w:r>
              <w:t>%</w:t>
            </w:r>
          </w:p>
        </w:tc>
        <w:tc>
          <w:tcPr>
            <w:tcW w:w="718" w:type="dxa"/>
            <w:gridSpan w:val="2"/>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w:t>
            </w:r>
          </w:p>
        </w:tc>
        <w:tc>
          <w:tcPr>
            <w:tcW w:w="48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　</w:t>
            </w:r>
          </w:p>
        </w:tc>
        <w:tc>
          <w:tcPr>
            <w:tcW w:w="41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　</w:t>
            </w:r>
          </w:p>
        </w:tc>
        <w:tc>
          <w:tcPr>
            <w:tcW w:w="702" w:type="dxa"/>
            <w:gridSpan w:val="3"/>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0.00　</w:t>
            </w:r>
          </w:p>
        </w:tc>
        <w:tc>
          <w:tcPr>
            <w:tcW w:w="702"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100　</w:t>
            </w:r>
          </w:p>
        </w:tc>
        <w:tc>
          <w:tcPr>
            <w:tcW w:w="488"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　</w:t>
            </w:r>
          </w:p>
        </w:tc>
        <w:tc>
          <w:tcPr>
            <w:tcW w:w="41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8"/>
                <w:szCs w:val="18"/>
              </w:rPr>
            </w:pPr>
            <w:r>
              <w:rPr>
                <w:rFonts w:cs="宋体"/>
                <w:color w:val="000000"/>
                <w:sz w:val="18"/>
                <w:szCs w:val="18"/>
              </w:rPr>
              <w:t>10　</w:t>
            </w:r>
          </w:p>
        </w:tc>
        <w:tc>
          <w:tcPr>
            <w:tcW w:w="416"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否</w:t>
            </w:r>
          </w:p>
        </w:tc>
        <w:tc>
          <w:tcPr>
            <w:tcW w:w="417" w:type="dxa"/>
            <w:tcBorders>
              <w:top w:val="nil"/>
              <w:left w:val="nil"/>
              <w:bottom w:val="single" w:color="auto" w:sz="4" w:space="0"/>
              <w:right w:val="single" w:color="auto" w:sz="4" w:space="0"/>
            </w:tcBorders>
            <w:shd w:val="clear" w:color="auto" w:fill="auto"/>
            <w:vAlign w:val="center"/>
          </w:tcPr>
          <w:p>
            <w:pPr>
              <w:rPr>
                <w:rFonts w:hint="default" w:cs="宋体"/>
                <w:color w:val="000000"/>
                <w:sz w:val="18"/>
                <w:szCs w:val="18"/>
              </w:rPr>
            </w:pPr>
            <w:r>
              <w:rPr>
                <w:rFonts w:cs="宋体"/>
                <w:color w:val="000000"/>
                <w:sz w:val="18"/>
                <w:szCs w:val="18"/>
              </w:rPr>
              <w:t>　</w:t>
            </w:r>
          </w:p>
        </w:tc>
      </w:tr>
    </w:tbl>
    <w:p>
      <w:pPr>
        <w:pStyle w:val="12"/>
        <w:spacing w:before="0" w:beforeAutospacing="0" w:after="0" w:afterAutospacing="0"/>
        <w:ind w:firstLine="560"/>
        <w:rPr>
          <w:rStyle w:val="13"/>
          <w:rFonts w:ascii="方正仿宋_GBK" w:hAnsi="方正仿宋_GBK" w:eastAsia="方正仿宋_GBK" w:cs="方正仿宋_GBK"/>
          <w:color w:val="FF0000"/>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6"/>
        <w:tabs>
          <w:tab w:val="center" w:pos="4153"/>
          <w:tab w:val="left" w:pos="7275"/>
        </w:tabs>
        <w:spacing w:line="600" w:lineRule="exact"/>
        <w:ind w:firstLine="600"/>
        <w:rPr>
          <w:rFonts w:ascii="仿宋" w:hAnsi="仿宋" w:eastAsia="仿宋" w:cs="仿宋"/>
          <w:kern w:val="0"/>
          <w:sz w:val="30"/>
          <w:szCs w:val="30"/>
        </w:rPr>
      </w:pPr>
      <w:r>
        <w:rPr>
          <w:rFonts w:hint="eastAsia" w:ascii="仿宋" w:hAnsi="仿宋" w:eastAsia="仿宋" w:cs="仿宋"/>
          <w:kern w:val="0"/>
          <w:sz w:val="30"/>
          <w:szCs w:val="30"/>
        </w:rPr>
        <w:t>本单位没有委托第三方开展绩效评价。</w:t>
      </w:r>
    </w:p>
    <w:p>
      <w:pPr>
        <w:pStyle w:val="11"/>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6"/>
        <w:tabs>
          <w:tab w:val="center" w:pos="4153"/>
          <w:tab w:val="left" w:pos="7275"/>
        </w:tabs>
        <w:spacing w:line="600" w:lineRule="exact"/>
        <w:ind w:firstLine="600"/>
        <w:rPr>
          <w:rFonts w:ascii="仿宋" w:hAnsi="仿宋" w:eastAsia="仿宋" w:cs="仿宋"/>
          <w:kern w:val="0"/>
          <w:sz w:val="30"/>
          <w:szCs w:val="30"/>
        </w:rPr>
      </w:pPr>
      <w:r>
        <w:rPr>
          <w:rFonts w:hint="eastAsia" w:ascii="仿宋" w:hAnsi="仿宋" w:eastAsia="仿宋" w:cs="仿宋"/>
          <w:kern w:val="0"/>
          <w:sz w:val="30"/>
          <w:szCs w:val="30"/>
        </w:rPr>
        <w:t>区财政局未委托第三方对我单位开展绩效评价。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16"/>
        <w:tabs>
          <w:tab w:val="center" w:pos="4153"/>
          <w:tab w:val="left" w:pos="7275"/>
        </w:tabs>
        <w:spacing w:line="600" w:lineRule="exact"/>
        <w:ind w:firstLine="472" w:firstLineChars="147"/>
        <w:rPr>
          <w:rFonts w:ascii="仿宋" w:hAnsi="仿宋" w:eastAsia="仿宋" w:cs="仿宋"/>
          <w:kern w:val="0"/>
          <w:sz w:val="30"/>
          <w:szCs w:val="30"/>
        </w:rPr>
      </w:pPr>
      <w:r>
        <w:rPr>
          <w:rFonts w:ascii="楷体" w:hAnsi="楷体" w:eastAsia="楷体" w:cs="楷体"/>
          <w:b/>
          <w:bCs/>
          <w:kern w:val="0"/>
          <w:sz w:val="32"/>
          <w:szCs w:val="32"/>
          <w:shd w:val="clear" w:color="auto" w:fill="FFFFFF"/>
        </w:rPr>
        <w:t>（一）财政拨款收入：</w:t>
      </w:r>
      <w:r>
        <w:rPr>
          <w:rFonts w:ascii="仿宋" w:hAnsi="仿宋" w:eastAsia="仿宋" w:cs="仿宋"/>
          <w:kern w:val="0"/>
          <w:sz w:val="30"/>
          <w:szCs w:val="30"/>
        </w:rPr>
        <w:t>指本年度从本级财政部门取得的财政拨款，包括一般公共预算财政拨款和政府性基金预算财政拨款。</w:t>
      </w:r>
    </w:p>
    <w:p>
      <w:pPr>
        <w:pStyle w:val="16"/>
        <w:tabs>
          <w:tab w:val="center" w:pos="4153"/>
          <w:tab w:val="left" w:pos="7275"/>
        </w:tabs>
        <w:spacing w:line="600" w:lineRule="exact"/>
        <w:ind w:firstLine="472" w:firstLineChars="147"/>
        <w:rPr>
          <w:rFonts w:ascii="仿宋" w:hAnsi="仿宋" w:eastAsia="仿宋" w:cs="仿宋"/>
          <w:kern w:val="0"/>
          <w:sz w:val="30"/>
          <w:szCs w:val="30"/>
        </w:rPr>
      </w:pPr>
      <w:r>
        <w:rPr>
          <w:rFonts w:ascii="楷体" w:hAnsi="楷体" w:eastAsia="楷体" w:cs="楷体"/>
          <w:b/>
          <w:bCs/>
          <w:kern w:val="0"/>
          <w:sz w:val="32"/>
          <w:szCs w:val="32"/>
          <w:shd w:val="clear" w:color="auto" w:fill="FFFFFF"/>
        </w:rPr>
        <w:t>（二）事业收入：</w:t>
      </w:r>
      <w:r>
        <w:rPr>
          <w:rFonts w:ascii="仿宋" w:hAnsi="仿宋" w:eastAsia="仿宋" w:cs="仿宋"/>
          <w:kern w:val="0"/>
          <w:sz w:val="30"/>
          <w:szCs w:val="30"/>
        </w:rPr>
        <w:t>指事业单位开展专业业务活动及其辅助活动取得的现金流入；事业单位收到的财政专户实际核拨的教育收费等资金在此反映。</w:t>
      </w:r>
    </w:p>
    <w:p>
      <w:pPr>
        <w:pStyle w:val="16"/>
        <w:tabs>
          <w:tab w:val="center" w:pos="4153"/>
          <w:tab w:val="left" w:pos="7275"/>
        </w:tabs>
        <w:spacing w:line="600" w:lineRule="exact"/>
        <w:ind w:firstLine="475" w:firstLineChars="148"/>
        <w:rPr>
          <w:rFonts w:ascii="仿宋" w:hAnsi="仿宋" w:eastAsia="仿宋" w:cs="仿宋"/>
          <w:kern w:val="0"/>
          <w:sz w:val="30"/>
          <w:szCs w:val="30"/>
        </w:rPr>
      </w:pPr>
      <w:r>
        <w:rPr>
          <w:rFonts w:ascii="楷体" w:hAnsi="楷体" w:eastAsia="楷体" w:cs="楷体"/>
          <w:b/>
          <w:bCs/>
          <w:kern w:val="0"/>
          <w:sz w:val="32"/>
          <w:szCs w:val="32"/>
          <w:shd w:val="clear" w:color="auto" w:fill="FFFFFF"/>
        </w:rPr>
        <w:t>（三）经营收入：</w:t>
      </w:r>
      <w:r>
        <w:rPr>
          <w:rFonts w:ascii="仿宋" w:hAnsi="仿宋" w:eastAsia="仿宋" w:cs="仿宋"/>
          <w:kern w:val="0"/>
          <w:sz w:val="30"/>
          <w:szCs w:val="30"/>
        </w:rPr>
        <w:t>指事业单位在专业业务活动及其辅助活动之外开展非独立核算经营活动取得的现金流入。</w:t>
      </w:r>
    </w:p>
    <w:p>
      <w:pPr>
        <w:pStyle w:val="16"/>
        <w:tabs>
          <w:tab w:val="center" w:pos="4153"/>
          <w:tab w:val="left" w:pos="7275"/>
        </w:tabs>
        <w:spacing w:line="600" w:lineRule="exact"/>
        <w:ind w:firstLine="475" w:firstLineChars="148"/>
        <w:rPr>
          <w:rFonts w:ascii="仿宋" w:hAnsi="仿宋" w:eastAsia="仿宋" w:cs="仿宋"/>
          <w:kern w:val="0"/>
          <w:sz w:val="30"/>
          <w:szCs w:val="30"/>
        </w:rPr>
      </w:pPr>
      <w:r>
        <w:rPr>
          <w:rFonts w:ascii="楷体" w:hAnsi="楷体" w:eastAsia="楷体" w:cs="楷体"/>
          <w:b/>
          <w:bCs/>
          <w:kern w:val="0"/>
          <w:sz w:val="32"/>
          <w:szCs w:val="32"/>
          <w:shd w:val="clear" w:color="auto" w:fill="FFFFFF"/>
        </w:rPr>
        <w:t>（四）其他收入：</w:t>
      </w:r>
      <w:r>
        <w:rPr>
          <w:rFonts w:ascii="仿宋" w:hAnsi="仿宋" w:eastAsia="仿宋" w:cs="仿宋"/>
          <w:kern w:val="0"/>
          <w:sz w:val="30"/>
          <w:szCs w:val="30"/>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6"/>
        <w:tabs>
          <w:tab w:val="center" w:pos="4153"/>
          <w:tab w:val="left" w:pos="7275"/>
        </w:tabs>
        <w:spacing w:line="600" w:lineRule="exact"/>
        <w:ind w:firstLine="472" w:firstLineChars="147"/>
        <w:rPr>
          <w:rFonts w:ascii="仿宋" w:hAnsi="仿宋" w:eastAsia="仿宋" w:cs="仿宋"/>
          <w:kern w:val="0"/>
          <w:sz w:val="30"/>
          <w:szCs w:val="30"/>
        </w:rPr>
      </w:pPr>
      <w:r>
        <w:rPr>
          <w:rFonts w:ascii="楷体" w:hAnsi="楷体" w:eastAsia="楷体" w:cs="楷体"/>
          <w:b/>
          <w:bCs/>
          <w:kern w:val="0"/>
          <w:sz w:val="32"/>
          <w:szCs w:val="32"/>
          <w:shd w:val="clear" w:color="auto" w:fill="FFFFFF"/>
        </w:rPr>
        <w:t>（五）使用非财政拨款结余：</w:t>
      </w:r>
      <w:r>
        <w:rPr>
          <w:rFonts w:ascii="仿宋" w:hAnsi="仿宋" w:eastAsia="仿宋" w:cs="仿宋"/>
          <w:kern w:val="0"/>
          <w:sz w:val="30"/>
          <w:szCs w:val="30"/>
        </w:rPr>
        <w:t>指单位在当年的“财政拨款收入”、“事业收入”、“经营收入”、“其他收入”等不足以安排当年支出的情况下，使用以前年度积累的非财政拨款结余弥补本年度收支缺口的资金。</w:t>
      </w:r>
    </w:p>
    <w:p>
      <w:pPr>
        <w:pStyle w:val="16"/>
        <w:tabs>
          <w:tab w:val="center" w:pos="4153"/>
          <w:tab w:val="left" w:pos="7275"/>
        </w:tabs>
        <w:spacing w:line="600" w:lineRule="exact"/>
        <w:ind w:firstLine="472" w:firstLineChars="147"/>
        <w:rPr>
          <w:rFonts w:ascii="仿宋" w:hAnsi="仿宋" w:eastAsia="仿宋" w:cs="仿宋"/>
          <w:kern w:val="0"/>
          <w:sz w:val="30"/>
          <w:szCs w:val="30"/>
        </w:rPr>
      </w:pPr>
      <w:r>
        <w:rPr>
          <w:rFonts w:ascii="楷体" w:hAnsi="楷体" w:eastAsia="楷体" w:cs="楷体"/>
          <w:b/>
          <w:bCs/>
          <w:kern w:val="0"/>
          <w:sz w:val="32"/>
          <w:szCs w:val="32"/>
          <w:shd w:val="clear" w:color="auto" w:fill="FFFFFF"/>
        </w:rPr>
        <w:t>（六）年初结转和结余：</w:t>
      </w:r>
      <w:r>
        <w:rPr>
          <w:rFonts w:ascii="仿宋" w:hAnsi="仿宋" w:eastAsia="仿宋" w:cs="仿宋"/>
          <w:kern w:val="0"/>
          <w:sz w:val="30"/>
          <w:szCs w:val="30"/>
        </w:rPr>
        <w:t>指单位上年结转本年使用的基本支出结转、项目支出结转和结余、经营结余。</w:t>
      </w:r>
    </w:p>
    <w:p>
      <w:pPr>
        <w:pStyle w:val="16"/>
        <w:tabs>
          <w:tab w:val="center" w:pos="4153"/>
          <w:tab w:val="left" w:pos="7275"/>
        </w:tabs>
        <w:spacing w:line="600" w:lineRule="exact"/>
        <w:ind w:firstLine="472" w:firstLineChars="147"/>
        <w:rPr>
          <w:rFonts w:ascii="仿宋" w:hAnsi="仿宋" w:eastAsia="仿宋" w:cs="仿宋"/>
          <w:kern w:val="0"/>
          <w:sz w:val="30"/>
          <w:szCs w:val="30"/>
        </w:rPr>
      </w:pPr>
      <w:r>
        <w:rPr>
          <w:rFonts w:ascii="楷体" w:hAnsi="楷体" w:eastAsia="楷体" w:cs="楷体"/>
          <w:b/>
          <w:bCs/>
          <w:kern w:val="0"/>
          <w:sz w:val="32"/>
          <w:szCs w:val="32"/>
          <w:shd w:val="clear" w:color="auto" w:fill="FFFFFF"/>
        </w:rPr>
        <w:t>（七）结余分配：</w:t>
      </w:r>
      <w:r>
        <w:rPr>
          <w:rFonts w:ascii="仿宋" w:hAnsi="仿宋" w:eastAsia="仿宋" w:cs="仿宋"/>
          <w:kern w:val="0"/>
          <w:sz w:val="30"/>
          <w:szCs w:val="30"/>
        </w:rPr>
        <w:t>指单位按照国家有关规定，缴纳所得税、提取专用基金、转入非财政拨款结余等当年结余的分配情况。</w:t>
      </w:r>
    </w:p>
    <w:p>
      <w:pPr>
        <w:pStyle w:val="16"/>
        <w:tabs>
          <w:tab w:val="center" w:pos="4153"/>
          <w:tab w:val="left" w:pos="7275"/>
        </w:tabs>
        <w:spacing w:line="600" w:lineRule="exact"/>
        <w:ind w:firstLine="472" w:firstLineChars="147"/>
        <w:rPr>
          <w:rFonts w:ascii="仿宋" w:hAnsi="仿宋" w:eastAsia="仿宋" w:cs="仿宋"/>
          <w:kern w:val="0"/>
          <w:sz w:val="30"/>
          <w:szCs w:val="30"/>
        </w:rPr>
      </w:pPr>
      <w:r>
        <w:rPr>
          <w:rFonts w:ascii="楷体" w:hAnsi="楷体" w:eastAsia="楷体" w:cs="楷体"/>
          <w:b/>
          <w:bCs/>
          <w:kern w:val="0"/>
          <w:sz w:val="32"/>
          <w:szCs w:val="32"/>
          <w:shd w:val="clear" w:color="auto" w:fill="FFFFFF"/>
        </w:rPr>
        <w:t>（八）年末结转和结余：</w:t>
      </w:r>
      <w:r>
        <w:rPr>
          <w:rFonts w:ascii="仿宋" w:hAnsi="仿宋" w:eastAsia="仿宋" w:cs="仿宋"/>
          <w:kern w:val="0"/>
          <w:sz w:val="30"/>
          <w:szCs w:val="30"/>
        </w:rPr>
        <w:t>指单位结转下年的基本支出结转、项目支出结转和结余、经营结余。</w:t>
      </w:r>
    </w:p>
    <w:p>
      <w:pPr>
        <w:pStyle w:val="16"/>
        <w:tabs>
          <w:tab w:val="center" w:pos="4153"/>
          <w:tab w:val="left" w:pos="7275"/>
        </w:tabs>
        <w:spacing w:line="600" w:lineRule="exact"/>
        <w:ind w:firstLine="472" w:firstLineChars="147"/>
        <w:rPr>
          <w:rFonts w:ascii="仿宋" w:hAnsi="仿宋" w:eastAsia="仿宋" w:cs="仿宋"/>
          <w:kern w:val="0"/>
          <w:sz w:val="30"/>
          <w:szCs w:val="30"/>
        </w:rPr>
      </w:pPr>
      <w:r>
        <w:rPr>
          <w:rFonts w:ascii="楷体" w:hAnsi="楷体" w:eastAsia="楷体" w:cs="楷体"/>
          <w:b/>
          <w:bCs/>
          <w:kern w:val="0"/>
          <w:sz w:val="32"/>
          <w:szCs w:val="32"/>
          <w:shd w:val="clear" w:color="auto" w:fill="FFFFFF"/>
        </w:rPr>
        <w:t>（九）基本支出：</w:t>
      </w:r>
      <w:r>
        <w:rPr>
          <w:rFonts w:ascii="仿宋" w:hAnsi="仿宋" w:eastAsia="仿宋" w:cs="仿宋"/>
          <w:kern w:val="0"/>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6"/>
        <w:tabs>
          <w:tab w:val="center" w:pos="4153"/>
          <w:tab w:val="left" w:pos="7275"/>
        </w:tabs>
        <w:spacing w:line="600" w:lineRule="exact"/>
        <w:ind w:firstLine="475" w:firstLineChars="148"/>
        <w:rPr>
          <w:rFonts w:ascii="仿宋" w:hAnsi="仿宋" w:eastAsia="仿宋" w:cs="仿宋"/>
          <w:kern w:val="0"/>
          <w:sz w:val="30"/>
          <w:szCs w:val="30"/>
        </w:rPr>
      </w:pPr>
      <w:r>
        <w:rPr>
          <w:rFonts w:ascii="楷体" w:hAnsi="楷体" w:eastAsia="楷体" w:cs="楷体"/>
          <w:b/>
          <w:bCs/>
          <w:kern w:val="0"/>
          <w:sz w:val="32"/>
          <w:szCs w:val="32"/>
          <w:shd w:val="clear" w:color="auto" w:fill="FFFFFF"/>
        </w:rPr>
        <w:t>（十）项目支出：</w:t>
      </w:r>
      <w:r>
        <w:rPr>
          <w:rFonts w:ascii="仿宋" w:hAnsi="仿宋" w:eastAsia="仿宋" w:cs="仿宋"/>
          <w:kern w:val="0"/>
          <w:sz w:val="30"/>
          <w:szCs w:val="30"/>
        </w:rPr>
        <w:t>指在基本支出之外为完成特定行政任务和事业发展目标所发生的支出。</w:t>
      </w:r>
    </w:p>
    <w:p>
      <w:pPr>
        <w:pStyle w:val="16"/>
        <w:tabs>
          <w:tab w:val="center" w:pos="4153"/>
          <w:tab w:val="left" w:pos="7275"/>
        </w:tabs>
        <w:spacing w:line="600" w:lineRule="exact"/>
        <w:ind w:firstLine="472" w:firstLineChars="147"/>
        <w:rPr>
          <w:rFonts w:ascii="仿宋" w:hAnsi="仿宋" w:eastAsia="仿宋" w:cs="仿宋"/>
          <w:kern w:val="0"/>
          <w:sz w:val="30"/>
          <w:szCs w:val="30"/>
        </w:rPr>
      </w:pPr>
      <w:r>
        <w:rPr>
          <w:rFonts w:ascii="楷体" w:hAnsi="楷体" w:eastAsia="楷体" w:cs="楷体"/>
          <w:b/>
          <w:bCs/>
          <w:kern w:val="0"/>
          <w:sz w:val="32"/>
          <w:szCs w:val="32"/>
          <w:shd w:val="clear" w:color="auto" w:fill="FFFFFF"/>
        </w:rPr>
        <w:t>（十一）经营支出：</w:t>
      </w:r>
      <w:r>
        <w:rPr>
          <w:rFonts w:ascii="仿宋" w:hAnsi="仿宋" w:eastAsia="仿宋" w:cs="仿宋"/>
          <w:kern w:val="0"/>
          <w:sz w:val="30"/>
          <w:szCs w:val="30"/>
        </w:rPr>
        <w:t>指事业单位在专业业务活动及其辅助活动之外开展非独立核算经营活动发生的支出。</w:t>
      </w:r>
    </w:p>
    <w:p>
      <w:pPr>
        <w:pStyle w:val="16"/>
        <w:tabs>
          <w:tab w:val="center" w:pos="4153"/>
          <w:tab w:val="left" w:pos="7275"/>
        </w:tabs>
        <w:spacing w:line="600" w:lineRule="exact"/>
        <w:ind w:firstLine="472" w:firstLineChars="147"/>
        <w:rPr>
          <w:rFonts w:ascii="仿宋" w:hAnsi="仿宋" w:eastAsia="仿宋" w:cs="仿宋"/>
          <w:kern w:val="0"/>
          <w:sz w:val="30"/>
          <w:szCs w:val="30"/>
        </w:rPr>
      </w:pPr>
      <w:r>
        <w:rPr>
          <w:rFonts w:ascii="楷体" w:hAnsi="楷体" w:eastAsia="楷体" w:cs="楷体"/>
          <w:b/>
          <w:bCs/>
          <w:kern w:val="0"/>
          <w:sz w:val="32"/>
          <w:szCs w:val="32"/>
          <w:shd w:val="clear" w:color="auto" w:fill="FFFFFF"/>
        </w:rPr>
        <w:t>（十二）“三公”经费：</w:t>
      </w:r>
      <w:r>
        <w:rPr>
          <w:rFonts w:ascii="仿宋" w:hAnsi="仿宋" w:eastAsia="仿宋" w:cs="仿宋"/>
          <w:kern w:val="0"/>
          <w:sz w:val="30"/>
          <w:szCs w:val="30"/>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6"/>
        <w:tabs>
          <w:tab w:val="center" w:pos="4153"/>
          <w:tab w:val="left" w:pos="7275"/>
        </w:tabs>
        <w:spacing w:line="600" w:lineRule="exact"/>
        <w:ind w:firstLine="314" w:firstLineChars="98"/>
        <w:rPr>
          <w:rFonts w:ascii="仿宋" w:hAnsi="仿宋" w:eastAsia="仿宋" w:cs="仿宋"/>
          <w:kern w:val="0"/>
          <w:sz w:val="30"/>
          <w:szCs w:val="30"/>
        </w:rPr>
      </w:pPr>
      <w:r>
        <w:rPr>
          <w:rFonts w:ascii="楷体" w:hAnsi="楷体" w:eastAsia="楷体" w:cs="楷体"/>
          <w:b/>
          <w:bCs/>
          <w:kern w:val="0"/>
          <w:sz w:val="32"/>
          <w:szCs w:val="32"/>
          <w:shd w:val="clear" w:color="auto" w:fill="FFFFFF"/>
        </w:rPr>
        <w:t>（十三）机关运行经费：</w:t>
      </w:r>
      <w:r>
        <w:rPr>
          <w:rFonts w:ascii="仿宋" w:hAnsi="仿宋" w:eastAsia="仿宋" w:cs="仿宋"/>
          <w:kern w:val="0"/>
          <w:sz w:val="30"/>
          <w:szCs w:val="30"/>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6"/>
        <w:tabs>
          <w:tab w:val="center" w:pos="4153"/>
          <w:tab w:val="left" w:pos="7275"/>
        </w:tabs>
        <w:spacing w:line="600" w:lineRule="exact"/>
        <w:ind w:firstLine="472" w:firstLineChars="147"/>
        <w:rPr>
          <w:rFonts w:ascii="仿宋" w:hAnsi="仿宋" w:eastAsia="仿宋" w:cs="仿宋"/>
          <w:kern w:val="0"/>
          <w:sz w:val="30"/>
          <w:szCs w:val="30"/>
        </w:rPr>
      </w:pPr>
      <w:r>
        <w:rPr>
          <w:rFonts w:ascii="楷体" w:hAnsi="楷体" w:eastAsia="楷体" w:cs="楷体"/>
          <w:b/>
          <w:bCs/>
          <w:kern w:val="0"/>
          <w:sz w:val="32"/>
          <w:szCs w:val="32"/>
          <w:shd w:val="clear" w:color="auto" w:fill="FFFFFF"/>
        </w:rPr>
        <w:t>（十四）工资福利支出（支出经济分类科目类级）：</w:t>
      </w:r>
      <w:r>
        <w:rPr>
          <w:rFonts w:ascii="仿宋" w:hAnsi="仿宋" w:eastAsia="仿宋" w:cs="仿宋"/>
          <w:kern w:val="0"/>
          <w:sz w:val="30"/>
          <w:szCs w:val="30"/>
        </w:rPr>
        <w:t>反映单位开支的在职职工和编制外长期聘用人员的各类劳动报酬，以及为上述人员缴纳的各项社会保险费等。</w:t>
      </w:r>
    </w:p>
    <w:p>
      <w:pPr>
        <w:pStyle w:val="16"/>
        <w:tabs>
          <w:tab w:val="center" w:pos="4153"/>
          <w:tab w:val="left" w:pos="7275"/>
        </w:tabs>
        <w:spacing w:line="600" w:lineRule="exact"/>
        <w:ind w:firstLine="475" w:firstLineChars="148"/>
        <w:rPr>
          <w:rFonts w:ascii="仿宋" w:hAnsi="仿宋" w:eastAsia="仿宋" w:cs="仿宋"/>
          <w:kern w:val="0"/>
          <w:sz w:val="30"/>
          <w:szCs w:val="30"/>
        </w:rPr>
      </w:pPr>
      <w:r>
        <w:rPr>
          <w:rFonts w:ascii="楷体" w:hAnsi="楷体" w:eastAsia="楷体" w:cs="楷体"/>
          <w:b/>
          <w:bCs/>
          <w:kern w:val="0"/>
          <w:sz w:val="32"/>
          <w:szCs w:val="32"/>
          <w:shd w:val="clear" w:color="auto" w:fill="FFFFFF"/>
        </w:rPr>
        <w:t>（十五）商品和服务支出（支出经济分类科目类级）：</w:t>
      </w:r>
      <w:r>
        <w:rPr>
          <w:rFonts w:ascii="仿宋" w:hAnsi="仿宋" w:eastAsia="仿宋" w:cs="仿宋"/>
          <w:kern w:val="0"/>
          <w:sz w:val="30"/>
          <w:szCs w:val="30"/>
        </w:rPr>
        <w:t>反映单位购买商品和服务的支出（不包括用于购置固定资产的支出、战略性和应急储备支出）。</w:t>
      </w:r>
    </w:p>
    <w:p>
      <w:pPr>
        <w:pStyle w:val="16"/>
        <w:tabs>
          <w:tab w:val="center" w:pos="4153"/>
          <w:tab w:val="left" w:pos="7275"/>
        </w:tabs>
        <w:spacing w:line="600" w:lineRule="exact"/>
        <w:ind w:firstLine="475" w:firstLineChars="148"/>
        <w:rPr>
          <w:rFonts w:ascii="仿宋" w:hAnsi="仿宋" w:eastAsia="仿宋" w:cs="仿宋"/>
          <w:kern w:val="0"/>
          <w:sz w:val="30"/>
          <w:szCs w:val="30"/>
        </w:rPr>
      </w:pPr>
      <w:r>
        <w:rPr>
          <w:rFonts w:ascii="楷体" w:hAnsi="楷体" w:eastAsia="楷体" w:cs="楷体"/>
          <w:b/>
          <w:bCs/>
          <w:kern w:val="0"/>
          <w:sz w:val="32"/>
          <w:szCs w:val="32"/>
          <w:shd w:val="clear" w:color="auto" w:fill="FFFFFF"/>
        </w:rPr>
        <w:t>（十六）对个人和家庭的补助（支出经济分类科目类级）：</w:t>
      </w:r>
      <w:r>
        <w:rPr>
          <w:rFonts w:ascii="仿宋" w:hAnsi="仿宋" w:eastAsia="仿宋" w:cs="仿宋"/>
          <w:kern w:val="0"/>
          <w:sz w:val="30"/>
          <w:szCs w:val="30"/>
        </w:rPr>
        <w:t>反映用于对个人和家庭的补助支出。</w:t>
      </w:r>
    </w:p>
    <w:p>
      <w:pPr>
        <w:pStyle w:val="16"/>
        <w:tabs>
          <w:tab w:val="center" w:pos="4153"/>
          <w:tab w:val="left" w:pos="7275"/>
        </w:tabs>
        <w:spacing w:line="600" w:lineRule="exact"/>
        <w:ind w:firstLine="636" w:firstLineChars="198"/>
        <w:rPr>
          <w:rFonts w:ascii="仿宋" w:hAnsi="仿宋" w:eastAsia="仿宋" w:cs="仿宋"/>
          <w:kern w:val="0"/>
          <w:sz w:val="30"/>
          <w:szCs w:val="30"/>
        </w:rPr>
      </w:pPr>
      <w:r>
        <w:rPr>
          <w:rFonts w:ascii="楷体" w:hAnsi="楷体" w:eastAsia="楷体" w:cs="楷体"/>
          <w:b/>
          <w:bCs/>
          <w:kern w:val="0"/>
          <w:sz w:val="32"/>
          <w:szCs w:val="32"/>
          <w:shd w:val="clear" w:color="auto" w:fill="FFFFFF"/>
        </w:rPr>
        <w:t>（十七）其他资本性支出（支出经济分类科目类级）：</w:t>
      </w:r>
      <w:r>
        <w:rPr>
          <w:rFonts w:ascii="仿宋" w:hAnsi="仿宋" w:eastAsia="仿宋" w:cs="仿宋"/>
          <w:kern w:val="0"/>
          <w:sz w:val="30"/>
          <w:szCs w:val="30"/>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Fonts w:ascii="仿宋" w:hAnsi="仿宋" w:eastAsia="仿宋" w:cs="仿宋"/>
          <w:sz w:val="30"/>
          <w:szCs w:val="30"/>
        </w:rPr>
      </w:pPr>
      <w:r>
        <w:rPr>
          <w:rFonts w:ascii="仿宋" w:hAnsi="仿宋" w:eastAsia="仿宋" w:cs="仿宋"/>
          <w:sz w:val="30"/>
          <w:szCs w:val="30"/>
        </w:rPr>
        <w:t>本单位决算公开信息反馈和联系方式：</w:t>
      </w:r>
    </w:p>
    <w:p>
      <w:pPr>
        <w:spacing w:line="360" w:lineRule="auto"/>
        <w:rPr>
          <w:rFonts w:hint="default" w:ascii="仿宋" w:hAnsi="仿宋" w:eastAsia="仿宋" w:cs="仿宋"/>
          <w:sz w:val="30"/>
          <w:szCs w:val="30"/>
        </w:rPr>
      </w:pPr>
      <w:r>
        <w:rPr>
          <w:rFonts w:ascii="仿宋" w:hAnsi="仿宋" w:eastAsia="仿宋" w:cs="仿宋"/>
          <w:sz w:val="30"/>
          <w:szCs w:val="30"/>
        </w:rPr>
        <w:t>陈 涛   023-72224586</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rPr>
              <w:t>重庆市涪陵区社会保险事务中心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6,216.46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6,119.49</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52.72</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44.25</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6,216.46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6,216.46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6,216.46</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6,216.46</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重庆市涪陵区社会保险事务中心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6,216.46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6,216.46</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6,119.49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6,119.49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1,236.12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1,236.12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861.17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861.17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2080107</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社会保险业务管理事务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93.55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93.55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954.91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954.91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954.91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954.91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3,540.15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3,540.15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3,540.15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3,540.15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重庆市涪陵区社会保险事务中心</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6,216.46</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1,335.76</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4,880.71</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6,119.49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1,238.79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4,880.71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1,236.12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861.17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374.95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861.17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861.17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2080107</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社会保险业务管理事务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335.54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93.55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93.55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236.86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954.91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954.91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954.91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954.91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3,540.15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3,540.15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3,540.15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3,540.15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重庆市涪陵区社会保险事务中心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6,216.46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6,119.49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6,119.49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52.72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52.72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6,216.46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6,216.46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6,216.46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6,216.46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6,216.46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6,216.46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重庆市涪陵区社会保险事务中心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6,216.46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1,335.76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4,880.71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6,119.49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1,238.79</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4,880.71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1,236.12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861.17</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374.95</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861.17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861.17</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社会保险业务管理事务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信息化建设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35.10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35.10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335.54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335.54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377.62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377.62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93.55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93.55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47.21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47.21</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236.86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236.86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954.91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954.91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军队转业干部安置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954.91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954.91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3,540.15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3,540.15</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3,540.15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3,540.15</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52.72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52.72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52.72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52.72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52.72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52.72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44.25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44.25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重庆市涪陵区社会保险事务中心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949.18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141.61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217.68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153.75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320.48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101.08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244.72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233.46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27.69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1,193.90</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141.86</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重庆市涪陵区社会保险事务中心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重庆市涪陵区社会保险事务中心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重庆市涪陵区社会保险事务中心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141.86</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29.37</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29.37</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141.86</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28.52</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28.52</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24.98</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24.98</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3.54</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3.54</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0.86</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0.86</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0.86</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168</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0.26</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6.42</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- 5 -</w:t>
                          </w:r>
                          <w:r>
                            <w:rPr>
                              <w:rFonts w:hint="default"/>
                            </w:rP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A3lV03uwEAAFoDAAAOAAAAAAAAAAEAIAAAADUBAABk&#10;cnMvZTJvRG9jLnhtbFBLBQYAAAAABgAGAFkBAAB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- 5 -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26 -</w:t>
                          </w:r>
                          <w:r>
                            <w:rPr>
                              <w:rFonts w:hint="default"/>
                            </w:rPr>
                            <w:fldChar w:fldCharType="end"/>
                          </w:r>
                        </w:p>
                      </w:txbxContent>
                    </wps:txbx>
                    <wps:bodyPr wrap="none" lIns="0" tIns="0" rIns="0" bIns="0" upright="true">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51noMuwEAAFoDAAAOAAAAAAAAAAEAIAAAADUBAABk&#10;cnMvZTJvRG9jLnhtbFBLBQYAAAAABgAGAFkBAAB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26 -</w:t>
                    </w:r>
                    <w:r>
                      <w:rPr>
                        <w:rFonts w:hint="default"/>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true"/>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4DVRU2AAAAAoBAAAPAAAAAAAAAAEAIAAAADgAAABkcnMvZG93&#10;bnJldi54bWxQSwECFAAUAAAACACHTuJAW1jqlbEBAAA/AwAADgAAAAAAAAABACAAAAA9AQAAZHJz&#10;L2Uyb0RvYy54bWxQSwUGAAAAAAYABgBZAQAAYA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8665B"/>
    <w:rsid w:val="000B077C"/>
    <w:rsid w:val="000C01F7"/>
    <w:rsid w:val="001117E3"/>
    <w:rsid w:val="00203D93"/>
    <w:rsid w:val="00256ACD"/>
    <w:rsid w:val="00270E53"/>
    <w:rsid w:val="00275C44"/>
    <w:rsid w:val="002865B7"/>
    <w:rsid w:val="002B254B"/>
    <w:rsid w:val="00340380"/>
    <w:rsid w:val="003D673E"/>
    <w:rsid w:val="004A597F"/>
    <w:rsid w:val="004F5C30"/>
    <w:rsid w:val="00550ABE"/>
    <w:rsid w:val="00555EDF"/>
    <w:rsid w:val="00575888"/>
    <w:rsid w:val="00580778"/>
    <w:rsid w:val="00590418"/>
    <w:rsid w:val="005C5FB7"/>
    <w:rsid w:val="00627802"/>
    <w:rsid w:val="00700BF6"/>
    <w:rsid w:val="00770383"/>
    <w:rsid w:val="007819D4"/>
    <w:rsid w:val="007B419D"/>
    <w:rsid w:val="007E738D"/>
    <w:rsid w:val="007F609D"/>
    <w:rsid w:val="008170E1"/>
    <w:rsid w:val="00853209"/>
    <w:rsid w:val="008832FD"/>
    <w:rsid w:val="008B2583"/>
    <w:rsid w:val="008F25CF"/>
    <w:rsid w:val="009B67B8"/>
    <w:rsid w:val="009C61B6"/>
    <w:rsid w:val="009D2B67"/>
    <w:rsid w:val="009D78FB"/>
    <w:rsid w:val="00A5763A"/>
    <w:rsid w:val="00A90C63"/>
    <w:rsid w:val="00B03CCD"/>
    <w:rsid w:val="00B05EC2"/>
    <w:rsid w:val="00BE7847"/>
    <w:rsid w:val="00BF2387"/>
    <w:rsid w:val="00BF2FD7"/>
    <w:rsid w:val="00C00896"/>
    <w:rsid w:val="00C20C3E"/>
    <w:rsid w:val="00CD0B69"/>
    <w:rsid w:val="00E11BAA"/>
    <w:rsid w:val="00EC7FC3"/>
    <w:rsid w:val="00F24744"/>
    <w:rsid w:val="00F31A20"/>
    <w:rsid w:val="00F33F9C"/>
    <w:rsid w:val="00F73F90"/>
    <w:rsid w:val="00F7638B"/>
    <w:rsid w:val="00F978B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E4F3D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2174</Words>
  <Characters>12395</Characters>
  <Lines>103</Lines>
  <Paragraphs>29</Paragraphs>
  <TotalTime>7</TotalTime>
  <ScaleCrop>false</ScaleCrop>
  <LinksUpToDate>false</LinksUpToDate>
  <CharactersWithSpaces>14540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2024-10-31T14:32:00Z</dcterms:created>
  <dc:creator>Administrator</dc:creator>
  <cp:lastModifiedBy>user</cp:lastModifiedBy>
  <dcterms:modified xsi:type="dcterms:W3CDTF">2024-11-01T11:29:32Z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