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1FA8B">
      <w:pPr>
        <w:pStyle w:val="16"/>
        <w:ind w:left="0" w:leftChars="0" w:firstLine="0" w:firstLineChars="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一、建设项目基本情况</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2382"/>
        <w:gridCol w:w="1637"/>
        <w:gridCol w:w="2212"/>
        <w:gridCol w:w="2639"/>
      </w:tblGrid>
      <w:tr w14:paraId="2D98C4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5DF3E4E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建设项目名称</w:t>
            </w:r>
          </w:p>
        </w:tc>
        <w:tc>
          <w:tcPr>
            <w:tcW w:w="6488" w:type="dxa"/>
            <w:gridSpan w:val="3"/>
            <w:vAlign w:val="center"/>
          </w:tcPr>
          <w:p w14:paraId="03BB290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default" w:ascii="Times New Roman" w:hAnsi="Times New Roman" w:eastAsia="宋体" w:cs="Times New Roman"/>
                <w:color w:val="auto"/>
                <w:sz w:val="24"/>
                <w:szCs w:val="24"/>
                <w:lang w:eastAsia="zh-CN"/>
              </w:rPr>
              <w:t>中粮油脂重庆新建</w:t>
            </w:r>
            <w:bookmarkStart w:id="5" w:name="_GoBack"/>
            <w:bookmarkEnd w:id="5"/>
            <w:r>
              <w:rPr>
                <w:rFonts w:hint="default" w:ascii="Times New Roman" w:hAnsi="Times New Roman" w:eastAsia="宋体" w:cs="Times New Roman"/>
                <w:color w:val="auto"/>
                <w:sz w:val="24"/>
                <w:szCs w:val="24"/>
                <w:lang w:val="en-US" w:eastAsia="zh-CN"/>
              </w:rPr>
              <w:t>膨化大豆粉生产线及磷脂生产线项目</w:t>
            </w:r>
          </w:p>
        </w:tc>
      </w:tr>
      <w:tr w14:paraId="36D91E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524EFC2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项目代码</w:t>
            </w:r>
          </w:p>
        </w:tc>
        <w:tc>
          <w:tcPr>
            <w:tcW w:w="6488" w:type="dxa"/>
            <w:gridSpan w:val="3"/>
            <w:vAlign w:val="center"/>
          </w:tcPr>
          <w:p w14:paraId="253C77D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color w:val="auto"/>
                <w:lang w:val="en-US" w:eastAsia="zh-CN"/>
              </w:rPr>
            </w:pPr>
            <w:r>
              <w:rPr>
                <w:rFonts w:hint="eastAsia"/>
                <w:color w:val="auto"/>
                <w:highlight w:val="none"/>
                <w:lang w:val="en-US" w:eastAsia="zh-CN"/>
              </w:rPr>
              <w:t>2407-500102-04-05-983967</w:t>
            </w:r>
          </w:p>
        </w:tc>
      </w:tr>
      <w:tr w14:paraId="60B84C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0EC56F8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建设单位联系人</w:t>
            </w:r>
          </w:p>
        </w:tc>
        <w:tc>
          <w:tcPr>
            <w:tcW w:w="1637" w:type="dxa"/>
            <w:vAlign w:val="center"/>
          </w:tcPr>
          <w:p w14:paraId="3746804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2"/>
                <w:sz w:val="24"/>
                <w:szCs w:val="24"/>
              </w:rPr>
              <w:t>陈广义</w:t>
            </w:r>
          </w:p>
        </w:tc>
        <w:tc>
          <w:tcPr>
            <w:tcW w:w="2212" w:type="dxa"/>
            <w:vAlign w:val="center"/>
          </w:tcPr>
          <w:p w14:paraId="7571F05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联系方式</w:t>
            </w:r>
          </w:p>
        </w:tc>
        <w:tc>
          <w:tcPr>
            <w:tcW w:w="2639" w:type="dxa"/>
            <w:vAlign w:val="center"/>
          </w:tcPr>
          <w:p w14:paraId="7FEB35B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kern w:val="2"/>
                <w:sz w:val="24"/>
                <w:szCs w:val="24"/>
              </w:rPr>
              <w:t>18509940123</w:t>
            </w:r>
          </w:p>
        </w:tc>
      </w:tr>
      <w:tr w14:paraId="50A178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3B68714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建设地点</w:t>
            </w:r>
          </w:p>
        </w:tc>
        <w:tc>
          <w:tcPr>
            <w:tcW w:w="6488" w:type="dxa"/>
            <w:gridSpan w:val="3"/>
            <w:vAlign w:val="center"/>
          </w:tcPr>
          <w:p w14:paraId="178E7A0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重庆市涪陵区龙桥街道龙兴东路</w:t>
            </w:r>
            <w:r>
              <w:rPr>
                <w:rFonts w:hint="default" w:ascii="Times New Roman" w:hAnsi="Times New Roman" w:eastAsia="Times New Roman" w:cs="Times New Roman"/>
                <w:color w:val="auto"/>
                <w:sz w:val="24"/>
                <w:szCs w:val="24"/>
              </w:rPr>
              <w:t>88</w:t>
            </w:r>
            <w:r>
              <w:rPr>
                <w:rFonts w:hint="default" w:ascii="Times New Roman" w:hAnsi="Times New Roman" w:cs="Times New Roman"/>
                <w:color w:val="auto"/>
                <w:sz w:val="24"/>
                <w:szCs w:val="24"/>
              </w:rPr>
              <w:t>号</w:t>
            </w:r>
          </w:p>
        </w:tc>
      </w:tr>
      <w:tr w14:paraId="6430E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585C1CB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地理坐标</w:t>
            </w:r>
          </w:p>
        </w:tc>
        <w:tc>
          <w:tcPr>
            <w:tcW w:w="6488" w:type="dxa"/>
            <w:gridSpan w:val="3"/>
            <w:vAlign w:val="center"/>
          </w:tcPr>
          <w:p w14:paraId="607180D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eastAsia="宋体" w:cs="Times New Roman"/>
                <w:color w:val="auto"/>
                <w:sz w:val="24"/>
                <w:szCs w:val="24"/>
                <w:u w:val="single"/>
                <w:lang w:val="en-US" w:eastAsia="zh-CN"/>
              </w:rPr>
              <w:t>107</w:t>
            </w:r>
            <w:r>
              <w:rPr>
                <w:rFonts w:hint="default" w:ascii="Times New Roman" w:hAnsi="Times New Roman" w:eastAsia="宋体" w:cs="Times New Roman"/>
                <w:color w:val="auto"/>
                <w:sz w:val="24"/>
                <w:szCs w:val="24"/>
              </w:rPr>
              <w:t>度</w:t>
            </w:r>
            <w:r>
              <w:rPr>
                <w:rFonts w:hint="eastAsia" w:eastAsia="宋体" w:cs="Times New Roman"/>
                <w:color w:val="auto"/>
                <w:sz w:val="24"/>
                <w:szCs w:val="24"/>
                <w:u w:val="single"/>
                <w:lang w:val="en-US" w:eastAsia="zh-CN"/>
              </w:rPr>
              <w:t>15</w:t>
            </w:r>
            <w:r>
              <w:rPr>
                <w:rFonts w:hint="default" w:ascii="Times New Roman" w:hAnsi="Times New Roman" w:eastAsia="宋体" w:cs="Times New Roman"/>
                <w:color w:val="auto"/>
                <w:sz w:val="24"/>
                <w:szCs w:val="24"/>
              </w:rPr>
              <w:t>分</w:t>
            </w:r>
            <w:r>
              <w:rPr>
                <w:rFonts w:hint="eastAsia" w:eastAsia="宋体" w:cs="Times New Roman"/>
                <w:color w:val="auto"/>
                <w:sz w:val="24"/>
                <w:szCs w:val="24"/>
                <w:u w:val="single"/>
                <w:lang w:val="en-US" w:eastAsia="zh-CN"/>
              </w:rPr>
              <w:t>52.775</w:t>
            </w:r>
            <w:r>
              <w:rPr>
                <w:rFonts w:hint="default" w:ascii="Times New Roman" w:hAnsi="Times New Roman" w:eastAsia="宋体" w:cs="Times New Roman"/>
                <w:color w:val="auto"/>
                <w:sz w:val="24"/>
                <w:szCs w:val="24"/>
              </w:rPr>
              <w:t>秒，</w:t>
            </w:r>
            <w:r>
              <w:rPr>
                <w:rFonts w:hint="default" w:ascii="Times New Roman" w:hAnsi="Times New Roman" w:eastAsia="宋体" w:cs="Times New Roman"/>
                <w:color w:val="auto"/>
                <w:sz w:val="24"/>
                <w:szCs w:val="24"/>
                <w:u w:val="single"/>
                <w:lang w:val="en-US" w:eastAsia="zh-CN"/>
              </w:rPr>
              <w:t>29</w:t>
            </w:r>
            <w:r>
              <w:rPr>
                <w:rFonts w:hint="default" w:ascii="Times New Roman" w:hAnsi="Times New Roman" w:eastAsia="宋体" w:cs="Times New Roman"/>
                <w:color w:val="auto"/>
                <w:sz w:val="24"/>
                <w:szCs w:val="24"/>
              </w:rPr>
              <w:t>度</w:t>
            </w:r>
            <w:r>
              <w:rPr>
                <w:rFonts w:hint="default" w:ascii="Times New Roman" w:hAnsi="Times New Roman" w:eastAsia="宋体" w:cs="Times New Roman"/>
                <w:color w:val="auto"/>
                <w:sz w:val="24"/>
                <w:szCs w:val="24"/>
                <w:u w:val="single"/>
                <w:lang w:val="en-US" w:eastAsia="zh-CN"/>
              </w:rPr>
              <w:t>4</w:t>
            </w:r>
            <w:r>
              <w:rPr>
                <w:rFonts w:hint="eastAsia" w:eastAsia="宋体" w:cs="Times New Roman"/>
                <w:color w:val="auto"/>
                <w:sz w:val="24"/>
                <w:szCs w:val="24"/>
                <w:u w:val="single"/>
                <w:lang w:val="en-US" w:eastAsia="zh-CN"/>
              </w:rPr>
              <w:t>2</w:t>
            </w:r>
            <w:r>
              <w:rPr>
                <w:rFonts w:hint="default" w:ascii="Times New Roman" w:hAnsi="Times New Roman" w:eastAsia="宋体" w:cs="Times New Roman"/>
                <w:color w:val="auto"/>
                <w:sz w:val="24"/>
                <w:szCs w:val="24"/>
              </w:rPr>
              <w:t>分</w:t>
            </w:r>
            <w:r>
              <w:rPr>
                <w:rFonts w:hint="eastAsia" w:eastAsia="宋体" w:cs="Times New Roman"/>
                <w:color w:val="auto"/>
                <w:sz w:val="24"/>
                <w:szCs w:val="24"/>
                <w:u w:val="single"/>
                <w:lang w:val="en-US" w:eastAsia="zh-CN"/>
              </w:rPr>
              <w:t>8.105</w:t>
            </w:r>
            <w:r>
              <w:rPr>
                <w:rFonts w:hint="default" w:ascii="Times New Roman" w:hAnsi="Times New Roman" w:eastAsia="宋体" w:cs="Times New Roman"/>
                <w:color w:val="auto"/>
                <w:sz w:val="24"/>
                <w:szCs w:val="24"/>
              </w:rPr>
              <w:t>秒</w:t>
            </w:r>
            <w:r>
              <w:rPr>
                <w:rFonts w:hint="default" w:ascii="Times New Roman" w:hAnsi="Times New Roman" w:cs="Times New Roman"/>
                <w:color w:val="auto"/>
                <w:sz w:val="24"/>
                <w:szCs w:val="24"/>
              </w:rPr>
              <w:t>）</w:t>
            </w:r>
          </w:p>
        </w:tc>
      </w:tr>
      <w:tr w14:paraId="6B9C0C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14:paraId="2B9690D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国民经济</w:t>
            </w:r>
          </w:p>
          <w:p w14:paraId="0948D31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行业类别</w:t>
            </w:r>
          </w:p>
        </w:tc>
        <w:tc>
          <w:tcPr>
            <w:tcW w:w="1637" w:type="dxa"/>
            <w:vAlign w:val="center"/>
          </w:tcPr>
          <w:p w14:paraId="5B007F84">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eastAsia="宋体"/>
                <w:color w:val="auto"/>
                <w:sz w:val="24"/>
                <w:szCs w:val="24"/>
                <w:lang w:val="en-US" w:eastAsia="zh-CN"/>
              </w:rPr>
            </w:pPr>
            <w:r>
              <w:rPr>
                <w:rFonts w:hint="eastAsia" w:cs="Times New Roman"/>
                <w:color w:val="auto"/>
                <w:kern w:val="2"/>
                <w:sz w:val="24"/>
                <w:szCs w:val="24"/>
                <w:lang w:val="en-US" w:eastAsia="zh-CN"/>
              </w:rPr>
              <w:t>C13</w:t>
            </w:r>
            <w:r>
              <w:rPr>
                <w:rFonts w:cs="Times New Roman"/>
                <w:color w:val="auto"/>
                <w:kern w:val="2"/>
                <w:sz w:val="24"/>
                <w:szCs w:val="24"/>
              </w:rPr>
              <w:t>-</w:t>
            </w:r>
            <w:r>
              <w:rPr>
                <w:rFonts w:hint="eastAsia" w:cs="Times New Roman"/>
                <w:color w:val="auto"/>
                <w:kern w:val="2"/>
                <w:sz w:val="24"/>
                <w:szCs w:val="24"/>
                <w:lang w:val="en-US" w:eastAsia="zh-CN"/>
              </w:rPr>
              <w:t>1331</w:t>
            </w:r>
            <w:r>
              <w:rPr>
                <w:rFonts w:hint="eastAsia" w:ascii="Times New Roman" w:hAnsi="Times New Roman" w:cs="Times New Roman"/>
                <w:color w:val="auto"/>
                <w:kern w:val="2"/>
                <w:sz w:val="24"/>
                <w:szCs w:val="24"/>
                <w:lang w:val="en-US" w:eastAsia="zh-CN"/>
              </w:rPr>
              <w:t>食用植物油加工</w:t>
            </w:r>
          </w:p>
        </w:tc>
        <w:tc>
          <w:tcPr>
            <w:tcW w:w="2212" w:type="dxa"/>
            <w:vAlign w:val="center"/>
          </w:tcPr>
          <w:p w14:paraId="3609F8D9">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bookmarkStart w:id="0" w:name="_Hlk49843745"/>
            <w:r>
              <w:rPr>
                <w:rFonts w:hint="default" w:ascii="Times New Roman" w:hAnsi="Times New Roman" w:cs="Times New Roman"/>
                <w:color w:val="auto"/>
                <w:sz w:val="24"/>
                <w:szCs w:val="24"/>
              </w:rPr>
              <w:t>建设项目</w:t>
            </w:r>
          </w:p>
          <w:p w14:paraId="3BA76CD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行业类别</w:t>
            </w:r>
            <w:bookmarkEnd w:id="0"/>
          </w:p>
        </w:tc>
        <w:tc>
          <w:tcPr>
            <w:tcW w:w="2639" w:type="dxa"/>
            <w:vAlign w:val="center"/>
          </w:tcPr>
          <w:p w14:paraId="5DFB2F68">
            <w:pPr>
              <w:keepNext w:val="0"/>
              <w:keepLines w:val="0"/>
              <w:pageBreakBefore w:val="0"/>
              <w:widowControl/>
              <w:suppressLineNumbers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eastAsia="STSong-Light" w:cs="Times New Roman"/>
                <w:color w:val="auto"/>
                <w:kern w:val="0"/>
                <w:sz w:val="24"/>
                <w:szCs w:val="24"/>
                <w:lang w:val="en-US" w:eastAsia="zh-CN" w:bidi="ar"/>
              </w:rPr>
              <w:t>10-016植物油加工</w:t>
            </w:r>
          </w:p>
        </w:tc>
      </w:tr>
      <w:tr w14:paraId="5B57AA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14:paraId="669D36B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建设性质</w:t>
            </w:r>
          </w:p>
        </w:tc>
        <w:tc>
          <w:tcPr>
            <w:tcW w:w="1637" w:type="dxa"/>
            <w:vAlign w:val="center"/>
          </w:tcPr>
          <w:p w14:paraId="3BD49ECB">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sym w:font="Wingdings 2" w:char="00A3"/>
            </w:r>
            <w:r>
              <w:rPr>
                <w:rFonts w:hint="default" w:ascii="Times New Roman" w:hAnsi="Times New Roman" w:cs="Times New Roman"/>
                <w:color w:val="auto"/>
                <w:sz w:val="24"/>
                <w:szCs w:val="24"/>
              </w:rPr>
              <w:t>新建（迁建）</w:t>
            </w:r>
          </w:p>
          <w:p w14:paraId="2B153D38">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sz w:val="24"/>
                <w:szCs w:val="24"/>
              </w:rPr>
            </w:pPr>
            <w:r>
              <w:rPr>
                <w:rFonts w:hint="eastAsia" w:eastAsia="宋体" w:cs="Times New Roman"/>
                <w:color w:val="auto"/>
                <w:sz w:val="24"/>
                <w:szCs w:val="24"/>
                <w:lang w:eastAsia="zh-CN"/>
              </w:rPr>
              <w:t>□</w:t>
            </w:r>
            <w:r>
              <w:rPr>
                <w:rFonts w:hint="default" w:ascii="Times New Roman" w:hAnsi="Times New Roman" w:cs="Times New Roman"/>
                <w:color w:val="auto"/>
                <w:sz w:val="24"/>
                <w:szCs w:val="24"/>
              </w:rPr>
              <w:t>改建</w:t>
            </w:r>
          </w:p>
          <w:p w14:paraId="1F98FB82">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sz w:val="24"/>
                <w:szCs w:val="24"/>
              </w:rPr>
            </w:pPr>
            <w:r>
              <w:rPr>
                <w:rFonts w:hint="eastAsia" w:ascii="宋体" w:hAnsi="宋体" w:cs="宋体"/>
                <w:color w:val="auto"/>
                <w:kern w:val="0"/>
              </w:rPr>
              <w:t>√</w:t>
            </w:r>
            <w:r>
              <w:rPr>
                <w:rFonts w:hint="default" w:ascii="Times New Roman" w:hAnsi="Times New Roman" w:cs="Times New Roman"/>
                <w:color w:val="auto"/>
                <w:sz w:val="24"/>
                <w:szCs w:val="24"/>
              </w:rPr>
              <w:t>扩建</w:t>
            </w:r>
          </w:p>
          <w:p w14:paraId="46A48346">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kern w:val="0"/>
              </w:rPr>
              <w:t>√</w:t>
            </w:r>
            <w:r>
              <w:rPr>
                <w:rFonts w:hint="default" w:ascii="Times New Roman" w:hAnsi="Times New Roman" w:cs="Times New Roman"/>
                <w:color w:val="auto"/>
                <w:sz w:val="24"/>
                <w:szCs w:val="24"/>
              </w:rPr>
              <w:t>技术改造</w:t>
            </w:r>
          </w:p>
        </w:tc>
        <w:tc>
          <w:tcPr>
            <w:tcW w:w="2212" w:type="dxa"/>
            <w:vAlign w:val="center"/>
          </w:tcPr>
          <w:p w14:paraId="7A317158">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建设项目</w:t>
            </w:r>
          </w:p>
          <w:p w14:paraId="1ADC247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申报情形</w:t>
            </w:r>
          </w:p>
        </w:tc>
        <w:tc>
          <w:tcPr>
            <w:tcW w:w="2639" w:type="dxa"/>
            <w:vAlign w:val="center"/>
          </w:tcPr>
          <w:p w14:paraId="167F0B73">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color w:val="auto"/>
                <w:sz w:val="24"/>
                <w:szCs w:val="24"/>
              </w:rPr>
              <w:sym w:font="Wingdings 2" w:char="0052"/>
            </w:r>
            <w:r>
              <w:rPr>
                <w:rFonts w:hint="eastAsia" w:ascii="宋体" w:hAnsi="宋体" w:cs="宋体"/>
                <w:color w:val="auto"/>
                <w:sz w:val="24"/>
                <w:szCs w:val="24"/>
              </w:rPr>
              <w:t>首次申报项目</w:t>
            </w:r>
          </w:p>
          <w:p w14:paraId="2237F233">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t>□不予批准后再次申报项目</w:t>
            </w:r>
          </w:p>
          <w:p w14:paraId="0AA20738">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sym w:font="Wingdings 2" w:char="00A3"/>
            </w:r>
            <w:r>
              <w:rPr>
                <w:rFonts w:hint="eastAsia" w:ascii="宋体" w:hAnsi="宋体" w:cs="宋体"/>
                <w:color w:val="auto"/>
                <w:sz w:val="24"/>
                <w:szCs w:val="24"/>
              </w:rPr>
              <w:t>超五年重新审核项目</w:t>
            </w:r>
          </w:p>
          <w:p w14:paraId="730AA764">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t>□重大变动重新报批项目</w:t>
            </w:r>
          </w:p>
        </w:tc>
      </w:tr>
      <w:tr w14:paraId="3A2DAB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14:paraId="36138C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53C190D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备案）部门（选填）</w:t>
            </w:r>
          </w:p>
        </w:tc>
        <w:tc>
          <w:tcPr>
            <w:tcW w:w="1637" w:type="dxa"/>
            <w:vAlign w:val="center"/>
          </w:tcPr>
          <w:p w14:paraId="5F3E051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cs="Times New Roman"/>
                <w:color w:val="auto"/>
                <w:sz w:val="24"/>
                <w:szCs w:val="24"/>
                <w:lang w:eastAsia="zh-CN"/>
              </w:rPr>
              <w:t>重庆市涪陵区发展和改革委员会</w:t>
            </w:r>
          </w:p>
        </w:tc>
        <w:tc>
          <w:tcPr>
            <w:tcW w:w="2212" w:type="dxa"/>
            <w:vAlign w:val="center"/>
          </w:tcPr>
          <w:p w14:paraId="41AE0D2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t>项目审批（核准</w:t>
            </w:r>
            <w:r>
              <w:rPr>
                <w:rFonts w:ascii="宋体" w:hAnsi="宋体" w:cs="宋体"/>
                <w:color w:val="auto"/>
                <w:sz w:val="24"/>
                <w:szCs w:val="24"/>
              </w:rPr>
              <w:t>/</w:t>
            </w:r>
          </w:p>
          <w:p w14:paraId="0444905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t>备案）文号（选填）</w:t>
            </w:r>
          </w:p>
        </w:tc>
        <w:tc>
          <w:tcPr>
            <w:tcW w:w="2639" w:type="dxa"/>
            <w:vAlign w:val="center"/>
          </w:tcPr>
          <w:p w14:paraId="5049449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w:t>
            </w:r>
          </w:p>
        </w:tc>
      </w:tr>
      <w:tr w14:paraId="73D01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681EF1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总投资（万元）</w:t>
            </w:r>
          </w:p>
        </w:tc>
        <w:tc>
          <w:tcPr>
            <w:tcW w:w="1637" w:type="dxa"/>
            <w:vAlign w:val="center"/>
          </w:tcPr>
          <w:p w14:paraId="42180C4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3000</w:t>
            </w:r>
          </w:p>
        </w:tc>
        <w:tc>
          <w:tcPr>
            <w:tcW w:w="2212" w:type="dxa"/>
            <w:tcMar>
              <w:top w:w="16" w:type="dxa"/>
              <w:left w:w="16" w:type="dxa"/>
              <w:right w:w="16" w:type="dxa"/>
            </w:tcMar>
            <w:vAlign w:val="center"/>
          </w:tcPr>
          <w:p w14:paraId="3CDFEC9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t>环保投资（万元）</w:t>
            </w:r>
          </w:p>
        </w:tc>
        <w:tc>
          <w:tcPr>
            <w:tcW w:w="2639" w:type="dxa"/>
            <w:vAlign w:val="center"/>
          </w:tcPr>
          <w:p w14:paraId="5697724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35</w:t>
            </w:r>
          </w:p>
        </w:tc>
      </w:tr>
      <w:tr w14:paraId="5FD6A1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63AE673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环保投资占比（</w:t>
            </w:r>
            <w:r>
              <w:rPr>
                <w:rFonts w:ascii="宋体" w:hAnsi="宋体" w:cs="宋体"/>
                <w:color w:val="auto"/>
                <w:sz w:val="24"/>
                <w:szCs w:val="24"/>
              </w:rPr>
              <w:t>%</w:t>
            </w:r>
            <w:r>
              <w:rPr>
                <w:rFonts w:hint="eastAsia" w:ascii="宋体" w:hAnsi="宋体" w:cs="宋体"/>
                <w:color w:val="auto"/>
                <w:sz w:val="24"/>
                <w:szCs w:val="24"/>
              </w:rPr>
              <w:t>）</w:t>
            </w:r>
          </w:p>
        </w:tc>
        <w:tc>
          <w:tcPr>
            <w:tcW w:w="1637" w:type="dxa"/>
            <w:vAlign w:val="center"/>
          </w:tcPr>
          <w:p w14:paraId="1431A2C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highlight w:val="none"/>
                <w:lang w:val="en-US" w:eastAsia="zh-CN"/>
              </w:rPr>
              <w:t>1.17</w:t>
            </w:r>
          </w:p>
        </w:tc>
        <w:tc>
          <w:tcPr>
            <w:tcW w:w="2212" w:type="dxa"/>
            <w:tcMar>
              <w:top w:w="16" w:type="dxa"/>
              <w:left w:w="16" w:type="dxa"/>
              <w:right w:w="16" w:type="dxa"/>
            </w:tcMar>
            <w:vAlign w:val="center"/>
          </w:tcPr>
          <w:p w14:paraId="0620230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t>施工工期</w:t>
            </w:r>
          </w:p>
        </w:tc>
        <w:tc>
          <w:tcPr>
            <w:tcW w:w="2639" w:type="dxa"/>
            <w:vAlign w:val="center"/>
          </w:tcPr>
          <w:p w14:paraId="328304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rPr>
            </w:pPr>
            <w:r>
              <w:rPr>
                <w:rFonts w:hint="eastAsia" w:cs="Times New Roman"/>
                <w:color w:val="auto"/>
                <w:sz w:val="24"/>
                <w:szCs w:val="24"/>
                <w:lang w:val="en-US" w:eastAsia="zh-CN"/>
              </w:rPr>
              <w:t>3</w:t>
            </w:r>
            <w:r>
              <w:rPr>
                <w:rFonts w:hint="default" w:ascii="Times New Roman" w:hAnsi="Times New Roman" w:cs="Times New Roman"/>
                <w:color w:val="auto"/>
                <w:sz w:val="24"/>
                <w:szCs w:val="24"/>
              </w:rPr>
              <w:t>月</w:t>
            </w:r>
          </w:p>
        </w:tc>
      </w:tr>
      <w:tr w14:paraId="7DD02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14:paraId="2C565F6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是否开工建设</w:t>
            </w:r>
          </w:p>
        </w:tc>
        <w:tc>
          <w:tcPr>
            <w:tcW w:w="1637" w:type="dxa"/>
            <w:vAlign w:val="center"/>
          </w:tcPr>
          <w:p w14:paraId="5606364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z w:val="24"/>
                <w:szCs w:val="24"/>
              </w:rPr>
              <w:sym w:font="Wingdings 2" w:char="0052"/>
            </w:r>
            <w:r>
              <w:rPr>
                <w:rFonts w:hint="eastAsia" w:ascii="宋体" w:hAnsi="宋体" w:cs="宋体"/>
                <w:color w:val="auto"/>
                <w:sz w:val="24"/>
                <w:szCs w:val="24"/>
              </w:rPr>
              <w:t>否</w:t>
            </w:r>
          </w:p>
          <w:p w14:paraId="0069B9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hint="default" w:ascii="宋体" w:hAnsi="宋体" w:eastAsia="宋体" w:cs="宋体"/>
                <w:color w:val="auto"/>
                <w:sz w:val="24"/>
                <w:szCs w:val="24"/>
                <w:lang w:val="en-US" w:eastAsia="zh-CN"/>
              </w:rPr>
            </w:pPr>
            <w:r>
              <w:rPr>
                <w:color w:val="auto"/>
                <w:sz w:val="24"/>
                <w:szCs w:val="24"/>
              </w:rPr>
              <w:sym w:font="Wingdings 2" w:char="00A3"/>
            </w:r>
            <w:r>
              <w:rPr>
                <w:rFonts w:hint="eastAsia" w:ascii="宋体" w:hAnsi="宋体" w:cs="宋体"/>
                <w:color w:val="auto"/>
                <w:sz w:val="24"/>
                <w:szCs w:val="24"/>
              </w:rPr>
              <w:t>是：</w:t>
            </w:r>
            <w:r>
              <w:rPr>
                <w:rFonts w:hint="eastAsia" w:ascii="宋体" w:hAnsi="宋体" w:cs="宋体"/>
                <w:color w:val="auto"/>
                <w:sz w:val="24"/>
                <w:szCs w:val="24"/>
                <w:u w:val="single"/>
                <w:lang w:val="en-US" w:eastAsia="zh-CN"/>
              </w:rPr>
              <w:t xml:space="preserve">       </w:t>
            </w:r>
          </w:p>
        </w:tc>
        <w:tc>
          <w:tcPr>
            <w:tcW w:w="2212" w:type="dxa"/>
            <w:tcMar>
              <w:top w:w="16" w:type="dxa"/>
              <w:left w:w="16" w:type="dxa"/>
              <w:right w:w="16" w:type="dxa"/>
            </w:tcMar>
            <w:vAlign w:val="center"/>
          </w:tcPr>
          <w:p w14:paraId="6C521F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pacing w:val="-6"/>
                <w:sz w:val="24"/>
                <w:szCs w:val="24"/>
              </w:rPr>
            </w:pPr>
            <w:r>
              <w:rPr>
                <w:rFonts w:hint="eastAsia" w:ascii="宋体" w:hAnsi="宋体" w:cs="宋体"/>
                <w:color w:val="auto"/>
                <w:spacing w:val="-6"/>
                <w:sz w:val="24"/>
                <w:szCs w:val="24"/>
              </w:rPr>
              <w:t>用地（用海）</w:t>
            </w:r>
          </w:p>
          <w:p w14:paraId="79A5793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textAlignment w:val="auto"/>
              <w:rPr>
                <w:rFonts w:ascii="宋体" w:hAnsi="宋体" w:cs="宋体"/>
                <w:color w:val="auto"/>
                <w:sz w:val="24"/>
                <w:szCs w:val="24"/>
              </w:rPr>
            </w:pPr>
            <w:r>
              <w:rPr>
                <w:rFonts w:hint="eastAsia" w:ascii="宋体" w:hAnsi="宋体" w:cs="宋体"/>
                <w:color w:val="auto"/>
                <w:spacing w:val="-6"/>
                <w:sz w:val="24"/>
                <w:szCs w:val="24"/>
              </w:rPr>
              <w:t>面积（</w:t>
            </w:r>
            <w:r>
              <w:rPr>
                <w:rFonts w:ascii="宋体" w:hAnsi="宋体" w:cs="宋体"/>
                <w:color w:val="auto"/>
                <w:spacing w:val="-6"/>
                <w:sz w:val="24"/>
                <w:szCs w:val="24"/>
              </w:rPr>
              <w:t>m</w:t>
            </w:r>
            <w:r>
              <w:rPr>
                <w:rFonts w:ascii="宋体" w:hAnsi="宋体" w:cs="宋体"/>
                <w:color w:val="auto"/>
                <w:spacing w:val="-6"/>
                <w:sz w:val="24"/>
                <w:szCs w:val="24"/>
                <w:vertAlign w:val="superscript"/>
              </w:rPr>
              <w:t>2</w:t>
            </w:r>
            <w:r>
              <w:rPr>
                <w:rFonts w:hint="eastAsia" w:ascii="宋体" w:hAnsi="宋体" w:cs="宋体"/>
                <w:color w:val="auto"/>
                <w:spacing w:val="-6"/>
                <w:sz w:val="24"/>
                <w:szCs w:val="24"/>
              </w:rPr>
              <w:t>）</w:t>
            </w:r>
          </w:p>
        </w:tc>
        <w:tc>
          <w:tcPr>
            <w:tcW w:w="2639" w:type="dxa"/>
            <w:vAlign w:val="center"/>
          </w:tcPr>
          <w:p w14:paraId="4C6D817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color w:val="auto"/>
                <w:sz w:val="24"/>
                <w:szCs w:val="24"/>
                <w:lang w:val="en-US" w:eastAsia="zh-CN"/>
              </w:rPr>
            </w:pPr>
            <w:r>
              <w:rPr>
                <w:rFonts w:hint="eastAsia"/>
                <w:color w:val="auto"/>
                <w:sz w:val="24"/>
                <w:szCs w:val="24"/>
                <w:lang w:val="en-US" w:eastAsia="zh-CN"/>
              </w:rPr>
              <w:t>/</w:t>
            </w:r>
          </w:p>
        </w:tc>
      </w:tr>
      <w:tr w14:paraId="6ECF3C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382" w:type="dxa"/>
            <w:vAlign w:val="center"/>
          </w:tcPr>
          <w:p w14:paraId="49EDD923">
            <w:pPr>
              <w:keepNext w:val="0"/>
              <w:keepLines w:val="0"/>
              <w:pageBreakBefore w:val="0"/>
              <w:kinsoku/>
              <w:wordWrap/>
              <w:overflowPunct/>
              <w:topLinePunct w:val="0"/>
              <w:autoSpaceDE w:val="0"/>
              <w:autoSpaceDN w:val="0"/>
              <w:bidi w:val="0"/>
              <w:adjustRightInd w:val="0"/>
              <w:snapToGrid w:val="0"/>
              <w:ind w:firstLine="0" w:firstLineChars="0"/>
              <w:jc w:val="center"/>
              <w:textAlignment w:val="auto"/>
              <w:rPr>
                <w:rFonts w:ascii="宋体" w:hAnsi="宋体" w:cs="宋体"/>
                <w:color w:val="auto"/>
                <w:kern w:val="0"/>
                <w:sz w:val="24"/>
                <w:szCs w:val="24"/>
              </w:rPr>
            </w:pPr>
            <w:r>
              <w:rPr>
                <w:rFonts w:hint="eastAsia" w:ascii="宋体" w:hAnsi="宋体" w:cs="宋体"/>
                <w:color w:val="auto"/>
                <w:kern w:val="0"/>
                <w:sz w:val="24"/>
                <w:szCs w:val="24"/>
              </w:rPr>
              <w:t>专项评价设置情况</w:t>
            </w:r>
          </w:p>
        </w:tc>
        <w:tc>
          <w:tcPr>
            <w:tcW w:w="6488" w:type="dxa"/>
            <w:gridSpan w:val="3"/>
            <w:vAlign w:val="center"/>
          </w:tcPr>
          <w:p w14:paraId="2882B9A1">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both"/>
              <w:textAlignment w:val="auto"/>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现有工程磷酸、正己烷存储量超过临界量，设置环境风险评价专题</w:t>
            </w:r>
          </w:p>
        </w:tc>
      </w:tr>
      <w:tr w14:paraId="2D4411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382" w:type="dxa"/>
            <w:vAlign w:val="center"/>
          </w:tcPr>
          <w:p w14:paraId="4228DE30">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ascii="宋体" w:hAnsi="宋体" w:cs="宋体"/>
                <w:color w:val="auto"/>
                <w:kern w:val="0"/>
                <w:sz w:val="24"/>
                <w:szCs w:val="24"/>
              </w:rPr>
            </w:pPr>
            <w:r>
              <w:rPr>
                <w:rFonts w:hint="eastAsia" w:ascii="宋体" w:hAnsi="宋体" w:cs="宋体"/>
                <w:color w:val="auto"/>
                <w:sz w:val="24"/>
                <w:szCs w:val="24"/>
              </w:rPr>
              <w:t>规划情况</w:t>
            </w:r>
          </w:p>
        </w:tc>
        <w:tc>
          <w:tcPr>
            <w:tcW w:w="6488" w:type="dxa"/>
            <w:gridSpan w:val="3"/>
            <w:vAlign w:val="center"/>
          </w:tcPr>
          <w:p w14:paraId="1B17E9CE">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《重庆涪陵工业园区龙桥组团规划》（</w:t>
            </w:r>
            <w:r>
              <w:rPr>
                <w:rFonts w:hint="default" w:ascii="Times New Roman" w:hAnsi="Times New Roman" w:cs="Times New Roman"/>
                <w:color w:val="auto"/>
                <w:sz w:val="24"/>
                <w:szCs w:val="24"/>
                <w:lang w:val="en-US" w:eastAsia="zh-CN"/>
              </w:rPr>
              <w:t>2015-2030</w:t>
            </w:r>
            <w:r>
              <w:rPr>
                <w:rFonts w:hint="default" w:ascii="Times New Roman" w:hAnsi="Times New Roman" w:cs="Times New Roman"/>
                <w:color w:val="auto"/>
                <w:sz w:val="24"/>
                <w:szCs w:val="24"/>
                <w:lang w:eastAsia="zh-CN"/>
              </w:rPr>
              <w:t>）</w:t>
            </w:r>
          </w:p>
          <w:p w14:paraId="6289AF04">
            <w:pPr>
              <w:pStyle w:val="23"/>
              <w:keepNext w:val="0"/>
              <w:keepLines w:val="0"/>
              <w:pageBreakBefore w:val="0"/>
              <w:kinsoku/>
              <w:wordWrap/>
              <w:overflowPunct/>
              <w:topLinePunct w:val="0"/>
              <w:bidi w:val="0"/>
              <w:adjustRightInd w:val="0"/>
              <w:snapToGrid w:val="0"/>
              <w:ind w:firstLine="0" w:firstLineChars="0"/>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重庆市涪陵区</w:t>
            </w:r>
            <w:r>
              <w:rPr>
                <w:rFonts w:hint="eastAsia" w:ascii="Times New Roman" w:cs="Times New Roman"/>
                <w:color w:val="auto"/>
                <w:sz w:val="24"/>
                <w:szCs w:val="24"/>
                <w:lang w:val="en-US" w:eastAsia="zh-CN"/>
              </w:rPr>
              <w:t xml:space="preserve"> </w:t>
            </w:r>
            <w:r>
              <w:rPr>
                <w:rFonts w:hint="default" w:ascii="Times New Roman" w:hAnsi="Times New Roman" w:cs="Times New Roman"/>
                <w:color w:val="auto"/>
                <w:sz w:val="24"/>
                <w:szCs w:val="24"/>
                <w:lang w:eastAsia="zh-CN"/>
              </w:rPr>
              <w:t>人民政府</w:t>
            </w:r>
          </w:p>
        </w:tc>
      </w:tr>
      <w:tr w14:paraId="4FE3CB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4" w:hRule="atLeast"/>
          <w:jc w:val="center"/>
        </w:trPr>
        <w:tc>
          <w:tcPr>
            <w:tcW w:w="2382" w:type="dxa"/>
            <w:vAlign w:val="center"/>
          </w:tcPr>
          <w:p w14:paraId="280A34E2">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ascii="宋体" w:hAnsi="宋体" w:cs="宋体"/>
                <w:color w:val="auto"/>
                <w:sz w:val="24"/>
                <w:szCs w:val="24"/>
              </w:rPr>
            </w:pPr>
            <w:r>
              <w:rPr>
                <w:rFonts w:hint="eastAsia" w:ascii="宋体" w:hAnsi="宋体" w:cs="宋体"/>
                <w:color w:val="auto"/>
                <w:sz w:val="24"/>
                <w:szCs w:val="24"/>
              </w:rPr>
              <w:t>规划环境影响</w:t>
            </w:r>
          </w:p>
          <w:p w14:paraId="5FC277B5">
            <w:pPr>
              <w:keepNext w:val="0"/>
              <w:keepLines w:val="0"/>
              <w:pageBreakBefore w:val="0"/>
              <w:kinsoku/>
              <w:wordWrap/>
              <w:overflowPunct/>
              <w:topLinePunct w:val="0"/>
              <w:bidi w:val="0"/>
              <w:adjustRightInd w:val="0"/>
              <w:snapToGrid w:val="0"/>
              <w:spacing w:line="240" w:lineRule="auto"/>
              <w:ind w:firstLine="0" w:firstLineChars="0"/>
              <w:jc w:val="center"/>
              <w:textAlignment w:val="auto"/>
              <w:rPr>
                <w:rFonts w:ascii="宋体" w:hAnsi="宋体" w:cs="宋体"/>
                <w:color w:val="auto"/>
                <w:kern w:val="0"/>
                <w:sz w:val="24"/>
                <w:szCs w:val="24"/>
              </w:rPr>
            </w:pPr>
            <w:r>
              <w:rPr>
                <w:rFonts w:hint="eastAsia" w:ascii="宋体" w:hAnsi="宋体" w:cs="宋体"/>
                <w:color w:val="auto"/>
                <w:sz w:val="24"/>
                <w:szCs w:val="24"/>
              </w:rPr>
              <w:t>评价情况</w:t>
            </w:r>
          </w:p>
        </w:tc>
        <w:tc>
          <w:tcPr>
            <w:tcW w:w="6488" w:type="dxa"/>
            <w:gridSpan w:val="3"/>
            <w:vAlign w:val="center"/>
          </w:tcPr>
          <w:p w14:paraId="76C5EFD5">
            <w:pPr>
              <w:keepNext w:val="0"/>
              <w:keepLines w:val="0"/>
              <w:pageBreakBefore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《重庆涪陵工业园区龙桥组团规划</w:t>
            </w:r>
            <w:r>
              <w:rPr>
                <w:rFonts w:hint="eastAsia" w:cs="Times New Roman"/>
                <w:color w:val="auto"/>
                <w:sz w:val="24"/>
                <w:szCs w:val="24"/>
                <w:lang w:eastAsia="zh-CN"/>
              </w:rPr>
              <w:t>调整</w:t>
            </w:r>
            <w:r>
              <w:rPr>
                <w:rFonts w:hint="default" w:ascii="Times New Roman" w:hAnsi="Times New Roman" w:cs="Times New Roman"/>
                <w:color w:val="auto"/>
                <w:sz w:val="24"/>
                <w:szCs w:val="24"/>
                <w:lang w:eastAsia="zh-CN"/>
              </w:rPr>
              <w:t>环境影响评价报告书》</w:t>
            </w:r>
          </w:p>
          <w:p w14:paraId="72D23014">
            <w:pPr>
              <w:keepNext w:val="0"/>
              <w:keepLines w:val="0"/>
              <w:pageBreakBefore w:val="0"/>
              <w:kinsoku/>
              <w:wordWrap/>
              <w:overflowPunct/>
              <w:topLinePunct w:val="0"/>
              <w:autoSpaceDE/>
              <w:autoSpaceDN/>
              <w:bidi w:val="0"/>
              <w:adjustRightInd w:val="0"/>
              <w:snapToGrid w:val="0"/>
              <w:spacing w:line="240" w:lineRule="auto"/>
              <w:ind w:firstLine="0" w:firstLineChars="0"/>
              <w:jc w:val="both"/>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lang w:eastAsia="zh-CN"/>
              </w:rPr>
              <w:t>《重庆涪陵工业园区龙桥组团规划调整环境影响评价报告书审查意见函》</w:t>
            </w:r>
            <w:r>
              <w:rPr>
                <w:rFonts w:hint="default" w:ascii="Times New Roman" w:hAnsi="Times New Roman" w:cs="Times New Roman"/>
                <w:color w:val="auto"/>
                <w:kern w:val="0"/>
                <w:sz w:val="24"/>
                <w:szCs w:val="24"/>
              </w:rPr>
              <w:t>渝环函</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2021</w:t>
            </w:r>
            <w:r>
              <w:rPr>
                <w:rFonts w:hint="default" w:ascii="Times New Roman" w:hAnsi="Times New Roman" w:eastAsia="宋体" w:cs="Times New Roman"/>
                <w:color w:val="auto"/>
                <w:sz w:val="24"/>
                <w:szCs w:val="24"/>
              </w:rPr>
              <w:t>]</w:t>
            </w:r>
            <w:r>
              <w:rPr>
                <w:rFonts w:hint="default" w:ascii="Times New Roman" w:hAnsi="Times New Roman" w:cs="Times New Roman"/>
                <w:color w:val="auto"/>
                <w:kern w:val="0"/>
                <w:sz w:val="24"/>
                <w:szCs w:val="24"/>
                <w:lang w:val="en-US" w:eastAsia="zh-CN"/>
              </w:rPr>
              <w:t>360</w:t>
            </w:r>
            <w:r>
              <w:rPr>
                <w:rFonts w:hint="default" w:ascii="Times New Roman" w:hAnsi="Times New Roman" w:cs="Times New Roman"/>
                <w:color w:val="auto"/>
                <w:kern w:val="0"/>
                <w:sz w:val="24"/>
                <w:szCs w:val="24"/>
              </w:rPr>
              <w:t>号</w:t>
            </w:r>
          </w:p>
        </w:tc>
      </w:tr>
    </w:tbl>
    <w:p w14:paraId="4427F400">
      <w:pPr>
        <w:autoSpaceDE w:val="0"/>
        <w:autoSpaceDN w:val="0"/>
        <w:adjustRightInd w:val="0"/>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br w:type="page"/>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8332"/>
      </w:tblGrid>
      <w:tr w14:paraId="26E744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728" w:type="dxa"/>
            <w:vAlign w:val="center"/>
          </w:tcPr>
          <w:p w14:paraId="278BE076">
            <w:pPr>
              <w:autoSpaceDE w:val="0"/>
              <w:autoSpaceDN w:val="0"/>
              <w:adjustRightInd w:val="0"/>
              <w:snapToGrid w:val="0"/>
              <w:ind w:left="0" w:leftChars="0" w:firstLine="0" w:firstLineChars="0"/>
              <w:jc w:val="both"/>
              <w:rPr>
                <w:rFonts w:ascii="宋体" w:hAnsi="宋体" w:cs="宋体"/>
                <w:color w:val="auto"/>
                <w:kern w:val="0"/>
                <w:sz w:val="24"/>
                <w:szCs w:val="24"/>
              </w:rPr>
            </w:pPr>
            <w:r>
              <w:rPr>
                <w:rFonts w:hint="eastAsia" w:ascii="宋体" w:hAnsi="宋体" w:cs="宋体"/>
                <w:color w:val="auto"/>
                <w:kern w:val="0"/>
                <w:sz w:val="24"/>
                <w:szCs w:val="24"/>
              </w:rPr>
              <w:t>规划及规划环境</w:t>
            </w:r>
            <w:r>
              <w:rPr>
                <w:rFonts w:hint="eastAsia" w:ascii="宋体" w:hAnsi="宋体" w:eastAsia="宋体" w:cs="宋体"/>
                <w:color w:val="auto"/>
                <w:kern w:val="0"/>
                <w:sz w:val="24"/>
                <w:szCs w:val="24"/>
                <w:lang w:eastAsia="zh-CN"/>
              </w:rPr>
              <w:t>影</w:t>
            </w:r>
            <w:r>
              <w:rPr>
                <w:rFonts w:hint="eastAsia" w:ascii="宋体" w:hAnsi="宋体" w:cs="宋体"/>
                <w:color w:val="auto"/>
                <w:kern w:val="0"/>
                <w:sz w:val="24"/>
                <w:szCs w:val="24"/>
              </w:rPr>
              <w:t>响评价符合性分析</w:t>
            </w:r>
          </w:p>
        </w:tc>
        <w:tc>
          <w:tcPr>
            <w:tcW w:w="8332" w:type="dxa"/>
          </w:tcPr>
          <w:p w14:paraId="5C4B4A57">
            <w:pPr>
              <w:bidi w:val="0"/>
              <w:ind w:left="0" w:leftChars="0" w:firstLine="0" w:firstLineChars="0"/>
              <w:rPr>
                <w:rFonts w:hint="default"/>
                <w:b/>
                <w:bCs/>
                <w:color w:val="auto"/>
              </w:rPr>
            </w:pPr>
            <w:r>
              <w:rPr>
                <w:rFonts w:hint="eastAsia"/>
                <w:b/>
                <w:bCs/>
                <w:color w:val="auto"/>
                <w:lang w:val="en-US" w:eastAsia="zh-CN"/>
              </w:rPr>
              <w:t>1.与</w:t>
            </w:r>
            <w:r>
              <w:rPr>
                <w:rFonts w:hint="default"/>
                <w:b/>
                <w:bCs/>
                <w:color w:val="auto"/>
                <w:lang w:eastAsia="zh-CN"/>
              </w:rPr>
              <w:t>《重庆涪陵工业园区龙桥组团规划》</w:t>
            </w:r>
            <w:r>
              <w:rPr>
                <w:rFonts w:hint="default"/>
                <w:b/>
                <w:bCs/>
                <w:color w:val="auto"/>
              </w:rPr>
              <w:t>规划符合性分析</w:t>
            </w:r>
          </w:p>
          <w:p w14:paraId="19F11BFA">
            <w:pPr>
              <w:keepNext w:val="0"/>
              <w:keepLines w:val="0"/>
              <w:pageBreakBefore w:val="0"/>
              <w:widowControl w:val="0"/>
              <w:kinsoku/>
              <w:wordWrap/>
              <w:overflowPunct/>
              <w:topLinePunct w:val="0"/>
              <w:autoSpaceDE/>
              <w:autoSpaceDN/>
              <w:bidi w:val="0"/>
              <w:adjustRightInd w:val="0"/>
              <w:snapToGrid w:val="0"/>
              <w:textAlignment w:val="auto"/>
              <w:rPr>
                <w:color w:val="auto"/>
              </w:rPr>
            </w:pPr>
            <w:r>
              <w:rPr>
                <w:color w:val="auto"/>
              </w:rPr>
              <w:t>重庆涪陵工业园区龙桥组团规划范围包括南岸浦、石塔、苏家湾、新石片区等地的部分区域，用地面积共15.2622km</w:t>
            </w:r>
            <w:r>
              <w:rPr>
                <w:color w:val="auto"/>
                <w:vertAlign w:val="superscript"/>
              </w:rPr>
              <w:t>2</w:t>
            </w:r>
            <w:r>
              <w:rPr>
                <w:color w:val="auto"/>
              </w:rPr>
              <w:t>。</w:t>
            </w:r>
          </w:p>
          <w:p w14:paraId="7B92C687">
            <w:pPr>
              <w:keepNext w:val="0"/>
              <w:keepLines w:val="0"/>
              <w:pageBreakBefore w:val="0"/>
              <w:widowControl w:val="0"/>
              <w:kinsoku/>
              <w:wordWrap/>
              <w:overflowPunct/>
              <w:topLinePunct w:val="0"/>
              <w:autoSpaceDE/>
              <w:autoSpaceDN/>
              <w:bidi w:val="0"/>
              <w:adjustRightInd w:val="0"/>
              <w:snapToGrid w:val="0"/>
              <w:textAlignment w:val="auto"/>
              <w:rPr>
                <w:color w:val="auto"/>
              </w:rPr>
            </w:pPr>
            <w:r>
              <w:rPr>
                <w:color w:val="auto"/>
              </w:rPr>
              <w:t>规划定位为以原油加工及石</w:t>
            </w:r>
            <w:r>
              <w:rPr>
                <w:rFonts w:hint="eastAsia" w:eastAsia="宋体"/>
                <w:color w:val="auto"/>
                <w:lang w:eastAsia="zh-CN"/>
              </w:rPr>
              <w:t>油产</w:t>
            </w:r>
            <w:r>
              <w:rPr>
                <w:color w:val="auto"/>
              </w:rPr>
              <w:t>品制造、化纤纺织、临港加工贸易、物流、装 备制造及电子信息等产业作为园区产业发展方向。</w:t>
            </w:r>
          </w:p>
          <w:p w14:paraId="0749F3BF">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lang w:eastAsia="zh-CN"/>
              </w:rPr>
            </w:pPr>
            <w:r>
              <w:rPr>
                <w:color w:val="auto"/>
              </w:rPr>
              <w:t>规划从空间结构上形成“一轴四片区一园” 。“一轴”为园区产业发展轴，由国 道348（原茶涪路）串联各大片区形成的产业发展轴。“四片区”包括南岸浦片区、 苏家湾片区、石塔片区、新石片区。“一园”为太极退城入园，布置太极集团中成 药制造区域。</w:t>
            </w:r>
          </w:p>
          <w:p w14:paraId="4F7AD5FC">
            <w:pPr>
              <w:keepNext w:val="0"/>
              <w:keepLines w:val="0"/>
              <w:pageBreakBefore w:val="0"/>
              <w:widowControl w:val="0"/>
              <w:kinsoku/>
              <w:wordWrap/>
              <w:overflowPunct/>
              <w:topLinePunct w:val="0"/>
              <w:autoSpaceDE/>
              <w:autoSpaceDN/>
              <w:bidi w:val="0"/>
              <w:adjustRightInd w:val="0"/>
              <w:snapToGrid w:val="0"/>
              <w:textAlignment w:val="auto"/>
              <w:rPr>
                <w:rFonts w:hint="default"/>
                <w:color w:val="auto"/>
                <w:lang w:val="en-US" w:eastAsia="zh-CN"/>
              </w:rPr>
            </w:pPr>
            <w:r>
              <w:rPr>
                <w:color w:val="auto"/>
              </w:rPr>
              <w:t>本项目位于重庆市涪陵区龙桥街道</w:t>
            </w:r>
            <w:r>
              <w:rPr>
                <w:rFonts w:hint="default" w:ascii="Times New Roman" w:hAnsi="Times New Roman" w:cs="Times New Roman"/>
                <w:color w:val="auto"/>
                <w:sz w:val="24"/>
                <w:szCs w:val="24"/>
              </w:rPr>
              <w:t>龙兴东路</w:t>
            </w:r>
            <w:r>
              <w:rPr>
                <w:rFonts w:hint="default" w:ascii="Times New Roman" w:hAnsi="Times New Roman" w:eastAsia="Times New Roman" w:cs="Times New Roman"/>
                <w:color w:val="auto"/>
                <w:sz w:val="24"/>
                <w:szCs w:val="24"/>
              </w:rPr>
              <w:t>88</w:t>
            </w:r>
            <w:r>
              <w:rPr>
                <w:rFonts w:hint="default" w:ascii="Times New Roman" w:hAnsi="Times New Roman" w:cs="Times New Roman"/>
                <w:color w:val="auto"/>
                <w:sz w:val="24"/>
                <w:szCs w:val="24"/>
              </w:rPr>
              <w:t>号</w:t>
            </w:r>
            <w:r>
              <w:rPr>
                <w:color w:val="auto"/>
              </w:rPr>
              <w:t>，属于</w:t>
            </w:r>
            <w:r>
              <w:rPr>
                <w:rFonts w:hint="eastAsia" w:eastAsia="宋体"/>
                <w:color w:val="auto"/>
                <w:lang w:eastAsia="zh-CN"/>
              </w:rPr>
              <w:t>石塔</w:t>
            </w:r>
            <w:r>
              <w:rPr>
                <w:color w:val="auto"/>
              </w:rPr>
              <w:t>片区，用地性质为工业用地</w:t>
            </w:r>
            <w:r>
              <w:rPr>
                <w:rFonts w:hint="eastAsia" w:eastAsia="宋体"/>
                <w:color w:val="auto"/>
                <w:lang w:eastAsia="zh-CN"/>
              </w:rPr>
              <w:t>，</w:t>
            </w:r>
            <w:r>
              <w:rPr>
                <w:color w:val="auto"/>
              </w:rPr>
              <w:t>符合用地规划。</w:t>
            </w:r>
            <w:r>
              <w:rPr>
                <w:rFonts w:hint="default"/>
                <w:color w:val="auto"/>
                <w:lang w:val="en-US" w:eastAsia="zh-CN"/>
              </w:rPr>
              <w:t>根据规划布局，石塔片区要在维持现有工业企业的基础上，其余地块打造临港加工贸易区。</w:t>
            </w:r>
            <w:r>
              <w:rPr>
                <w:rFonts w:hint="eastAsia"/>
                <w:color w:val="auto"/>
                <w:lang w:val="en-US" w:eastAsia="zh-CN"/>
              </w:rPr>
              <w:t>本</w:t>
            </w:r>
            <w:r>
              <w:rPr>
                <w:rFonts w:hint="default"/>
                <w:color w:val="auto"/>
                <w:lang w:val="en-US" w:eastAsia="zh-CN"/>
              </w:rPr>
              <w:t>项目属于石塔片区现有工业企业，</w:t>
            </w:r>
            <w:r>
              <w:rPr>
                <w:rFonts w:hint="default"/>
                <w:color w:val="auto"/>
                <w:lang w:val="en-US" w:eastAsia="zh-CN"/>
              </w:rPr>
              <w:t>属于食品产业，</w:t>
            </w:r>
            <w:r>
              <w:rPr>
                <w:rFonts w:hint="default"/>
                <w:color w:val="auto"/>
                <w:lang w:val="en-US" w:eastAsia="zh-CN"/>
              </w:rPr>
              <w:t>符合规划要求。</w:t>
            </w:r>
          </w:p>
          <w:p w14:paraId="56EB16B2">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b/>
                <w:bCs/>
                <w:color w:val="auto"/>
                <w:spacing w:val="8"/>
                <w:sz w:val="24"/>
                <w:szCs w:val="24"/>
                <w:shd w:val="clear" w:color="auto" w:fill="FFFFFF"/>
              </w:rPr>
            </w:pPr>
            <w:r>
              <w:rPr>
                <w:rFonts w:hint="eastAsia" w:eastAsia="宋体"/>
                <w:b/>
                <w:bCs/>
                <w:color w:val="auto"/>
                <w:kern w:val="0"/>
                <w:sz w:val="24"/>
                <w:szCs w:val="24"/>
                <w:lang w:val="en-US" w:eastAsia="zh-CN"/>
              </w:rPr>
              <w:t>2.</w:t>
            </w:r>
            <w:r>
              <w:rPr>
                <w:rFonts w:hint="eastAsia" w:eastAsia="宋体"/>
                <w:b/>
                <w:bCs/>
                <w:color w:val="auto"/>
                <w:kern w:val="0"/>
                <w:sz w:val="24"/>
                <w:szCs w:val="24"/>
                <w:lang w:eastAsia="zh-CN"/>
              </w:rPr>
              <w:t>与</w:t>
            </w:r>
            <w:r>
              <w:rPr>
                <w:b/>
                <w:bCs w:val="0"/>
                <w:color w:val="auto"/>
                <w:kern w:val="0"/>
                <w:szCs w:val="21"/>
              </w:rPr>
              <w:t>《</w:t>
            </w:r>
            <w:r>
              <w:rPr>
                <w:rFonts w:hint="default" w:ascii="Times New Roman" w:hAnsi="Times New Roman" w:cs="Times New Roman"/>
                <w:b/>
                <w:bCs w:val="0"/>
                <w:color w:val="auto"/>
                <w:sz w:val="24"/>
                <w:szCs w:val="24"/>
                <w:lang w:eastAsia="zh-CN"/>
              </w:rPr>
              <w:t>重庆涪陵工业园区龙桥组团规划</w:t>
            </w:r>
            <w:r>
              <w:rPr>
                <w:rFonts w:hint="eastAsia" w:cs="Times New Roman"/>
                <w:b/>
                <w:bCs w:val="0"/>
                <w:color w:val="auto"/>
                <w:sz w:val="24"/>
                <w:szCs w:val="24"/>
                <w:lang w:eastAsia="zh-CN"/>
              </w:rPr>
              <w:t>调整</w:t>
            </w:r>
            <w:r>
              <w:rPr>
                <w:rFonts w:hint="default" w:ascii="Times New Roman" w:hAnsi="Times New Roman" w:cs="Times New Roman"/>
                <w:b/>
                <w:bCs w:val="0"/>
                <w:color w:val="auto"/>
                <w:sz w:val="24"/>
                <w:szCs w:val="24"/>
                <w:lang w:eastAsia="zh-CN"/>
              </w:rPr>
              <w:t>环境影响评价报告书</w:t>
            </w:r>
            <w:r>
              <w:rPr>
                <w:b/>
                <w:bCs w:val="0"/>
                <w:color w:val="auto"/>
                <w:szCs w:val="21"/>
              </w:rPr>
              <w:t>》</w:t>
            </w:r>
            <w:r>
              <w:rPr>
                <w:rFonts w:hint="default" w:ascii="Times New Roman" w:hAnsi="Times New Roman" w:eastAsia="宋体" w:cs="Times New Roman"/>
                <w:b/>
                <w:bCs w:val="0"/>
                <w:color w:val="auto"/>
                <w:kern w:val="0"/>
                <w:sz w:val="24"/>
                <w:szCs w:val="24"/>
                <w:lang w:val="en-US" w:eastAsia="zh-CN" w:bidi="ar"/>
              </w:rPr>
              <w:t>及</w:t>
            </w:r>
            <w:r>
              <w:rPr>
                <w:rFonts w:hint="default" w:ascii="Times New Roman" w:hAnsi="Times New Roman" w:eastAsia="宋体" w:cs="Times New Roman"/>
                <w:b/>
                <w:bCs/>
                <w:color w:val="auto"/>
                <w:kern w:val="0"/>
                <w:sz w:val="24"/>
                <w:szCs w:val="24"/>
                <w:lang w:val="en-US" w:eastAsia="zh-CN" w:bidi="ar"/>
              </w:rPr>
              <w:t>审查意见函</w:t>
            </w:r>
            <w:r>
              <w:rPr>
                <w:rFonts w:hint="eastAsia" w:eastAsia="宋体" w:cs="Times New Roman"/>
                <w:b/>
                <w:bCs/>
                <w:color w:val="auto"/>
                <w:kern w:val="0"/>
                <w:sz w:val="24"/>
                <w:szCs w:val="24"/>
                <w:lang w:val="en-US" w:eastAsia="zh-CN" w:bidi="ar"/>
              </w:rPr>
              <w:t>的符</w:t>
            </w:r>
            <w:r>
              <w:rPr>
                <w:rFonts w:hint="default" w:ascii="Times New Roman" w:hAnsi="Times New Roman" w:eastAsia="宋体" w:cs="Times New Roman"/>
                <w:b/>
                <w:bCs/>
                <w:color w:val="auto"/>
                <w:kern w:val="0"/>
                <w:sz w:val="24"/>
                <w:szCs w:val="24"/>
                <w:lang w:val="en-US" w:eastAsia="zh-CN" w:bidi="ar"/>
              </w:rPr>
              <w:t>合性分析</w:t>
            </w:r>
            <w:r>
              <w:rPr>
                <w:b/>
                <w:bCs/>
                <w:color w:val="auto"/>
                <w:spacing w:val="8"/>
                <w:sz w:val="24"/>
                <w:szCs w:val="24"/>
                <w:shd w:val="clear" w:color="auto" w:fill="FFFFFF"/>
              </w:rPr>
              <w:t>及审查意见的符合性</w:t>
            </w:r>
          </w:p>
          <w:p w14:paraId="74F1F311">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rPr>
            </w:pPr>
            <w:r>
              <w:rPr>
                <w:rFonts w:hint="default" w:ascii="Times New Roman" w:hAnsi="Times New Roman" w:cs="Times New Roman"/>
                <w:color w:val="auto"/>
                <w:kern w:val="0"/>
                <w:sz w:val="24"/>
                <w:szCs w:val="24"/>
                <w:lang w:bidi="ar"/>
              </w:rPr>
              <w:t>根据</w:t>
            </w:r>
            <w:r>
              <w:rPr>
                <w:rFonts w:hint="default" w:ascii="Times New Roman" w:hAnsi="Times New Roman" w:cs="Times New Roman"/>
                <w:color w:val="auto"/>
                <w:sz w:val="24"/>
                <w:szCs w:val="24"/>
                <w:lang w:eastAsia="zh-CN"/>
              </w:rPr>
              <w:t>《重庆涪陵工业园区龙桥组团规划</w:t>
            </w:r>
            <w:r>
              <w:rPr>
                <w:rFonts w:hint="eastAsia" w:cs="Times New Roman"/>
                <w:color w:val="auto"/>
                <w:sz w:val="24"/>
                <w:szCs w:val="24"/>
                <w:lang w:eastAsia="zh-CN"/>
              </w:rPr>
              <w:t>调整</w:t>
            </w:r>
            <w:r>
              <w:rPr>
                <w:rFonts w:hint="default" w:ascii="Times New Roman" w:hAnsi="Times New Roman" w:cs="Times New Roman"/>
                <w:color w:val="auto"/>
                <w:sz w:val="24"/>
                <w:szCs w:val="24"/>
                <w:lang w:eastAsia="zh-CN"/>
              </w:rPr>
              <w:t>环境影响评价报告书》</w:t>
            </w:r>
            <w:r>
              <w:rPr>
                <w:rFonts w:hint="eastAsia" w:cs="Times New Roman"/>
                <w:color w:val="auto"/>
                <w:sz w:val="24"/>
                <w:szCs w:val="24"/>
                <w:lang w:eastAsia="zh-CN"/>
              </w:rPr>
              <w:t>及其审查意见函（</w:t>
            </w:r>
            <w:r>
              <w:rPr>
                <w:rFonts w:hint="default" w:ascii="Times New Roman" w:hAnsi="Times New Roman" w:cs="Times New Roman"/>
                <w:color w:val="auto"/>
                <w:kern w:val="0"/>
                <w:sz w:val="24"/>
                <w:szCs w:val="24"/>
              </w:rPr>
              <w:t>渝环函</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2021</w:t>
            </w:r>
            <w:r>
              <w:rPr>
                <w:rFonts w:hint="default" w:ascii="Times New Roman" w:hAnsi="Times New Roman" w:eastAsia="宋体" w:cs="Times New Roman"/>
                <w:color w:val="auto"/>
                <w:sz w:val="24"/>
                <w:szCs w:val="24"/>
              </w:rPr>
              <w:t>]</w:t>
            </w:r>
            <w:r>
              <w:rPr>
                <w:rFonts w:hint="default" w:ascii="Times New Roman" w:hAnsi="Times New Roman" w:cs="Times New Roman"/>
                <w:color w:val="auto"/>
                <w:kern w:val="0"/>
                <w:sz w:val="24"/>
                <w:szCs w:val="24"/>
                <w:lang w:val="en-US" w:eastAsia="zh-CN"/>
              </w:rPr>
              <w:t>360</w:t>
            </w:r>
            <w:r>
              <w:rPr>
                <w:rFonts w:hint="default" w:ascii="Times New Roman" w:hAnsi="Times New Roman" w:cs="Times New Roman"/>
                <w:color w:val="auto"/>
                <w:kern w:val="0"/>
                <w:sz w:val="24"/>
                <w:szCs w:val="24"/>
              </w:rPr>
              <w:t>号</w:t>
            </w:r>
            <w:r>
              <w:rPr>
                <w:rFonts w:hint="eastAsia" w:cs="Times New Roman"/>
                <w:color w:val="auto"/>
                <w:sz w:val="24"/>
                <w:szCs w:val="24"/>
                <w:lang w:eastAsia="zh-CN"/>
              </w:rPr>
              <w:t>），</w:t>
            </w:r>
            <w:r>
              <w:rPr>
                <w:rFonts w:hint="default" w:ascii="Times New Roman" w:hAnsi="Times New Roman" w:cs="Times New Roman"/>
                <w:color w:val="auto"/>
                <w:kern w:val="0"/>
                <w:sz w:val="24"/>
                <w:szCs w:val="24"/>
                <w:lang w:eastAsia="zh-CN" w:bidi="ar"/>
              </w:rPr>
              <w:t>其</w:t>
            </w:r>
            <w:r>
              <w:rPr>
                <w:rFonts w:hint="default" w:ascii="Times New Roman" w:hAnsi="Times New Roman" w:cs="Times New Roman"/>
                <w:color w:val="auto"/>
                <w:kern w:val="0"/>
                <w:sz w:val="24"/>
                <w:szCs w:val="24"/>
                <w:lang w:bidi="ar"/>
              </w:rPr>
              <w:t>符合性分析详见表</w:t>
            </w:r>
            <w:r>
              <w:rPr>
                <w:rFonts w:hint="eastAsia" w:cs="Times New Roman"/>
                <w:color w:val="auto"/>
                <w:kern w:val="0"/>
                <w:sz w:val="24"/>
                <w:szCs w:val="24"/>
                <w:lang w:val="en-US" w:eastAsia="zh-CN" w:bidi="ar"/>
              </w:rPr>
              <w:t>1.2-1</w:t>
            </w:r>
            <w:r>
              <w:rPr>
                <w:rFonts w:hint="default" w:ascii="Times New Roman" w:hAnsi="Times New Roman" w:cs="Times New Roman"/>
                <w:color w:val="auto"/>
                <w:kern w:val="0"/>
                <w:sz w:val="24"/>
                <w:szCs w:val="24"/>
                <w:lang w:val="en-US" w:eastAsia="zh-CN" w:bidi="ar"/>
              </w:rPr>
              <w:t>。</w:t>
            </w:r>
          </w:p>
          <w:p w14:paraId="4B60EAFA">
            <w:pPr>
              <w:autoSpaceDE w:val="0"/>
              <w:autoSpaceDN w:val="0"/>
              <w:adjustRightInd w:val="0"/>
              <w:snapToGrid w:val="0"/>
              <w:spacing w:line="360" w:lineRule="auto"/>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表1.</w:t>
            </w:r>
            <w:r>
              <w:rPr>
                <w:rFonts w:hint="eastAsia" w:eastAsia="宋体" w:cs="Times New Roman"/>
                <w:color w:val="auto"/>
                <w:kern w:val="0"/>
                <w:sz w:val="24"/>
                <w:szCs w:val="24"/>
                <w:lang w:val="en-US" w:eastAsia="zh-CN"/>
              </w:rPr>
              <w:t>2-1</w:t>
            </w:r>
            <w:r>
              <w:rPr>
                <w:rFonts w:hint="default" w:ascii="Times New Roman" w:hAnsi="Times New Roman" w:cs="Times New Roman"/>
                <w:color w:val="auto"/>
                <w:kern w:val="0"/>
                <w:sz w:val="24"/>
                <w:szCs w:val="24"/>
              </w:rPr>
              <w:t xml:space="preserve"> 与规划环境影响评价结论及审查意见符合性分析</w:t>
            </w:r>
          </w:p>
          <w:tbl>
            <w:tblPr>
              <w:tblStyle w:val="18"/>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3913"/>
              <w:gridCol w:w="2340"/>
              <w:gridCol w:w="930"/>
            </w:tblGrid>
            <w:tr w14:paraId="0816A0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71" w:type="pct"/>
                  <w:noWrap w:val="0"/>
                  <w:vAlign w:val="center"/>
                </w:tcPr>
                <w:p w14:paraId="311617FE">
                  <w:pPr>
                    <w:pStyle w:val="3"/>
                    <w:bidi w:val="0"/>
                    <w:rPr>
                      <w:rFonts w:hint="eastAsia"/>
                      <w:color w:val="auto"/>
                    </w:rPr>
                  </w:pPr>
                  <w:r>
                    <w:rPr>
                      <w:rFonts w:hint="eastAsia"/>
                      <w:color w:val="auto"/>
                    </w:rPr>
                    <w:t>类别</w:t>
                  </w:r>
                </w:p>
              </w:tc>
              <w:tc>
                <w:tcPr>
                  <w:tcW w:w="2413" w:type="pct"/>
                  <w:noWrap w:val="0"/>
                  <w:vAlign w:val="center"/>
                </w:tcPr>
                <w:p w14:paraId="3CE5272A">
                  <w:pPr>
                    <w:pStyle w:val="3"/>
                    <w:bidi w:val="0"/>
                    <w:rPr>
                      <w:rFonts w:hint="eastAsia" w:eastAsia="宋体"/>
                      <w:color w:val="auto"/>
                      <w:lang w:eastAsia="zh-CN"/>
                    </w:rPr>
                  </w:pPr>
                  <w:r>
                    <w:rPr>
                      <w:rFonts w:hint="eastAsia" w:eastAsia="宋体"/>
                      <w:color w:val="auto"/>
                      <w:lang w:eastAsia="zh-CN"/>
                    </w:rPr>
                    <w:t>规划环评相关要求</w:t>
                  </w:r>
                </w:p>
              </w:tc>
              <w:tc>
                <w:tcPr>
                  <w:tcW w:w="1441" w:type="pct"/>
                  <w:noWrap w:val="0"/>
                  <w:vAlign w:val="center"/>
                </w:tcPr>
                <w:p w14:paraId="4CD3E073">
                  <w:pPr>
                    <w:pStyle w:val="3"/>
                    <w:bidi w:val="0"/>
                    <w:rPr>
                      <w:rFonts w:hint="eastAsia"/>
                      <w:color w:val="auto"/>
                    </w:rPr>
                  </w:pPr>
                  <w:r>
                    <w:rPr>
                      <w:rFonts w:hint="eastAsia"/>
                      <w:color w:val="auto"/>
                    </w:rPr>
                    <w:t>项目情况</w:t>
                  </w:r>
                </w:p>
              </w:tc>
              <w:tc>
                <w:tcPr>
                  <w:tcW w:w="574" w:type="pct"/>
                  <w:noWrap w:val="0"/>
                  <w:vAlign w:val="center"/>
                </w:tcPr>
                <w:p w14:paraId="60EBF60E">
                  <w:pPr>
                    <w:pStyle w:val="3"/>
                    <w:bidi w:val="0"/>
                    <w:rPr>
                      <w:rFonts w:hint="eastAsia"/>
                      <w:color w:val="auto"/>
                    </w:rPr>
                  </w:pPr>
                  <w:r>
                    <w:rPr>
                      <w:rFonts w:hint="eastAsia"/>
                      <w:color w:val="auto"/>
                    </w:rPr>
                    <w:t>符合性</w:t>
                  </w:r>
                </w:p>
              </w:tc>
            </w:tr>
            <w:tr w14:paraId="46989E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48E417CE">
                  <w:pPr>
                    <w:pStyle w:val="3"/>
                    <w:bidi w:val="0"/>
                    <w:jc w:val="both"/>
                    <w:rPr>
                      <w:rFonts w:hint="eastAsia"/>
                      <w:color w:val="auto"/>
                    </w:rPr>
                  </w:pPr>
                  <w:r>
                    <w:rPr>
                      <w:color w:val="auto"/>
                    </w:rPr>
                    <w:t>严格执行生态环境准入清单</w:t>
                  </w:r>
                </w:p>
              </w:tc>
              <w:tc>
                <w:tcPr>
                  <w:tcW w:w="2413" w:type="pct"/>
                  <w:noWrap w:val="0"/>
                  <w:vAlign w:val="center"/>
                </w:tcPr>
                <w:p w14:paraId="67C52839">
                  <w:pPr>
                    <w:pStyle w:val="3"/>
                    <w:bidi w:val="0"/>
                    <w:jc w:val="both"/>
                    <w:rPr>
                      <w:rFonts w:hint="eastAsia" w:eastAsia="宋体"/>
                      <w:color w:val="auto"/>
                      <w:lang w:eastAsia="zh-CN"/>
                    </w:rPr>
                  </w:pPr>
                  <w:r>
                    <w:rPr>
                      <w:color w:val="auto"/>
                    </w:rPr>
                    <w:t>按照《报告书》提出的管理要求，以生态保护红线、资源利用上线、环境质量底线为约束</w:t>
                  </w:r>
                  <w:r>
                    <w:rPr>
                      <w:rFonts w:hint="eastAsia" w:eastAsia="宋体"/>
                      <w:color w:val="auto"/>
                      <w:lang w:eastAsia="zh-CN"/>
                    </w:rPr>
                    <w:t>，</w:t>
                  </w:r>
                  <w:r>
                    <w:rPr>
                      <w:color w:val="auto"/>
                    </w:rPr>
                    <w:t>严格建设项目环境准入，入驻工业企业应满足《重庆市工业项目环境准入规定（修  订） 》以及《报告书》确定的生态环境准入清单要求，禁止引进不符合国家产能置换、规划布局等要求的高耗能、高排放建设项目</w:t>
                  </w:r>
                  <w:r>
                    <w:rPr>
                      <w:rFonts w:hint="eastAsia" w:eastAsia="宋体"/>
                      <w:color w:val="auto"/>
                      <w:lang w:eastAsia="zh-CN"/>
                    </w:rPr>
                    <w:t>。</w:t>
                  </w:r>
                </w:p>
              </w:tc>
              <w:tc>
                <w:tcPr>
                  <w:tcW w:w="1441" w:type="pct"/>
                  <w:noWrap w:val="0"/>
                  <w:vAlign w:val="center"/>
                </w:tcPr>
                <w:p w14:paraId="1AA1BBB4">
                  <w:pPr>
                    <w:pStyle w:val="3"/>
                    <w:bidi w:val="0"/>
                    <w:jc w:val="both"/>
                    <w:rPr>
                      <w:rFonts w:hint="eastAsia" w:eastAsia="宋体"/>
                      <w:color w:val="auto"/>
                      <w:lang w:eastAsia="zh-CN"/>
                    </w:rPr>
                  </w:pPr>
                  <w:r>
                    <w:rPr>
                      <w:rFonts w:hint="eastAsia"/>
                      <w:color w:val="auto"/>
                      <w:lang w:eastAsia="zh-CN"/>
                    </w:rPr>
                    <w:t>本</w:t>
                  </w:r>
                  <w:r>
                    <w:rPr>
                      <w:rFonts w:hint="default"/>
                      <w:color w:val="auto"/>
                    </w:rPr>
                    <w:t>项目属于</w:t>
                  </w:r>
                  <w:r>
                    <w:rPr>
                      <w:rFonts w:hint="eastAsia"/>
                      <w:color w:val="auto"/>
                      <w:lang w:eastAsia="zh-CN"/>
                    </w:rPr>
                    <w:t>食用油加工</w:t>
                  </w:r>
                  <w:r>
                    <w:rPr>
                      <w:rFonts w:hint="default"/>
                      <w:color w:val="auto"/>
                    </w:rPr>
                    <w:t>项目</w:t>
                  </w:r>
                  <w:r>
                    <w:rPr>
                      <w:rFonts w:hint="default"/>
                      <w:color w:val="auto"/>
                      <w:lang w:eastAsia="zh-CN"/>
                    </w:rPr>
                    <w:t>，符合园区规划，不属于</w:t>
                  </w:r>
                  <w:r>
                    <w:rPr>
                      <w:rFonts w:hint="default"/>
                      <w:color w:val="auto"/>
                      <w:lang w:val="en-US" w:eastAsia="zh-CN"/>
                    </w:rPr>
                    <w:t>“三线一单"和环境准入负面清单要求的行业和项目</w:t>
                  </w:r>
                  <w:r>
                    <w:rPr>
                      <w:rFonts w:hint="eastAsia"/>
                      <w:color w:val="auto"/>
                      <w:lang w:val="en-US" w:eastAsia="zh-CN"/>
                    </w:rPr>
                    <w:t>；本项目不属于</w:t>
                  </w:r>
                  <w:r>
                    <w:rPr>
                      <w:color w:val="auto"/>
                    </w:rPr>
                    <w:t>高耗能、高排放建设项目</w:t>
                  </w:r>
                  <w:r>
                    <w:rPr>
                      <w:rFonts w:hint="eastAsia" w:eastAsia="宋体"/>
                      <w:color w:val="auto"/>
                      <w:lang w:eastAsia="zh-CN"/>
                    </w:rPr>
                    <w:t>。</w:t>
                  </w:r>
                </w:p>
              </w:tc>
              <w:tc>
                <w:tcPr>
                  <w:tcW w:w="574" w:type="pct"/>
                  <w:noWrap w:val="0"/>
                  <w:vAlign w:val="center"/>
                </w:tcPr>
                <w:p w14:paraId="38BD9B6B">
                  <w:pPr>
                    <w:pStyle w:val="3"/>
                    <w:bidi w:val="0"/>
                    <w:rPr>
                      <w:rFonts w:hint="eastAsia"/>
                      <w:color w:val="auto"/>
                    </w:rPr>
                  </w:pPr>
                  <w:r>
                    <w:rPr>
                      <w:rFonts w:hint="eastAsia"/>
                      <w:color w:val="auto"/>
                    </w:rPr>
                    <w:t>符合</w:t>
                  </w:r>
                </w:p>
              </w:tc>
            </w:tr>
            <w:tr w14:paraId="729F24A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1" w:type="pct"/>
                  <w:noWrap w:val="0"/>
                  <w:vAlign w:val="center"/>
                </w:tcPr>
                <w:p w14:paraId="0CEC50E3">
                  <w:pPr>
                    <w:pStyle w:val="3"/>
                    <w:bidi w:val="0"/>
                    <w:jc w:val="both"/>
                    <w:rPr>
                      <w:rFonts w:hint="eastAsia"/>
                      <w:color w:val="auto"/>
                    </w:rPr>
                  </w:pPr>
                  <w:r>
                    <w:rPr>
                      <w:color w:val="auto"/>
                    </w:rPr>
                    <w:t>强化生态环境 空间管控</w:t>
                  </w:r>
                </w:p>
              </w:tc>
              <w:tc>
                <w:tcPr>
                  <w:tcW w:w="2413" w:type="pct"/>
                  <w:noWrap w:val="0"/>
                  <w:vAlign w:val="center"/>
                </w:tcPr>
                <w:p w14:paraId="51655B58">
                  <w:pPr>
                    <w:pStyle w:val="3"/>
                    <w:bidi w:val="0"/>
                    <w:jc w:val="both"/>
                    <w:rPr>
                      <w:rFonts w:hint="default"/>
                      <w:color w:val="auto"/>
                      <w:lang w:val="en-US" w:eastAsia="zh-CN"/>
                    </w:rPr>
                  </w:pPr>
                  <w:r>
                    <w:rPr>
                      <w:color w:val="auto"/>
                    </w:rPr>
                    <w:t>规划区范围不涉及生态保护红线和一般生态空间。后续建设的工业企业或项目环境防护距离原则上应控制在规划边界或用地红线内。</w:t>
                  </w:r>
                  <w:r>
                    <w:rPr>
                      <w:rFonts w:hint="eastAsia" w:eastAsia="宋体"/>
                      <w:color w:val="auto"/>
                      <w:lang w:eastAsia="zh-CN"/>
                    </w:rPr>
                    <w:t>强化规划区</w:t>
                  </w:r>
                  <w:r>
                    <w:rPr>
                      <w:color w:val="auto"/>
                    </w:rPr>
                    <w:t>整体与周边生态环境、人文景观协调管理，区内新建工业生产及其他建筑的布置、外观设计和建设应符合国家工业旅游相关要求。规划区安置房周边应设置不低于50米防护绿地或不得布局二类、三类工业，并满足环境防护距离要求。</w:t>
                  </w:r>
                </w:p>
              </w:tc>
              <w:tc>
                <w:tcPr>
                  <w:tcW w:w="1441" w:type="pct"/>
                  <w:noWrap w:val="0"/>
                  <w:vAlign w:val="center"/>
                </w:tcPr>
                <w:p w14:paraId="4AD4ABB9">
                  <w:pPr>
                    <w:pStyle w:val="3"/>
                    <w:bidi w:val="0"/>
                    <w:jc w:val="both"/>
                    <w:rPr>
                      <w:rFonts w:hint="eastAsia" w:eastAsia="宋体"/>
                      <w:color w:val="auto"/>
                      <w:lang w:eastAsia="zh-CN"/>
                    </w:rPr>
                  </w:pPr>
                  <w:r>
                    <w:rPr>
                      <w:rFonts w:hint="default" w:ascii="Times New Roman" w:hAnsi="Times New Roman" w:cs="Times New Roman"/>
                      <w:color w:val="auto"/>
                      <w:lang w:eastAsia="zh-CN"/>
                    </w:rPr>
                    <w:t>本</w:t>
                  </w:r>
                  <w:r>
                    <w:rPr>
                      <w:rFonts w:hint="default" w:ascii="Times New Roman" w:hAnsi="Times New Roman" w:cs="Times New Roman"/>
                      <w:color w:val="auto"/>
                    </w:rPr>
                    <w:t>项目位于涪陵区龙桥街道龙兴东路88号</w:t>
                  </w:r>
                  <w:r>
                    <w:rPr>
                      <w:rFonts w:hint="default" w:ascii="Times New Roman" w:hAnsi="Times New Roman" w:cs="Times New Roman"/>
                      <w:color w:val="auto"/>
                      <w:lang w:eastAsia="zh-CN"/>
                    </w:rPr>
                    <w:t>，在现有厂区内进行扩建</w:t>
                  </w:r>
                  <w:r>
                    <w:rPr>
                      <w:rFonts w:hint="default" w:ascii="Times New Roman" w:hAnsi="Times New Roman" w:cs="Times New Roman"/>
                      <w:color w:val="auto"/>
                    </w:rPr>
                    <w:t>，</w:t>
                  </w:r>
                  <w:r>
                    <w:rPr>
                      <w:rFonts w:hint="eastAsia" w:ascii="Times New Roman" w:hAnsi="Times New Roman" w:eastAsia="宋体" w:cs="Times New Roman"/>
                      <w:color w:val="auto"/>
                      <w:lang w:eastAsia="zh-CN"/>
                    </w:rPr>
                    <w:t>本项目不需设置环境防护距离。</w:t>
                  </w:r>
                </w:p>
              </w:tc>
              <w:tc>
                <w:tcPr>
                  <w:tcW w:w="574" w:type="pct"/>
                  <w:noWrap w:val="0"/>
                  <w:vAlign w:val="center"/>
                </w:tcPr>
                <w:p w14:paraId="5F76E4CA">
                  <w:pPr>
                    <w:pStyle w:val="3"/>
                    <w:bidi w:val="0"/>
                    <w:rPr>
                      <w:rFonts w:hint="eastAsia" w:eastAsia="宋体"/>
                      <w:color w:val="auto"/>
                      <w:lang w:eastAsia="zh-CN"/>
                    </w:rPr>
                  </w:pPr>
                  <w:r>
                    <w:rPr>
                      <w:rFonts w:hint="eastAsia" w:eastAsia="宋体"/>
                      <w:color w:val="auto"/>
                      <w:lang w:eastAsia="zh-CN"/>
                    </w:rPr>
                    <w:t>符合</w:t>
                  </w:r>
                </w:p>
              </w:tc>
            </w:tr>
            <w:tr w14:paraId="1BD275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0FC680EE">
                  <w:pPr>
                    <w:pStyle w:val="3"/>
                    <w:bidi w:val="0"/>
                    <w:rPr>
                      <w:rFonts w:hint="eastAsia"/>
                      <w:color w:val="auto"/>
                    </w:rPr>
                  </w:pPr>
                  <w:r>
                    <w:rPr>
                      <w:color w:val="auto"/>
                      <w:spacing w:val="1"/>
                      <w:sz w:val="21"/>
                      <w:szCs w:val="21"/>
                    </w:rPr>
                    <w:t>加强</w:t>
                  </w:r>
                  <w:r>
                    <w:rPr>
                      <w:color w:val="auto"/>
                      <w:sz w:val="21"/>
                      <w:szCs w:val="21"/>
                    </w:rPr>
                    <w:t xml:space="preserve"> 大气 污染 防治</w:t>
                  </w:r>
                </w:p>
              </w:tc>
              <w:tc>
                <w:tcPr>
                  <w:tcW w:w="2413" w:type="pct"/>
                  <w:noWrap w:val="0"/>
                  <w:vAlign w:val="center"/>
                </w:tcPr>
                <w:p w14:paraId="02821B80">
                  <w:pPr>
                    <w:pStyle w:val="3"/>
                    <w:bidi w:val="0"/>
                    <w:jc w:val="both"/>
                    <w:rPr>
                      <w:rFonts w:hint="default"/>
                      <w:color w:val="auto"/>
                      <w:lang w:val="en-US" w:eastAsia="zh-CN"/>
                    </w:rPr>
                  </w:pPr>
                  <w:r>
                    <w:rPr>
                      <w:rFonts w:hint="default" w:ascii="Times New Roman" w:hAnsi="Times New Roman" w:cs="Times New Roman"/>
                      <w:color w:val="auto"/>
                    </w:rPr>
                    <w:t>各入驻企业生产废气应采用高效的收集措施和先进的污染防治设施，确保废气稳定达标排放。新建燃气锅炉应采取低氮燃烧技术。涉及挥发性有机污染物排放的项目应按照《挥发性有机物无组织排放控制标准》（GB37822-2019）相关要求</w:t>
                  </w:r>
                  <w:r>
                    <w:rPr>
                      <w:rFonts w:hint="eastAsia" w:ascii="Times New Roman" w:hAnsi="Times New Roman" w:eastAsia="宋体" w:cs="Times New Roman"/>
                      <w:color w:val="auto"/>
                      <w:lang w:eastAsia="zh-CN"/>
                    </w:rPr>
                    <w:t>，</w:t>
                  </w:r>
                  <w:r>
                    <w:rPr>
                      <w:rFonts w:hint="default" w:ascii="Times New Roman" w:hAnsi="Times New Roman" w:cs="Times New Roman"/>
                      <w:color w:val="auto"/>
                    </w:rPr>
                    <w:t>通过采用全密闭、连续化、自动化等生产技术，以及高效工艺与设备等，减少工艺过程无组织排放。规划区企业应采取更加有效的收集、除臭措施，完善</w:t>
                  </w:r>
                  <w:r>
                    <w:rPr>
                      <w:rFonts w:hint="eastAsia" w:ascii="Times New Roman" w:hAnsi="Times New Roman" w:eastAsia="宋体" w:cs="Times New Roman"/>
                      <w:color w:val="auto"/>
                      <w:lang w:eastAsia="zh-CN"/>
                    </w:rPr>
                    <w:t>臭氧</w:t>
                  </w:r>
                  <w:r>
                    <w:rPr>
                      <w:rFonts w:hint="default" w:ascii="Times New Roman" w:hAnsi="Times New Roman" w:cs="Times New Roman"/>
                      <w:color w:val="auto"/>
                    </w:rPr>
                    <w:t>污染治理，减少对周边环境敏感点的影响。</w:t>
                  </w:r>
                </w:p>
              </w:tc>
              <w:tc>
                <w:tcPr>
                  <w:tcW w:w="1441" w:type="pct"/>
                  <w:noWrap w:val="0"/>
                  <w:vAlign w:val="center"/>
                </w:tcPr>
                <w:p w14:paraId="072772A1">
                  <w:pPr>
                    <w:pStyle w:val="3"/>
                    <w:bidi w:val="0"/>
                    <w:jc w:val="both"/>
                    <w:rPr>
                      <w:rFonts w:hint="eastAsia"/>
                      <w:color w:val="auto"/>
                      <w:lang w:eastAsia="zh-CN"/>
                    </w:rPr>
                  </w:pPr>
                  <w:r>
                    <w:rPr>
                      <w:rFonts w:hint="eastAsia"/>
                      <w:color w:val="auto"/>
                      <w:highlight w:val="none"/>
                      <w:lang w:eastAsia="zh-CN"/>
                    </w:rPr>
                    <w:t>本项目采取了“布袋除尘器”处理生产过程中产生的颗粒物，属于高效的污染治理设施，能确保废气稳定达标排放；</w:t>
                  </w:r>
                  <w:r>
                    <w:rPr>
                      <w:rFonts w:hint="eastAsia"/>
                      <w:color w:val="auto"/>
                      <w:lang w:eastAsia="zh-CN"/>
                    </w:rPr>
                    <w:t>本项目不涉及新建燃气锅炉，厂区现有的燃气锅炉已采取低氮燃烧技术；</w:t>
                  </w:r>
                  <w:r>
                    <w:rPr>
                      <w:rFonts w:hint="eastAsia"/>
                      <w:color w:val="auto"/>
                      <w:highlight w:val="none"/>
                      <w:lang w:eastAsia="zh-CN"/>
                    </w:rPr>
                    <w:t>本项目挥发性有机物产生量少。</w:t>
                  </w:r>
                </w:p>
              </w:tc>
              <w:tc>
                <w:tcPr>
                  <w:tcW w:w="574" w:type="pct"/>
                  <w:noWrap w:val="0"/>
                  <w:vAlign w:val="center"/>
                </w:tcPr>
                <w:p w14:paraId="4A912F92">
                  <w:pPr>
                    <w:pStyle w:val="3"/>
                    <w:bidi w:val="0"/>
                    <w:rPr>
                      <w:rFonts w:hint="eastAsia" w:eastAsia="宋体"/>
                      <w:color w:val="auto"/>
                      <w:lang w:eastAsia="zh-CN"/>
                    </w:rPr>
                  </w:pPr>
                  <w:r>
                    <w:rPr>
                      <w:rFonts w:hint="eastAsia" w:eastAsia="宋体"/>
                      <w:color w:val="auto"/>
                      <w:lang w:eastAsia="zh-CN"/>
                    </w:rPr>
                    <w:t>符合</w:t>
                  </w:r>
                </w:p>
              </w:tc>
            </w:tr>
            <w:tr w14:paraId="1024F2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59B9198A">
                  <w:pPr>
                    <w:pStyle w:val="3"/>
                    <w:bidi w:val="0"/>
                    <w:rPr>
                      <w:rFonts w:hint="eastAsia"/>
                      <w:color w:val="auto"/>
                    </w:rPr>
                  </w:pPr>
                  <w:r>
                    <w:rPr>
                      <w:color w:val="auto"/>
                      <w:sz w:val="21"/>
                      <w:szCs w:val="21"/>
                    </w:rPr>
                    <w:t xml:space="preserve">落实 水污 染防 治措 </w:t>
                  </w:r>
                  <w:r>
                    <w:rPr>
                      <w:color w:val="auto"/>
                      <w:spacing w:val="29"/>
                      <w:w w:val="129"/>
                      <w:sz w:val="21"/>
                      <w:szCs w:val="21"/>
                    </w:rPr>
                    <w:t>施</w:t>
                  </w:r>
                </w:p>
              </w:tc>
              <w:tc>
                <w:tcPr>
                  <w:tcW w:w="2413" w:type="pct"/>
                  <w:noWrap w:val="0"/>
                  <w:vAlign w:val="center"/>
                </w:tcPr>
                <w:p w14:paraId="1AB6A824">
                  <w:pPr>
                    <w:pStyle w:val="3"/>
                    <w:bidi w:val="0"/>
                    <w:jc w:val="both"/>
                    <w:rPr>
                      <w:rFonts w:hint="default"/>
                      <w:color w:val="auto"/>
                      <w:lang w:val="en-US" w:eastAsia="zh-CN"/>
                    </w:rPr>
                  </w:pPr>
                  <w:r>
                    <w:rPr>
                      <w:rFonts w:hint="default" w:ascii="Times New Roman" w:hAnsi="Times New Roman" w:cs="Times New Roman"/>
                      <w:bCs/>
                      <w:snapToGrid w:val="0"/>
                      <w:color w:val="auto"/>
                      <w:kern w:val="0"/>
                      <w:sz w:val="21"/>
                    </w:rPr>
                    <w:t>规划区入驻企业生产废水有行业排放标准的需处理达到行业排放标准的间接排放标准要求，无行业排放标准的需处理达到《污水综合排放标准》（GB8978-1996）三级标准（其中氨氮、TP应执行《污水排入城镇下水道水质标准》（GB/T31962-2015）排放标准）</w:t>
                  </w:r>
                  <w:r>
                    <w:rPr>
                      <w:rFonts w:hint="eastAsia" w:ascii="Times New Roman" w:hAnsi="Times New Roman" w:eastAsia="宋体" w:cs="Times New Roman"/>
                      <w:bCs/>
                      <w:snapToGrid w:val="0"/>
                      <w:color w:val="auto"/>
                      <w:kern w:val="0"/>
                      <w:sz w:val="21"/>
                      <w:lang w:eastAsia="zh-CN"/>
                    </w:rPr>
                    <w:t>，</w:t>
                  </w:r>
                  <w:r>
                    <w:rPr>
                      <w:rFonts w:hint="default" w:ascii="Times New Roman" w:hAnsi="Times New Roman" w:cs="Times New Roman"/>
                      <w:bCs/>
                      <w:snapToGrid w:val="0"/>
                      <w:color w:val="auto"/>
                      <w:kern w:val="0"/>
                      <w:sz w:val="21"/>
                    </w:rPr>
                    <w:t>经污水收集管网进入龙桥工业园区污水</w:t>
                  </w:r>
                  <w:r>
                    <w:rPr>
                      <w:rFonts w:hint="eastAsia" w:ascii="Times New Roman" w:hAnsi="Times New Roman" w:eastAsia="宋体" w:cs="Times New Roman"/>
                      <w:bCs/>
                      <w:snapToGrid w:val="0"/>
                      <w:color w:val="auto"/>
                      <w:kern w:val="0"/>
                      <w:sz w:val="21"/>
                      <w:lang w:eastAsia="zh-CN"/>
                    </w:rPr>
                    <w:t>处理</w:t>
                  </w:r>
                  <w:r>
                    <w:rPr>
                      <w:rFonts w:hint="default" w:ascii="Times New Roman" w:hAnsi="Times New Roman" w:cs="Times New Roman"/>
                      <w:bCs/>
                      <w:snapToGrid w:val="0"/>
                      <w:color w:val="auto"/>
                      <w:kern w:val="0"/>
                      <w:sz w:val="21"/>
                    </w:rPr>
                    <w:t>厂。规划区生产生活废水经龙桥工业园区污水处理厂处理后，达到《化工园区主要水污染物排放标准》（DB50/457-2012）中表1的规定（表1未规定的指标执行《污水综合排放标准》（GB8978-1996）中一级标准，COD执行60mg/L）</w:t>
                  </w:r>
                  <w:r>
                    <w:rPr>
                      <w:rFonts w:hint="eastAsia" w:ascii="Times New Roman" w:hAnsi="Times New Roman" w:eastAsia="宋体" w:cs="Times New Roman"/>
                      <w:bCs/>
                      <w:snapToGrid w:val="0"/>
                      <w:color w:val="auto"/>
                      <w:kern w:val="0"/>
                      <w:sz w:val="21"/>
                      <w:lang w:eastAsia="zh-CN"/>
                    </w:rPr>
                    <w:t>，</w:t>
                  </w:r>
                  <w:r>
                    <w:rPr>
                      <w:rFonts w:hint="default" w:ascii="Times New Roman" w:hAnsi="Times New Roman" w:cs="Times New Roman"/>
                      <w:bCs/>
                      <w:snapToGrid w:val="0"/>
                      <w:color w:val="auto"/>
                      <w:kern w:val="0"/>
                      <w:sz w:val="21"/>
                    </w:rPr>
                    <w:t>尾水经冉家沟最终汇入长江。</w:t>
                  </w:r>
                </w:p>
              </w:tc>
              <w:tc>
                <w:tcPr>
                  <w:tcW w:w="1441" w:type="pct"/>
                  <w:noWrap w:val="0"/>
                  <w:vAlign w:val="center"/>
                </w:tcPr>
                <w:p w14:paraId="42722DC3">
                  <w:pPr>
                    <w:pStyle w:val="3"/>
                    <w:bidi w:val="0"/>
                    <w:jc w:val="both"/>
                    <w:rPr>
                      <w:rFonts w:hint="eastAsia" w:eastAsia="宋体"/>
                      <w:color w:val="auto"/>
                      <w:lang w:eastAsia="zh-CN"/>
                    </w:rPr>
                  </w:pPr>
                  <w:r>
                    <w:rPr>
                      <w:rFonts w:hint="eastAsia"/>
                      <w:color w:val="auto"/>
                      <w:lang w:eastAsia="zh-CN"/>
                    </w:rPr>
                    <w:t>本项目废水经处理达</w:t>
                  </w:r>
                  <w:r>
                    <w:rPr>
                      <w:rFonts w:hint="default"/>
                      <w:color w:val="auto"/>
                    </w:rPr>
                    <w:t>《污水综合排放标准》（GB8978-1996）三级标准</w:t>
                  </w:r>
                  <w:r>
                    <w:rPr>
                      <w:rFonts w:hint="eastAsia" w:eastAsia="宋体"/>
                      <w:color w:val="auto"/>
                      <w:lang w:eastAsia="zh-CN"/>
                    </w:rPr>
                    <w:t>（氨氮，总磷执行</w:t>
                  </w:r>
                  <w:r>
                    <w:rPr>
                      <w:rFonts w:hint="default" w:ascii="Times New Roman" w:hAnsi="Times New Roman" w:cs="Times New Roman"/>
                      <w:bCs/>
                      <w:snapToGrid w:val="0"/>
                      <w:color w:val="auto"/>
                      <w:kern w:val="0"/>
                      <w:sz w:val="21"/>
                    </w:rPr>
                    <w:t>（GB/T31962-2015）</w:t>
                  </w:r>
                  <w:r>
                    <w:rPr>
                      <w:rFonts w:hint="eastAsia" w:eastAsia="宋体"/>
                      <w:color w:val="auto"/>
                      <w:lang w:eastAsia="zh-CN"/>
                    </w:rPr>
                    <w:t>）的标准要求；废水经处理后排入龙桥工业园污水处理厂，再经深度处理达</w:t>
                  </w:r>
                  <w:r>
                    <w:rPr>
                      <w:rFonts w:hint="default" w:ascii="Times New Roman" w:hAnsi="Times New Roman" w:cs="Times New Roman"/>
                      <w:bCs/>
                      <w:snapToGrid w:val="0"/>
                      <w:color w:val="auto"/>
                      <w:kern w:val="0"/>
                      <w:sz w:val="21"/>
                    </w:rPr>
                    <w:t>《化工园区主要水污染物排放标准》（DB50/457-2012）中表1的规定（表1未规定的指标执行《污水综合排放标准》（GB8978-1996）中一级标准，COD执行60mg/L）</w:t>
                  </w:r>
                  <w:r>
                    <w:rPr>
                      <w:rFonts w:hint="eastAsia" w:ascii="Times New Roman" w:hAnsi="Times New Roman" w:eastAsia="宋体" w:cs="Times New Roman"/>
                      <w:bCs/>
                      <w:snapToGrid w:val="0"/>
                      <w:color w:val="auto"/>
                      <w:kern w:val="0"/>
                      <w:sz w:val="21"/>
                      <w:lang w:eastAsia="zh-CN"/>
                    </w:rPr>
                    <w:t>标准后，最终</w:t>
                  </w:r>
                  <w:r>
                    <w:rPr>
                      <w:rFonts w:hint="default" w:ascii="Times New Roman" w:hAnsi="Times New Roman" w:cs="Times New Roman"/>
                      <w:bCs/>
                      <w:snapToGrid w:val="0"/>
                      <w:color w:val="auto"/>
                      <w:kern w:val="0"/>
                      <w:sz w:val="21"/>
                    </w:rPr>
                    <w:t>经冉家沟汇入长江。</w:t>
                  </w:r>
                </w:p>
              </w:tc>
              <w:tc>
                <w:tcPr>
                  <w:tcW w:w="574" w:type="pct"/>
                  <w:noWrap w:val="0"/>
                  <w:vAlign w:val="center"/>
                </w:tcPr>
                <w:p w14:paraId="0C9F1995">
                  <w:pPr>
                    <w:pStyle w:val="3"/>
                    <w:bidi w:val="0"/>
                    <w:rPr>
                      <w:rFonts w:hint="eastAsia" w:eastAsia="宋体"/>
                      <w:color w:val="auto"/>
                      <w:lang w:eastAsia="zh-CN"/>
                    </w:rPr>
                  </w:pPr>
                  <w:r>
                    <w:rPr>
                      <w:rFonts w:hint="eastAsia" w:eastAsia="宋体"/>
                      <w:color w:val="auto"/>
                      <w:lang w:eastAsia="zh-CN"/>
                    </w:rPr>
                    <w:t>符合</w:t>
                  </w:r>
                </w:p>
              </w:tc>
            </w:tr>
            <w:tr w14:paraId="4F9D47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0C2A0419">
                  <w:pPr>
                    <w:pStyle w:val="3"/>
                    <w:bidi w:val="0"/>
                    <w:rPr>
                      <w:rFonts w:hint="eastAsia"/>
                      <w:color w:val="auto"/>
                    </w:rPr>
                  </w:pPr>
                  <w:r>
                    <w:rPr>
                      <w:color w:val="auto"/>
                      <w:spacing w:val="-1"/>
                      <w:sz w:val="21"/>
                      <w:szCs w:val="21"/>
                    </w:rPr>
                    <w:t>强化</w:t>
                  </w:r>
                  <w:r>
                    <w:rPr>
                      <w:color w:val="auto"/>
                      <w:sz w:val="21"/>
                      <w:szCs w:val="21"/>
                    </w:rPr>
                    <w:t xml:space="preserve"> 噪声 污染 防控</w:t>
                  </w:r>
                </w:p>
              </w:tc>
              <w:tc>
                <w:tcPr>
                  <w:tcW w:w="2413" w:type="pct"/>
                  <w:noWrap w:val="0"/>
                  <w:vAlign w:val="center"/>
                </w:tcPr>
                <w:p w14:paraId="12B4900C">
                  <w:pPr>
                    <w:pStyle w:val="3"/>
                    <w:bidi w:val="0"/>
                    <w:jc w:val="both"/>
                    <w:rPr>
                      <w:rFonts w:hint="default"/>
                      <w:color w:val="auto"/>
                      <w:lang w:val="en-US" w:eastAsia="zh-CN"/>
                    </w:rPr>
                  </w:pPr>
                  <w:r>
                    <w:rPr>
                      <w:color w:val="auto"/>
                    </w:rPr>
                    <w:t>理布局企业噪声源，高噪声源企业选址和布局应满足相应的环境防护距离要求；选择低 噪声设备，采取消声、隔声、减震等措施， 确保厂界噪声达标；合理布局、科学设定建筑物与交通干线的噪声防护距离。</w:t>
                  </w:r>
                </w:p>
              </w:tc>
              <w:tc>
                <w:tcPr>
                  <w:tcW w:w="1441" w:type="pct"/>
                  <w:noWrap w:val="0"/>
                  <w:vAlign w:val="center"/>
                </w:tcPr>
                <w:p w14:paraId="3BCB59B6">
                  <w:pPr>
                    <w:pStyle w:val="3"/>
                    <w:bidi w:val="0"/>
                    <w:jc w:val="both"/>
                    <w:rPr>
                      <w:rFonts w:hint="eastAsia" w:eastAsia="宋体"/>
                      <w:color w:val="auto"/>
                      <w:lang w:eastAsia="zh-CN"/>
                    </w:rPr>
                  </w:pPr>
                  <w:r>
                    <w:rPr>
                      <w:rFonts w:hint="eastAsia"/>
                      <w:color w:val="auto"/>
                      <w:lang w:eastAsia="zh-CN"/>
                    </w:rPr>
                    <w:t>本项目选用低噪声设备，采取了消声</w:t>
                  </w:r>
                  <w:r>
                    <w:rPr>
                      <w:color w:val="auto"/>
                    </w:rPr>
                    <w:t>、隔声、减震等措施</w:t>
                  </w:r>
                  <w:r>
                    <w:rPr>
                      <w:rFonts w:hint="eastAsia" w:eastAsia="宋体"/>
                      <w:color w:val="auto"/>
                      <w:lang w:eastAsia="zh-CN"/>
                    </w:rPr>
                    <w:t>，并且生产布置在厂区中部，对项目周边声环境保护目标的影响小，能确保厂界达标。</w:t>
                  </w:r>
                </w:p>
              </w:tc>
              <w:tc>
                <w:tcPr>
                  <w:tcW w:w="574" w:type="pct"/>
                  <w:noWrap w:val="0"/>
                  <w:vAlign w:val="center"/>
                </w:tcPr>
                <w:p w14:paraId="6DE153E5">
                  <w:pPr>
                    <w:pStyle w:val="3"/>
                    <w:bidi w:val="0"/>
                    <w:rPr>
                      <w:rFonts w:hint="eastAsia" w:eastAsia="宋体"/>
                      <w:color w:val="auto"/>
                      <w:lang w:eastAsia="zh-CN"/>
                    </w:rPr>
                  </w:pPr>
                  <w:r>
                    <w:rPr>
                      <w:rFonts w:hint="eastAsia" w:eastAsia="宋体"/>
                      <w:color w:val="auto"/>
                      <w:lang w:eastAsia="zh-CN"/>
                    </w:rPr>
                    <w:t>符合</w:t>
                  </w:r>
                </w:p>
              </w:tc>
            </w:tr>
            <w:tr w14:paraId="0AEF20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7DC1CE9C">
                  <w:pPr>
                    <w:pStyle w:val="3"/>
                    <w:bidi w:val="0"/>
                    <w:jc w:val="both"/>
                    <w:rPr>
                      <w:rFonts w:hint="eastAsia"/>
                      <w:color w:val="auto"/>
                    </w:rPr>
                  </w:pPr>
                  <w:r>
                    <w:rPr>
                      <w:color w:val="auto"/>
                    </w:rPr>
                    <w:t>做好 土壤 （地 下  水）和固体废物污染防控</w:t>
                  </w:r>
                </w:p>
              </w:tc>
              <w:tc>
                <w:tcPr>
                  <w:tcW w:w="2413" w:type="pct"/>
                  <w:noWrap w:val="0"/>
                  <w:vAlign w:val="center"/>
                </w:tcPr>
                <w:p w14:paraId="3B8383CE">
                  <w:pPr>
                    <w:pStyle w:val="3"/>
                    <w:bidi w:val="0"/>
                    <w:jc w:val="both"/>
                    <w:rPr>
                      <w:rFonts w:hint="default" w:ascii="Times New Roman" w:hAnsi="Times New Roman" w:cs="Times New Roman"/>
                      <w:color w:val="auto"/>
                    </w:rPr>
                  </w:pPr>
                  <w:r>
                    <w:rPr>
                      <w:rFonts w:hint="default" w:ascii="Times New Roman" w:hAnsi="Times New Roman" w:cs="Times New Roman"/>
                      <w:color w:val="auto"/>
                    </w:rPr>
                    <w:t>固体废物应按资源化、减量化、无害化方式进行妥善收集、处置。生活垃圾经分类收集后由涪陵区环卫部门统一清运处置；餐厨垃圾应妥善收集、处理。一般工业固废综合利用或进入一般工业固废处置场；入园项目应按照《危险废物贮存污染控制标准》（GB18597-2023）等规定设置专门的危险废物暂存点，严格落实“防扬散、防流失、防渗漏”等要求，不得污染环境；危险废物依法依规交有资质单位处理。园区应定期督促对危废的转移，严禁在厂区内过量堆存，确保危险废物得到妥善处置。</w:t>
                  </w:r>
                </w:p>
                <w:p w14:paraId="3213E6F7">
                  <w:pPr>
                    <w:pStyle w:val="3"/>
                    <w:bidi w:val="0"/>
                    <w:jc w:val="both"/>
                    <w:rPr>
                      <w:rFonts w:hint="default" w:ascii="Times New Roman" w:hAnsi="Times New Roman" w:cs="Times New Roman"/>
                      <w:color w:val="auto"/>
                    </w:rPr>
                  </w:pPr>
                  <w:r>
                    <w:rPr>
                      <w:rFonts w:hint="default" w:ascii="Times New Roman" w:hAnsi="Times New Roman" w:cs="Times New Roman"/>
                      <w:color w:val="auto"/>
                    </w:rPr>
                    <w:t>入园项目采取源头控制为主的原则，落实分区、分级防渗措施，防止规划实施对区域地水及土壤的污染。规划区内布设地下水环境监控井。规划区应定期开展地下水、土壤环境跟踪监测工作，根据监测结论动态优化并落实相应的地下水和土壤环境污染防控措施。</w:t>
                  </w:r>
                </w:p>
                <w:p w14:paraId="495FF29F">
                  <w:pPr>
                    <w:pStyle w:val="3"/>
                    <w:bidi w:val="0"/>
                    <w:jc w:val="both"/>
                    <w:rPr>
                      <w:rFonts w:hint="default"/>
                      <w:color w:val="auto"/>
                      <w:lang w:val="en-US" w:eastAsia="zh-CN"/>
                    </w:rPr>
                  </w:pPr>
                  <w:r>
                    <w:rPr>
                      <w:rFonts w:hint="default" w:ascii="Times New Roman" w:hAnsi="Times New Roman" w:cs="Times New Roman"/>
                      <w:color w:val="auto"/>
                    </w:rPr>
                    <w:t>规划区内土地利用性质调整，应严格执行土 壤风险评估和污染土壤修复制度。规划区内工业企业关闭或搬迁完成前需按照国家和重庆市规定开展地块调查和风险评估，经评估确定为污染地块的，应当开展治理修复。园区要建立污染地块目录及其开发利用管控清单，土地开发利用必须满足规划用地土壤环境质量要求。中化重庆涪陵化工有限公司搬迁后的原地块在用途变更前应按照规定进行土壤污染状况调查。未达到土壤污染</w:t>
                  </w:r>
                  <w:r>
                    <w:rPr>
                      <w:rFonts w:hint="eastAsia" w:ascii="Times New Roman" w:hAnsi="Times New Roman" w:eastAsia="宋体" w:cs="Times New Roman"/>
                      <w:color w:val="auto"/>
                      <w:lang w:eastAsia="zh-CN"/>
                    </w:rPr>
                    <w:t>风险评估</w:t>
                  </w:r>
                  <w:r>
                    <w:rPr>
                      <w:rFonts w:hint="default" w:ascii="Times New Roman" w:hAnsi="Times New Roman" w:cs="Times New Roman"/>
                      <w:color w:val="auto"/>
                    </w:rPr>
                    <w:t>报告确定的风险管控、修复目标，不得作为住宅、公共管理与公共服务用地。</w:t>
                  </w:r>
                </w:p>
              </w:tc>
              <w:tc>
                <w:tcPr>
                  <w:tcW w:w="1441" w:type="pct"/>
                  <w:noWrap w:val="0"/>
                  <w:vAlign w:val="center"/>
                </w:tcPr>
                <w:p w14:paraId="59D998AE">
                  <w:pPr>
                    <w:pStyle w:val="3"/>
                    <w:bidi w:val="0"/>
                    <w:jc w:val="both"/>
                    <w:rPr>
                      <w:rFonts w:hint="eastAsia" w:eastAsia="宋体"/>
                      <w:color w:val="auto"/>
                      <w:lang w:eastAsia="zh-CN"/>
                    </w:rPr>
                  </w:pPr>
                  <w:r>
                    <w:rPr>
                      <w:rFonts w:hint="eastAsia"/>
                      <w:color w:val="auto"/>
                      <w:lang w:eastAsia="zh-CN"/>
                    </w:rPr>
                    <w:t>本项目产生的一般工业固废经分类收集后交废品回收公司处置，实现资源化；生活垃圾经分类收集后交当地环卫部门处置，餐厨垃圾交有餐厨垃圾处置资质单位处置；本项目产生的危险废物依托厂区现有</w:t>
                  </w:r>
                  <w:r>
                    <w:rPr>
                      <w:rFonts w:hint="eastAsia"/>
                      <w:color w:val="auto"/>
                      <w:lang w:eastAsia="zh-CN"/>
                    </w:rPr>
                    <w:t>危险废物贮存库</w:t>
                  </w:r>
                  <w:r>
                    <w:rPr>
                      <w:rFonts w:hint="eastAsia"/>
                      <w:color w:val="auto"/>
                      <w:lang w:eastAsia="zh-CN"/>
                    </w:rPr>
                    <w:t>暂存后交有危险废物处理资质单位处置，厂区现有</w:t>
                  </w:r>
                  <w:r>
                    <w:rPr>
                      <w:rFonts w:hint="eastAsia"/>
                      <w:color w:val="auto"/>
                      <w:lang w:eastAsia="zh-CN"/>
                    </w:rPr>
                    <w:t>危险废物贮存库</w:t>
                  </w:r>
                  <w:r>
                    <w:rPr>
                      <w:rFonts w:hint="eastAsia"/>
                      <w:color w:val="auto"/>
                      <w:lang w:eastAsia="zh-CN"/>
                    </w:rPr>
                    <w:t>已按</w:t>
                  </w:r>
                  <w:r>
                    <w:rPr>
                      <w:rFonts w:hint="default" w:ascii="Times New Roman" w:hAnsi="Times New Roman" w:cs="Times New Roman"/>
                      <w:color w:val="auto"/>
                    </w:rPr>
                    <w:t>（GB18597-2023）</w:t>
                  </w:r>
                  <w:r>
                    <w:rPr>
                      <w:rFonts w:hint="eastAsia" w:ascii="Times New Roman" w:hAnsi="Times New Roman" w:eastAsia="宋体" w:cs="Times New Roman"/>
                      <w:color w:val="auto"/>
                      <w:lang w:eastAsia="zh-CN"/>
                    </w:rPr>
                    <w:t>的相关要求采取了</w:t>
                  </w:r>
                  <w:r>
                    <w:rPr>
                      <w:rFonts w:hint="default" w:ascii="Times New Roman" w:hAnsi="Times New Roman" w:cs="Times New Roman"/>
                      <w:color w:val="auto"/>
                    </w:rPr>
                    <w:t>防扬散、防流失、防渗漏</w:t>
                  </w:r>
                  <w:r>
                    <w:rPr>
                      <w:rFonts w:hint="eastAsia" w:ascii="Times New Roman" w:hAnsi="Times New Roman" w:eastAsia="宋体" w:cs="Times New Roman"/>
                      <w:color w:val="auto"/>
                      <w:lang w:eastAsia="zh-CN"/>
                    </w:rPr>
                    <w:t>措施；本项目采取了源头控制、分区防渗措施，能有效防止对土壤、地下水的污染；本项目不涉及规划区内土地利用性质调整，不涉及地块调查和风险评估，不涉及污染地块的治理、修复。</w:t>
                  </w:r>
                </w:p>
              </w:tc>
              <w:tc>
                <w:tcPr>
                  <w:tcW w:w="574" w:type="pct"/>
                  <w:noWrap w:val="0"/>
                  <w:vAlign w:val="center"/>
                </w:tcPr>
                <w:p w14:paraId="2F3A9C4F">
                  <w:pPr>
                    <w:pStyle w:val="3"/>
                    <w:bidi w:val="0"/>
                    <w:rPr>
                      <w:rFonts w:hint="eastAsia" w:eastAsia="宋体"/>
                      <w:color w:val="auto"/>
                      <w:lang w:eastAsia="zh-CN"/>
                    </w:rPr>
                  </w:pPr>
                  <w:r>
                    <w:rPr>
                      <w:rFonts w:hint="eastAsia" w:eastAsia="宋体"/>
                      <w:color w:val="auto"/>
                      <w:lang w:eastAsia="zh-CN"/>
                    </w:rPr>
                    <w:t>符合</w:t>
                  </w:r>
                </w:p>
              </w:tc>
            </w:tr>
            <w:tr w14:paraId="5675A8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0C4A719C">
                  <w:pPr>
                    <w:pStyle w:val="3"/>
                    <w:bidi w:val="0"/>
                    <w:jc w:val="both"/>
                    <w:rPr>
                      <w:color w:val="auto"/>
                      <w:sz w:val="21"/>
                      <w:szCs w:val="21"/>
                    </w:rPr>
                  </w:pPr>
                  <w:r>
                    <w:rPr>
                      <w:b w:val="0"/>
                      <w:bCs w:val="0"/>
                      <w:color w:val="auto"/>
                      <w:spacing w:val="10"/>
                      <w:sz w:val="21"/>
                      <w:szCs w:val="21"/>
                    </w:rPr>
                    <w:t>强化环境风险防范</w:t>
                  </w:r>
                </w:p>
              </w:tc>
              <w:tc>
                <w:tcPr>
                  <w:tcW w:w="2413" w:type="pct"/>
                  <w:noWrap w:val="0"/>
                  <w:vAlign w:val="center"/>
                </w:tcPr>
                <w:p w14:paraId="40358498">
                  <w:pPr>
                    <w:pStyle w:val="3"/>
                    <w:bidi w:val="0"/>
                    <w:jc w:val="both"/>
                    <w:rPr>
                      <w:rFonts w:hint="default" w:ascii="Times New Roman" w:hAnsi="Times New Roman" w:cs="Times New Roman"/>
                      <w:color w:val="auto"/>
                      <w:sz w:val="21"/>
                      <w:szCs w:val="21"/>
                    </w:rPr>
                  </w:pPr>
                  <w:r>
                    <w:rPr>
                      <w:color w:val="auto"/>
                      <w:spacing w:val="10"/>
                      <w:sz w:val="21"/>
                      <w:szCs w:val="21"/>
                    </w:rPr>
                    <w:t>规划区及其企业应当严</w:t>
                  </w:r>
                  <w:r>
                    <w:rPr>
                      <w:color w:val="auto"/>
                      <w:spacing w:val="9"/>
                      <w:sz w:val="21"/>
                      <w:szCs w:val="21"/>
                    </w:rPr>
                    <w:t>格执行环境风</w:t>
                  </w:r>
                  <w:r>
                    <w:rPr>
                      <w:color w:val="auto"/>
                      <w:sz w:val="21"/>
                      <w:szCs w:val="21"/>
                    </w:rPr>
                    <w:t xml:space="preserve"> </w:t>
                  </w:r>
                  <w:r>
                    <w:rPr>
                      <w:color w:val="auto"/>
                      <w:spacing w:val="8"/>
                      <w:sz w:val="21"/>
                      <w:szCs w:val="21"/>
                    </w:rPr>
                    <w:t>险防范的相关法律法规和政策要求，严格落实各类环境风险防范措施。规划区应当加强环境风险监控，建立环境风险应急机制</w:t>
                  </w:r>
                  <w:r>
                    <w:rPr>
                      <w:rFonts w:hint="eastAsia" w:eastAsia="宋体"/>
                      <w:color w:val="auto"/>
                      <w:spacing w:val="8"/>
                      <w:sz w:val="21"/>
                      <w:szCs w:val="21"/>
                      <w:lang w:eastAsia="zh-CN"/>
                    </w:rPr>
                    <w:t>，</w:t>
                  </w:r>
                  <w:r>
                    <w:rPr>
                      <w:color w:val="auto"/>
                      <w:spacing w:val="8"/>
                      <w:sz w:val="21"/>
                      <w:szCs w:val="21"/>
                    </w:rPr>
                    <w:t>修订完善应急预案。督导区内企业应定期开展教育培训和应急演</w:t>
                  </w:r>
                  <w:r>
                    <w:rPr>
                      <w:color w:val="auto"/>
                      <w:spacing w:val="18"/>
                      <w:sz w:val="21"/>
                      <w:szCs w:val="21"/>
                    </w:rPr>
                    <w:t xml:space="preserve"> </w:t>
                  </w:r>
                  <w:r>
                    <w:rPr>
                      <w:color w:val="auto"/>
                      <w:spacing w:val="8"/>
                      <w:sz w:val="21"/>
                      <w:szCs w:val="21"/>
                    </w:rPr>
                    <w:t>练，全面提升环境风险防范和事故应急处置能力。加强对企业环境风险源的监督管理，开展园区老企业治污排查，对现有老旧设</w:t>
                  </w:r>
                  <w:r>
                    <w:rPr>
                      <w:color w:val="auto"/>
                      <w:spacing w:val="6"/>
                      <w:sz w:val="21"/>
                      <w:szCs w:val="21"/>
                    </w:rPr>
                    <w:t>备及时检修，不能继续使用的及时更换</w:t>
                  </w:r>
                  <w:r>
                    <w:rPr>
                      <w:rFonts w:hint="eastAsia" w:eastAsia="宋体"/>
                      <w:color w:val="auto"/>
                      <w:spacing w:val="6"/>
                      <w:sz w:val="21"/>
                      <w:szCs w:val="21"/>
                      <w:lang w:eastAsia="zh-CN"/>
                    </w:rPr>
                    <w:t>；</w:t>
                  </w:r>
                  <w:r>
                    <w:rPr>
                      <w:color w:val="auto"/>
                      <w:spacing w:val="6"/>
                      <w:sz w:val="21"/>
                      <w:szCs w:val="21"/>
                    </w:rPr>
                    <w:t>根据规划区入驻企业</w:t>
                  </w:r>
                  <w:r>
                    <w:rPr>
                      <w:rFonts w:hint="eastAsia" w:eastAsia="宋体"/>
                      <w:color w:val="auto"/>
                      <w:spacing w:val="6"/>
                      <w:sz w:val="21"/>
                      <w:szCs w:val="21"/>
                      <w:lang w:eastAsia="zh-CN"/>
                    </w:rPr>
                    <w:t>，</w:t>
                  </w:r>
                  <w:r>
                    <w:rPr>
                      <w:color w:val="auto"/>
                      <w:spacing w:val="6"/>
                      <w:sz w:val="21"/>
                      <w:szCs w:val="21"/>
                    </w:rPr>
                    <w:t>强</w:t>
                  </w:r>
                  <w:r>
                    <w:rPr>
                      <w:color w:val="auto"/>
                      <w:spacing w:val="12"/>
                      <w:sz w:val="21"/>
                      <w:szCs w:val="21"/>
                    </w:rPr>
                    <w:t xml:space="preserve"> </w:t>
                  </w:r>
                  <w:r>
                    <w:rPr>
                      <w:color w:val="auto"/>
                      <w:spacing w:val="6"/>
                      <w:sz w:val="21"/>
                      <w:szCs w:val="21"/>
                    </w:rPr>
                    <w:t>化、优化区域环境风险防控措施</w:t>
                  </w:r>
                  <w:r>
                    <w:rPr>
                      <w:rFonts w:hint="eastAsia" w:ascii="Times New Roman" w:hAnsi="Times New Roman" w:eastAsia="宋体" w:cs="Times New Roman"/>
                      <w:color w:val="auto"/>
                      <w:spacing w:val="6"/>
                      <w:sz w:val="21"/>
                      <w:szCs w:val="21"/>
                      <w:lang w:eastAsia="zh-CN"/>
                    </w:rPr>
                    <w:t>；</w:t>
                  </w:r>
                  <w:r>
                    <w:rPr>
                      <w:color w:val="auto"/>
                      <w:spacing w:val="6"/>
                      <w:sz w:val="21"/>
                      <w:szCs w:val="21"/>
                    </w:rPr>
                    <w:t>加强道路、码头及水运运输环境</w:t>
                  </w:r>
                  <w:r>
                    <w:rPr>
                      <w:color w:val="auto"/>
                      <w:spacing w:val="12"/>
                      <w:sz w:val="21"/>
                      <w:szCs w:val="21"/>
                    </w:rPr>
                    <w:t xml:space="preserve"> </w:t>
                  </w:r>
                  <w:r>
                    <w:rPr>
                      <w:color w:val="auto"/>
                      <w:spacing w:val="8"/>
                      <w:sz w:val="21"/>
                      <w:szCs w:val="21"/>
                    </w:rPr>
                    <w:t>污染风险防范举措，切实提高环境风险防范意识，防范突发性环</w:t>
                  </w:r>
                  <w:r>
                    <w:rPr>
                      <w:color w:val="auto"/>
                      <w:spacing w:val="6"/>
                      <w:sz w:val="21"/>
                      <w:szCs w:val="21"/>
                    </w:rPr>
                    <w:t>境风险事故。</w:t>
                  </w:r>
                </w:p>
              </w:tc>
              <w:tc>
                <w:tcPr>
                  <w:tcW w:w="1441" w:type="pct"/>
                  <w:noWrap w:val="0"/>
                  <w:vAlign w:val="center"/>
                </w:tcPr>
                <w:p w14:paraId="0F24F573">
                  <w:pPr>
                    <w:pStyle w:val="3"/>
                    <w:bidi w:val="0"/>
                    <w:jc w:val="both"/>
                    <w:rPr>
                      <w:rFonts w:hint="eastAsia"/>
                      <w:color w:val="auto"/>
                      <w:sz w:val="21"/>
                      <w:szCs w:val="21"/>
                      <w:lang w:eastAsia="zh-CN"/>
                    </w:rPr>
                  </w:pPr>
                  <w:r>
                    <w:rPr>
                      <w:rFonts w:hint="eastAsia"/>
                      <w:color w:val="auto"/>
                      <w:sz w:val="21"/>
                      <w:szCs w:val="21"/>
                      <w:lang w:eastAsia="zh-CN"/>
                    </w:rPr>
                    <w:t>本项目采取相应的环境风险防范措施，环境风险可控；企业建立了风险应急机制，修订完善了突发环境事件应急预案。</w:t>
                  </w:r>
                </w:p>
              </w:tc>
              <w:tc>
                <w:tcPr>
                  <w:tcW w:w="574" w:type="pct"/>
                  <w:noWrap w:val="0"/>
                  <w:vAlign w:val="center"/>
                </w:tcPr>
                <w:p w14:paraId="11F81778">
                  <w:pPr>
                    <w:pStyle w:val="3"/>
                    <w:bidi w:val="0"/>
                    <w:rPr>
                      <w:rFonts w:hint="eastAsia" w:eastAsia="宋体"/>
                      <w:color w:val="auto"/>
                      <w:lang w:eastAsia="zh-CN"/>
                    </w:rPr>
                  </w:pPr>
                  <w:r>
                    <w:rPr>
                      <w:rFonts w:hint="eastAsia" w:eastAsia="宋体"/>
                      <w:color w:val="auto"/>
                      <w:lang w:eastAsia="zh-CN"/>
                    </w:rPr>
                    <w:t>符合</w:t>
                  </w:r>
                </w:p>
              </w:tc>
            </w:tr>
            <w:tr w14:paraId="09EF9B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71" w:type="pct"/>
                  <w:noWrap w:val="0"/>
                  <w:vAlign w:val="center"/>
                </w:tcPr>
                <w:p w14:paraId="39C804E0">
                  <w:pPr>
                    <w:pStyle w:val="3"/>
                    <w:bidi w:val="0"/>
                    <w:jc w:val="both"/>
                    <w:rPr>
                      <w:b w:val="0"/>
                      <w:bCs w:val="0"/>
                      <w:color w:val="auto"/>
                      <w:sz w:val="21"/>
                      <w:szCs w:val="21"/>
                    </w:rPr>
                  </w:pPr>
                  <w:r>
                    <w:rPr>
                      <w:b w:val="0"/>
                      <w:bCs w:val="0"/>
                      <w:color w:val="auto"/>
                      <w:spacing w:val="10"/>
                      <w:sz w:val="21"/>
                      <w:szCs w:val="21"/>
                    </w:rPr>
                    <w:t>推行碳排放管控措施</w:t>
                  </w:r>
                </w:p>
              </w:tc>
              <w:tc>
                <w:tcPr>
                  <w:tcW w:w="2413" w:type="pct"/>
                  <w:noWrap w:val="0"/>
                  <w:vAlign w:val="center"/>
                </w:tcPr>
                <w:p w14:paraId="4EE63AF6">
                  <w:pPr>
                    <w:pStyle w:val="3"/>
                    <w:bidi w:val="0"/>
                    <w:jc w:val="both"/>
                    <w:rPr>
                      <w:rFonts w:hint="default" w:ascii="Times New Roman" w:hAnsi="Times New Roman" w:cs="Times New Roman"/>
                      <w:color w:val="auto"/>
                      <w:sz w:val="21"/>
                      <w:szCs w:val="21"/>
                    </w:rPr>
                  </w:pPr>
                  <w:r>
                    <w:rPr>
                      <w:color w:val="auto"/>
                      <w:spacing w:val="10"/>
                      <w:sz w:val="21"/>
                      <w:szCs w:val="21"/>
                    </w:rPr>
                    <w:t>围绕</w:t>
                  </w:r>
                  <w:r>
                    <w:rPr>
                      <w:rFonts w:hint="eastAsia" w:ascii="Times New Roman" w:hAnsi="Times New Roman" w:eastAsia="宋体" w:cs="Times New Roman"/>
                      <w:color w:val="auto"/>
                      <w:spacing w:val="10"/>
                      <w:sz w:val="21"/>
                      <w:szCs w:val="21"/>
                      <w:lang w:eastAsia="zh-CN"/>
                    </w:rPr>
                    <w:t>“</w:t>
                  </w:r>
                  <w:r>
                    <w:rPr>
                      <w:color w:val="auto"/>
                      <w:spacing w:val="10"/>
                      <w:sz w:val="21"/>
                      <w:szCs w:val="21"/>
                    </w:rPr>
                    <w:t>碳达峰、碳中和</w:t>
                  </w:r>
                  <w:r>
                    <w:rPr>
                      <w:rFonts w:hint="eastAsia" w:ascii="Times New Roman" w:hAnsi="Times New Roman" w:eastAsia="宋体" w:cs="Times New Roman"/>
                      <w:color w:val="auto"/>
                      <w:spacing w:val="10"/>
                      <w:sz w:val="21"/>
                      <w:szCs w:val="21"/>
                      <w:lang w:eastAsia="zh-CN"/>
                    </w:rPr>
                    <w:t>”</w:t>
                  </w:r>
                  <w:r>
                    <w:rPr>
                      <w:color w:val="auto"/>
                      <w:spacing w:val="10"/>
                      <w:sz w:val="21"/>
                      <w:szCs w:val="21"/>
                    </w:rPr>
                    <w:t>目标，统筹</w:t>
                  </w:r>
                  <w:r>
                    <w:rPr>
                      <w:color w:val="auto"/>
                      <w:spacing w:val="4"/>
                      <w:sz w:val="21"/>
                      <w:szCs w:val="21"/>
                    </w:rPr>
                    <w:t xml:space="preserve"> </w:t>
                  </w:r>
                  <w:r>
                    <w:rPr>
                      <w:color w:val="auto"/>
                      <w:spacing w:val="9"/>
                      <w:sz w:val="21"/>
                      <w:szCs w:val="21"/>
                    </w:rPr>
                    <w:t>抓好碳排放控制管理和生态环境保护工作，</w:t>
                  </w:r>
                  <w:r>
                    <w:rPr>
                      <w:color w:val="auto"/>
                      <w:spacing w:val="8"/>
                      <w:sz w:val="21"/>
                      <w:szCs w:val="21"/>
                    </w:rPr>
                    <w:t>推动实现减污降碳。</w:t>
                  </w:r>
                  <w:r>
                    <w:rPr>
                      <w:color w:val="auto"/>
                      <w:sz w:val="21"/>
                      <w:szCs w:val="21"/>
                    </w:rPr>
                    <w:t xml:space="preserve"> </w:t>
                  </w:r>
                  <w:r>
                    <w:rPr>
                      <w:color w:val="auto"/>
                      <w:spacing w:val="9"/>
                      <w:sz w:val="21"/>
                      <w:szCs w:val="21"/>
                    </w:rPr>
                    <w:t>优化能源结构，除现已批复燃煤项目外，不</w:t>
                  </w:r>
                  <w:r>
                    <w:rPr>
                      <w:color w:val="auto"/>
                      <w:spacing w:val="8"/>
                      <w:sz w:val="21"/>
                      <w:szCs w:val="21"/>
                    </w:rPr>
                    <w:t>再新建燃煤项目；督促园区内重点碳排放企业实施涉碳节能减排</w:t>
                  </w:r>
                  <w:r>
                    <w:rPr>
                      <w:rFonts w:hint="eastAsia" w:eastAsia="宋体"/>
                      <w:color w:val="auto"/>
                      <w:spacing w:val="8"/>
                      <w:sz w:val="21"/>
                      <w:szCs w:val="21"/>
                      <w:lang w:eastAsia="zh-CN"/>
                    </w:rPr>
                    <w:t>措施</w:t>
                  </w:r>
                  <w:r>
                    <w:rPr>
                      <w:color w:val="auto"/>
                      <w:spacing w:val="8"/>
                      <w:sz w:val="21"/>
                      <w:szCs w:val="21"/>
                    </w:rPr>
                    <w:t>，并采取清洁生产先进工艺，改进能源利用技术，降低能量损失，提高能源综合利用效率，从源头减少和控制温室气体排放。要探索建立能源利</w:t>
                  </w:r>
                  <w:r>
                    <w:rPr>
                      <w:color w:val="auto"/>
                      <w:spacing w:val="9"/>
                      <w:sz w:val="21"/>
                      <w:szCs w:val="21"/>
                    </w:rPr>
                    <w:t>用效率及碳排放强度的核算机制，适应低碳</w:t>
                  </w:r>
                  <w:r>
                    <w:rPr>
                      <w:color w:val="auto"/>
                      <w:spacing w:val="8"/>
                      <w:sz w:val="21"/>
                      <w:szCs w:val="21"/>
                    </w:rPr>
                    <w:t>发展的要求，促进园区产业绿色低碳循环发展。</w:t>
                  </w:r>
                </w:p>
              </w:tc>
              <w:tc>
                <w:tcPr>
                  <w:tcW w:w="1441" w:type="pct"/>
                  <w:noWrap w:val="0"/>
                  <w:vAlign w:val="center"/>
                </w:tcPr>
                <w:p w14:paraId="571B6FAC">
                  <w:pPr>
                    <w:pStyle w:val="3"/>
                    <w:bidi w:val="0"/>
                    <w:jc w:val="both"/>
                    <w:rPr>
                      <w:rFonts w:hint="eastAsia"/>
                      <w:color w:val="auto"/>
                      <w:sz w:val="21"/>
                      <w:szCs w:val="21"/>
                      <w:lang w:eastAsia="zh-CN"/>
                    </w:rPr>
                  </w:pPr>
                  <w:r>
                    <w:rPr>
                      <w:rFonts w:hint="eastAsia"/>
                      <w:color w:val="auto"/>
                      <w:sz w:val="21"/>
                      <w:szCs w:val="21"/>
                      <w:lang w:eastAsia="zh-CN"/>
                    </w:rPr>
                    <w:t>本项目不属于燃煤项目，不属于园区重点碳排放企业。</w:t>
                  </w:r>
                </w:p>
              </w:tc>
              <w:tc>
                <w:tcPr>
                  <w:tcW w:w="574" w:type="pct"/>
                  <w:noWrap w:val="0"/>
                  <w:vAlign w:val="center"/>
                </w:tcPr>
                <w:p w14:paraId="48FB0AE0">
                  <w:pPr>
                    <w:pStyle w:val="3"/>
                    <w:bidi w:val="0"/>
                    <w:rPr>
                      <w:rFonts w:hint="eastAsia" w:eastAsia="宋体"/>
                      <w:color w:val="auto"/>
                      <w:lang w:eastAsia="zh-CN"/>
                    </w:rPr>
                  </w:pPr>
                  <w:r>
                    <w:rPr>
                      <w:rFonts w:hint="eastAsia" w:eastAsia="宋体"/>
                      <w:color w:val="auto"/>
                      <w:lang w:eastAsia="zh-CN"/>
                    </w:rPr>
                    <w:t>符合</w:t>
                  </w:r>
                </w:p>
              </w:tc>
            </w:tr>
            <w:tr w14:paraId="75A45D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71" w:type="pct"/>
                  <w:noWrap w:val="0"/>
                  <w:vAlign w:val="center"/>
                </w:tcPr>
                <w:p w14:paraId="12B52469">
                  <w:pPr>
                    <w:pStyle w:val="3"/>
                    <w:bidi w:val="0"/>
                    <w:jc w:val="both"/>
                    <w:rPr>
                      <w:b w:val="0"/>
                      <w:bCs w:val="0"/>
                      <w:color w:val="auto"/>
                    </w:rPr>
                  </w:pPr>
                  <w:r>
                    <w:rPr>
                      <w:b w:val="0"/>
                      <w:bCs w:val="0"/>
                      <w:color w:val="auto"/>
                      <w:spacing w:val="7"/>
                      <w:sz w:val="20"/>
                      <w:szCs w:val="20"/>
                    </w:rPr>
                    <w:t>严格执行</w:t>
                  </w:r>
                  <w:r>
                    <w:rPr>
                      <w:rFonts w:ascii="Times New Roman" w:hAnsi="Times New Roman" w:eastAsia="Times New Roman" w:cs="Times New Roman"/>
                      <w:b w:val="0"/>
                      <w:bCs w:val="0"/>
                      <w:color w:val="auto"/>
                      <w:spacing w:val="7"/>
                      <w:sz w:val="20"/>
                      <w:szCs w:val="20"/>
                    </w:rPr>
                    <w:t>“</w:t>
                  </w:r>
                  <w:r>
                    <w:rPr>
                      <w:b w:val="0"/>
                      <w:bCs w:val="0"/>
                      <w:color w:val="auto"/>
                      <w:spacing w:val="7"/>
                      <w:sz w:val="20"/>
                      <w:szCs w:val="20"/>
                    </w:rPr>
                    <w:t>三线一单</w:t>
                  </w:r>
                  <w:r>
                    <w:rPr>
                      <w:rFonts w:ascii="Times New Roman" w:hAnsi="Times New Roman" w:eastAsia="Times New Roman" w:cs="Times New Roman"/>
                      <w:b w:val="0"/>
                      <w:bCs w:val="0"/>
                      <w:color w:val="auto"/>
                      <w:spacing w:val="7"/>
                      <w:sz w:val="20"/>
                      <w:szCs w:val="20"/>
                    </w:rPr>
                    <w:t>”</w:t>
                  </w:r>
                  <w:r>
                    <w:rPr>
                      <w:b w:val="0"/>
                      <w:bCs w:val="0"/>
                      <w:color w:val="auto"/>
                      <w:spacing w:val="7"/>
                      <w:sz w:val="20"/>
                      <w:szCs w:val="20"/>
                    </w:rPr>
                    <w:t>管控要求和环评管理制度</w:t>
                  </w:r>
                </w:p>
              </w:tc>
              <w:tc>
                <w:tcPr>
                  <w:tcW w:w="2413" w:type="pct"/>
                  <w:noWrap w:val="0"/>
                  <w:vAlign w:val="center"/>
                </w:tcPr>
                <w:p w14:paraId="0C50E908">
                  <w:pPr>
                    <w:pStyle w:val="3"/>
                    <w:bidi w:val="0"/>
                    <w:jc w:val="both"/>
                    <w:rPr>
                      <w:rFonts w:hint="default" w:ascii="Times New Roman" w:hAnsi="Times New Roman" w:cs="Times New Roman"/>
                      <w:color w:val="auto"/>
                    </w:rPr>
                  </w:pPr>
                  <w:r>
                    <w:rPr>
                      <w:color w:val="auto"/>
                    </w:rPr>
                    <w:t>建立健全  “三线一单”(生态保护红线、环境质量底线、资源利用上线和生态 环境准入清单)对规划环评、项目环评的指导和约束机制，严格执行重庆市和涪陵区“三线一单”的有关规定。规划区内建设项目在 开展环境影响评价时，应结合生态空间保护与管控要求，在落实环境质量底线的基础上深入论证项目建设可能产生的生态环境影响，严格生态环境准入要求，执行切实可行的污染防治和环境风险防控措施，预防或者减轻建设项目实施可能产生的不良环境 影响。对与规划主导产业定位相符的建设项目，环境政策符合性、环境现状调查等环评内容可适当简化。加强日常环境监管，落实建设项目环境影响评价、固定污染源排污许可、环保“三同时”制 度等。园区应建立包括环境空气、声环境、地表水、地下水、土 壤等环境要素的监控体系，落实跟踪监测计划。完善环境保护规章制度，落实环境管理、污染治理和环境风险防范主体责任，做 好日常环境保护工作。适时开展环境影响跟踪评价，规划在实施过程中，若规划目标、产业定位、布局等方面进行重大调整或者修订，应重新进行规划环境影响评价。生态环境执法部门应加强对规划区及企业的环境执法日常监管。</w:t>
                  </w:r>
                </w:p>
              </w:tc>
              <w:tc>
                <w:tcPr>
                  <w:tcW w:w="1441" w:type="pct"/>
                  <w:noWrap w:val="0"/>
                  <w:vAlign w:val="center"/>
                </w:tcPr>
                <w:p w14:paraId="524CF741">
                  <w:pPr>
                    <w:pStyle w:val="3"/>
                    <w:bidi w:val="0"/>
                    <w:jc w:val="both"/>
                    <w:rPr>
                      <w:rFonts w:hint="eastAsia"/>
                      <w:color w:val="auto"/>
                      <w:lang w:eastAsia="zh-CN"/>
                    </w:rPr>
                  </w:pPr>
                  <w:r>
                    <w:rPr>
                      <w:color w:val="auto"/>
                      <w:spacing w:val="19"/>
                      <w:sz w:val="20"/>
                      <w:szCs w:val="20"/>
                    </w:rPr>
                    <w:t>本项</w:t>
                  </w:r>
                  <w:r>
                    <w:rPr>
                      <w:color w:val="auto"/>
                      <w:spacing w:val="-21"/>
                      <w:sz w:val="20"/>
                      <w:szCs w:val="20"/>
                    </w:rPr>
                    <w:t xml:space="preserve"> </w:t>
                  </w:r>
                  <w:r>
                    <w:rPr>
                      <w:color w:val="auto"/>
                      <w:spacing w:val="19"/>
                      <w:sz w:val="20"/>
                      <w:szCs w:val="20"/>
                    </w:rPr>
                    <w:t>目满足重庆</w:t>
                  </w:r>
                  <w:r>
                    <w:rPr>
                      <w:color w:val="auto"/>
                      <w:sz w:val="20"/>
                      <w:szCs w:val="20"/>
                    </w:rPr>
                    <w:t xml:space="preserve"> </w:t>
                  </w:r>
                  <w:r>
                    <w:rPr>
                      <w:color w:val="auto"/>
                      <w:spacing w:val="15"/>
                      <w:sz w:val="20"/>
                      <w:szCs w:val="20"/>
                    </w:rPr>
                    <w:t>市和涪陵区</w:t>
                  </w:r>
                  <w:r>
                    <w:rPr>
                      <w:rFonts w:ascii="Times New Roman" w:hAnsi="Times New Roman" w:eastAsia="Times New Roman" w:cs="Times New Roman"/>
                      <w:color w:val="auto"/>
                      <w:spacing w:val="15"/>
                      <w:sz w:val="20"/>
                      <w:szCs w:val="20"/>
                    </w:rPr>
                    <w:t>“</w:t>
                  </w:r>
                  <w:r>
                    <w:rPr>
                      <w:color w:val="auto"/>
                      <w:spacing w:val="15"/>
                      <w:sz w:val="20"/>
                      <w:szCs w:val="20"/>
                    </w:rPr>
                    <w:t>三线</w:t>
                  </w:r>
                  <w:r>
                    <w:rPr>
                      <w:color w:val="auto"/>
                      <w:spacing w:val="5"/>
                      <w:sz w:val="20"/>
                      <w:szCs w:val="20"/>
                    </w:rPr>
                    <w:t xml:space="preserve"> </w:t>
                  </w:r>
                  <w:r>
                    <w:rPr>
                      <w:color w:val="auto"/>
                      <w:spacing w:val="-3"/>
                      <w:sz w:val="20"/>
                      <w:szCs w:val="20"/>
                    </w:rPr>
                    <w:t>一</w:t>
                  </w:r>
                  <w:r>
                    <w:rPr>
                      <w:color w:val="auto"/>
                      <w:spacing w:val="-43"/>
                      <w:sz w:val="20"/>
                      <w:szCs w:val="20"/>
                    </w:rPr>
                    <w:t xml:space="preserve"> </w:t>
                  </w:r>
                  <w:r>
                    <w:rPr>
                      <w:color w:val="auto"/>
                      <w:spacing w:val="-3"/>
                      <w:sz w:val="20"/>
                      <w:szCs w:val="20"/>
                    </w:rPr>
                    <w:t>单</w:t>
                  </w:r>
                  <w:r>
                    <w:rPr>
                      <w:color w:val="auto"/>
                      <w:spacing w:val="-45"/>
                      <w:sz w:val="20"/>
                      <w:szCs w:val="20"/>
                    </w:rPr>
                    <w:t xml:space="preserve"> </w:t>
                  </w:r>
                  <w:r>
                    <w:rPr>
                      <w:rFonts w:ascii="Times New Roman" w:hAnsi="Times New Roman" w:eastAsia="Times New Roman" w:cs="Times New Roman"/>
                      <w:color w:val="auto"/>
                      <w:spacing w:val="-3"/>
                      <w:sz w:val="20"/>
                      <w:szCs w:val="20"/>
                    </w:rPr>
                    <w:t>”</w:t>
                  </w:r>
                  <w:r>
                    <w:rPr>
                      <w:rFonts w:ascii="Times New Roman" w:hAnsi="Times New Roman" w:eastAsia="Times New Roman" w:cs="Times New Roman"/>
                      <w:color w:val="auto"/>
                      <w:spacing w:val="16"/>
                      <w:sz w:val="20"/>
                      <w:szCs w:val="20"/>
                    </w:rPr>
                    <w:t xml:space="preserve"> </w:t>
                  </w:r>
                  <w:r>
                    <w:rPr>
                      <w:color w:val="auto"/>
                      <w:spacing w:val="-3"/>
                      <w:sz w:val="20"/>
                      <w:szCs w:val="20"/>
                    </w:rPr>
                    <w:t>的</w:t>
                  </w:r>
                  <w:r>
                    <w:rPr>
                      <w:color w:val="auto"/>
                      <w:spacing w:val="-46"/>
                      <w:sz w:val="20"/>
                      <w:szCs w:val="20"/>
                    </w:rPr>
                    <w:t xml:space="preserve"> </w:t>
                  </w:r>
                  <w:r>
                    <w:rPr>
                      <w:color w:val="auto"/>
                      <w:spacing w:val="-3"/>
                      <w:sz w:val="20"/>
                      <w:szCs w:val="20"/>
                    </w:rPr>
                    <w:t>有</w:t>
                  </w:r>
                  <w:r>
                    <w:rPr>
                      <w:color w:val="auto"/>
                      <w:spacing w:val="-40"/>
                      <w:sz w:val="20"/>
                      <w:szCs w:val="20"/>
                    </w:rPr>
                    <w:t xml:space="preserve"> </w:t>
                  </w:r>
                  <w:r>
                    <w:rPr>
                      <w:color w:val="auto"/>
                      <w:spacing w:val="-3"/>
                      <w:sz w:val="20"/>
                      <w:szCs w:val="20"/>
                    </w:rPr>
                    <w:t>关</w:t>
                  </w:r>
                  <w:r>
                    <w:rPr>
                      <w:color w:val="auto"/>
                      <w:spacing w:val="-46"/>
                      <w:sz w:val="20"/>
                      <w:szCs w:val="20"/>
                    </w:rPr>
                    <w:t xml:space="preserve"> </w:t>
                  </w:r>
                  <w:r>
                    <w:rPr>
                      <w:color w:val="auto"/>
                      <w:spacing w:val="-3"/>
                      <w:sz w:val="20"/>
                      <w:szCs w:val="20"/>
                    </w:rPr>
                    <w:t>规</w:t>
                  </w:r>
                  <w:r>
                    <w:rPr>
                      <w:color w:val="auto"/>
                      <w:spacing w:val="1"/>
                      <w:sz w:val="20"/>
                      <w:szCs w:val="20"/>
                    </w:rPr>
                    <w:t>定；符合生态环境</w:t>
                  </w:r>
                  <w:r>
                    <w:rPr>
                      <w:color w:val="auto"/>
                      <w:spacing w:val="2"/>
                      <w:sz w:val="20"/>
                      <w:szCs w:val="20"/>
                    </w:rPr>
                    <w:t>准入要求；执行切</w:t>
                  </w:r>
                  <w:r>
                    <w:rPr>
                      <w:color w:val="auto"/>
                      <w:sz w:val="20"/>
                      <w:szCs w:val="20"/>
                    </w:rPr>
                    <w:t xml:space="preserve"> </w:t>
                  </w:r>
                  <w:r>
                    <w:rPr>
                      <w:color w:val="auto"/>
                      <w:spacing w:val="31"/>
                      <w:sz w:val="20"/>
                      <w:szCs w:val="20"/>
                    </w:rPr>
                    <w:t>实可行的污染防</w:t>
                  </w:r>
                  <w:r>
                    <w:rPr>
                      <w:color w:val="auto"/>
                      <w:sz w:val="20"/>
                      <w:szCs w:val="20"/>
                    </w:rPr>
                    <w:t xml:space="preserve"> </w:t>
                  </w:r>
                  <w:r>
                    <w:rPr>
                      <w:color w:val="auto"/>
                      <w:spacing w:val="31"/>
                      <w:sz w:val="20"/>
                      <w:szCs w:val="20"/>
                    </w:rPr>
                    <w:t>治和环境风险防</w:t>
                  </w:r>
                  <w:r>
                    <w:rPr>
                      <w:color w:val="auto"/>
                      <w:sz w:val="20"/>
                      <w:szCs w:val="20"/>
                    </w:rPr>
                    <w:t xml:space="preserve"> </w:t>
                  </w:r>
                  <w:r>
                    <w:rPr>
                      <w:color w:val="auto"/>
                      <w:spacing w:val="1"/>
                      <w:sz w:val="20"/>
                      <w:szCs w:val="20"/>
                    </w:rPr>
                    <w:t>控措施，对环境影</w:t>
                  </w:r>
                  <w:r>
                    <w:rPr>
                      <w:color w:val="auto"/>
                      <w:spacing w:val="3"/>
                      <w:sz w:val="20"/>
                      <w:szCs w:val="20"/>
                    </w:rPr>
                    <w:t>响</w:t>
                  </w:r>
                  <w:r>
                    <w:rPr>
                      <w:rFonts w:hint="eastAsia" w:eastAsia="宋体"/>
                      <w:color w:val="auto"/>
                      <w:spacing w:val="3"/>
                      <w:sz w:val="20"/>
                      <w:szCs w:val="20"/>
                      <w:lang w:eastAsia="zh-CN"/>
                    </w:rPr>
                    <w:t>可接受，环境风险可控</w:t>
                  </w:r>
                  <w:r>
                    <w:rPr>
                      <w:color w:val="auto"/>
                      <w:spacing w:val="3"/>
                      <w:sz w:val="20"/>
                      <w:szCs w:val="20"/>
                    </w:rPr>
                    <w:t>。</w:t>
                  </w:r>
                </w:p>
              </w:tc>
              <w:tc>
                <w:tcPr>
                  <w:tcW w:w="574" w:type="pct"/>
                  <w:noWrap w:val="0"/>
                  <w:vAlign w:val="center"/>
                </w:tcPr>
                <w:p w14:paraId="18076646">
                  <w:pPr>
                    <w:pStyle w:val="3"/>
                    <w:bidi w:val="0"/>
                    <w:rPr>
                      <w:rFonts w:hint="eastAsia" w:eastAsia="宋体"/>
                      <w:color w:val="auto"/>
                      <w:lang w:eastAsia="zh-CN"/>
                    </w:rPr>
                  </w:pPr>
                  <w:r>
                    <w:rPr>
                      <w:rFonts w:hint="eastAsia" w:eastAsia="宋体"/>
                      <w:color w:val="auto"/>
                      <w:lang w:eastAsia="zh-CN"/>
                    </w:rPr>
                    <w:t>符合</w:t>
                  </w:r>
                </w:p>
              </w:tc>
            </w:tr>
          </w:tbl>
          <w:p w14:paraId="06066907">
            <w:pPr>
              <w:bidi w:val="0"/>
              <w:rPr>
                <w:color w:val="auto"/>
              </w:rPr>
            </w:pPr>
            <w:r>
              <w:rPr>
                <w:color w:val="auto"/>
              </w:rPr>
              <w:t>综上所述，本项目符合《重庆涪陵工业园区龙桥组团规划调整环境影响报告书》及其审查意见“渝环函</w:t>
            </w:r>
            <w:r>
              <w:rPr>
                <w:rFonts w:hint="default" w:ascii="Times New Roman" w:hAnsi="Times New Roman" w:eastAsia="宋体" w:cs="Times New Roman"/>
                <w:color w:val="auto"/>
                <w:kern w:val="0"/>
                <w:sz w:val="24"/>
                <w:szCs w:val="24"/>
              </w:rPr>
              <w:t>[</w:t>
            </w:r>
            <w:r>
              <w:rPr>
                <w:rFonts w:hint="default" w:ascii="Times New Roman" w:hAnsi="Times New Roman" w:eastAsia="宋体" w:cs="Times New Roman"/>
                <w:color w:val="auto"/>
                <w:kern w:val="0"/>
                <w:sz w:val="24"/>
                <w:szCs w:val="24"/>
                <w:lang w:val="en-US" w:eastAsia="zh-CN"/>
              </w:rPr>
              <w:t>2021</w:t>
            </w:r>
            <w:r>
              <w:rPr>
                <w:rFonts w:hint="default" w:ascii="Times New Roman" w:hAnsi="Times New Roman" w:eastAsia="宋体" w:cs="Times New Roman"/>
                <w:color w:val="auto"/>
                <w:sz w:val="24"/>
                <w:szCs w:val="24"/>
              </w:rPr>
              <w:t>]</w:t>
            </w:r>
            <w:r>
              <w:rPr>
                <w:color w:val="auto"/>
              </w:rPr>
              <w:t>360号”相关要求。</w:t>
            </w:r>
          </w:p>
          <w:p w14:paraId="2BE71937">
            <w:pPr>
              <w:bidi w:val="0"/>
              <w:rPr>
                <w:color w:val="auto"/>
              </w:rPr>
            </w:pPr>
          </w:p>
          <w:p w14:paraId="37DFA3B3">
            <w:pPr>
              <w:bidi w:val="0"/>
              <w:rPr>
                <w:color w:val="auto"/>
              </w:rPr>
            </w:pPr>
          </w:p>
          <w:p w14:paraId="03766D30">
            <w:pPr>
              <w:bidi w:val="0"/>
              <w:rPr>
                <w:color w:val="auto"/>
              </w:rPr>
            </w:pPr>
          </w:p>
          <w:p w14:paraId="3F5FB92D">
            <w:pPr>
              <w:bidi w:val="0"/>
              <w:rPr>
                <w:color w:val="auto"/>
              </w:rPr>
            </w:pPr>
          </w:p>
          <w:p w14:paraId="7B8D4FB7">
            <w:pPr>
              <w:bidi w:val="0"/>
              <w:rPr>
                <w:color w:val="auto"/>
              </w:rPr>
            </w:pPr>
          </w:p>
          <w:p w14:paraId="2375E92D">
            <w:pPr>
              <w:bidi w:val="0"/>
              <w:rPr>
                <w:color w:val="auto"/>
              </w:rPr>
            </w:pPr>
          </w:p>
          <w:p w14:paraId="072065F8">
            <w:pPr>
              <w:bidi w:val="0"/>
              <w:rPr>
                <w:color w:val="auto"/>
              </w:rPr>
            </w:pPr>
          </w:p>
          <w:p w14:paraId="71B60520">
            <w:pPr>
              <w:bidi w:val="0"/>
              <w:rPr>
                <w:color w:val="auto"/>
              </w:rPr>
            </w:pPr>
          </w:p>
          <w:p w14:paraId="7075BE63">
            <w:pPr>
              <w:bidi w:val="0"/>
              <w:rPr>
                <w:color w:val="auto"/>
              </w:rPr>
            </w:pPr>
          </w:p>
          <w:p w14:paraId="4347E8AB">
            <w:pPr>
              <w:bidi w:val="0"/>
              <w:ind w:left="0" w:leftChars="0" w:firstLine="0" w:firstLineChars="0"/>
              <w:rPr>
                <w:color w:val="auto"/>
              </w:rPr>
            </w:pPr>
          </w:p>
        </w:tc>
      </w:tr>
      <w:tr w14:paraId="4C428A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42" w:hRule="atLeast"/>
          <w:jc w:val="center"/>
        </w:trPr>
        <w:tc>
          <w:tcPr>
            <w:tcW w:w="728" w:type="dxa"/>
            <w:vAlign w:val="center"/>
          </w:tcPr>
          <w:p w14:paraId="21024BB4">
            <w:pPr>
              <w:autoSpaceDE w:val="0"/>
              <w:autoSpaceDN w:val="0"/>
              <w:adjustRightInd w:val="0"/>
              <w:snapToGrid w:val="0"/>
              <w:ind w:left="0" w:leftChars="0" w:firstLine="0" w:firstLineChars="0"/>
              <w:jc w:val="both"/>
              <w:rPr>
                <w:rFonts w:ascii="宋体" w:hAnsi="宋体" w:cs="宋体"/>
                <w:color w:val="auto"/>
                <w:kern w:val="0"/>
                <w:szCs w:val="21"/>
              </w:rPr>
            </w:pPr>
            <w:r>
              <w:rPr>
                <w:rFonts w:hint="eastAsia" w:ascii="宋体" w:hAnsi="宋体" w:cs="宋体"/>
                <w:color w:val="auto"/>
                <w:kern w:val="0"/>
                <w:szCs w:val="21"/>
              </w:rPr>
              <w:t>其他符合性分析</w:t>
            </w:r>
          </w:p>
        </w:tc>
        <w:tc>
          <w:tcPr>
            <w:tcW w:w="8332" w:type="dxa"/>
          </w:tcPr>
          <w:p w14:paraId="54014BE8">
            <w:pPr>
              <w:pStyle w:val="10"/>
              <w:adjustRightInd w:val="0"/>
              <w:snapToGrid w:val="0"/>
              <w:spacing w:line="360" w:lineRule="auto"/>
              <w:ind w:left="0" w:leftChars="0" w:firstLine="0" w:firstLineChars="0"/>
              <w:rPr>
                <w:rFonts w:hint="default"/>
                <w:b/>
                <w:bCs/>
                <w:color w:val="auto"/>
                <w:sz w:val="24"/>
                <w:szCs w:val="24"/>
              </w:rPr>
            </w:pPr>
            <w:r>
              <w:rPr>
                <w:rFonts w:hint="eastAsia" w:eastAsia="宋体"/>
                <w:b/>
                <w:bCs/>
                <w:color w:val="auto"/>
                <w:sz w:val="24"/>
                <w:szCs w:val="24"/>
                <w:lang w:val="en-US" w:eastAsia="zh-CN"/>
              </w:rPr>
              <w:t>3.</w:t>
            </w:r>
            <w:r>
              <w:rPr>
                <w:rFonts w:hint="default"/>
                <w:b/>
                <w:bCs/>
                <w:color w:val="auto"/>
                <w:sz w:val="24"/>
                <w:szCs w:val="24"/>
              </w:rPr>
              <w:t>产业政策符合性分析</w:t>
            </w:r>
          </w:p>
          <w:p w14:paraId="2391FCE2">
            <w:pPr>
              <w:keepNext w:val="0"/>
              <w:keepLines w:val="0"/>
              <w:pageBreakBefore w:val="0"/>
              <w:widowControl/>
              <w:kinsoku/>
              <w:wordWrap/>
              <w:overflowPunct/>
              <w:topLinePunct w:val="0"/>
              <w:bidi w:val="0"/>
              <w:snapToGrid w:val="0"/>
              <w:spacing w:line="360" w:lineRule="auto"/>
              <w:ind w:firstLine="480" w:firstLineChars="200"/>
              <w:jc w:val="both"/>
              <w:textAlignment w:val="auto"/>
              <w:rPr>
                <w:rFonts w:hint="eastAsia" w:eastAsia="宋体"/>
                <w:color w:val="auto"/>
                <w:sz w:val="24"/>
                <w:szCs w:val="24"/>
                <w:lang w:eastAsia="zh-CN"/>
              </w:rPr>
            </w:pPr>
            <w:r>
              <w:rPr>
                <w:rFonts w:hint="default"/>
                <w:color w:val="auto"/>
                <w:sz w:val="24"/>
                <w:szCs w:val="24"/>
              </w:rPr>
              <w:t>本项目</w:t>
            </w:r>
            <w:r>
              <w:rPr>
                <w:rFonts w:hint="eastAsia"/>
                <w:color w:val="auto"/>
                <w:sz w:val="24"/>
                <w:szCs w:val="24"/>
                <w:lang w:eastAsia="zh-CN"/>
              </w:rPr>
              <w:t>属于植物油加工项目，</w:t>
            </w:r>
            <w:r>
              <w:rPr>
                <w:rFonts w:hint="default"/>
                <w:color w:val="auto"/>
                <w:sz w:val="24"/>
                <w:szCs w:val="24"/>
              </w:rPr>
              <w:t>根据《产业结构调整指导目录（20</w:t>
            </w:r>
            <w:r>
              <w:rPr>
                <w:rFonts w:hint="eastAsia" w:eastAsia="宋体"/>
                <w:color w:val="auto"/>
                <w:sz w:val="24"/>
                <w:szCs w:val="24"/>
                <w:lang w:val="en-US" w:eastAsia="zh-CN"/>
              </w:rPr>
              <w:t>24</w:t>
            </w:r>
            <w:r>
              <w:rPr>
                <w:rFonts w:hint="default"/>
                <w:color w:val="auto"/>
                <w:sz w:val="24"/>
                <w:szCs w:val="24"/>
              </w:rPr>
              <w:t>年本）》，本项目不属于淘汰类和限制类项目，为允许类。</w:t>
            </w:r>
            <w:r>
              <w:rPr>
                <w:rFonts w:hint="default"/>
                <w:color w:val="auto"/>
                <w:sz w:val="24"/>
                <w:szCs w:val="24"/>
                <w:lang w:eastAsia="zh-CN"/>
              </w:rPr>
              <w:t>因此，</w:t>
            </w:r>
            <w:r>
              <w:rPr>
                <w:rFonts w:hint="default"/>
                <w:color w:val="auto"/>
                <w:sz w:val="24"/>
                <w:szCs w:val="24"/>
              </w:rPr>
              <w:t>符合国家的产业政策。</w:t>
            </w:r>
            <w:r>
              <w:rPr>
                <w:rFonts w:hint="default" w:ascii="Times New Roman" w:hAnsi="Times New Roman" w:cs="Times New Roman"/>
                <w:color w:val="auto"/>
                <w:sz w:val="24"/>
                <w:szCs w:val="24"/>
              </w:rPr>
              <w:t>本项目已获得</w:t>
            </w:r>
            <w:r>
              <w:rPr>
                <w:rFonts w:hint="eastAsia" w:ascii="Times New Roman" w:hAnsi="Times New Roman" w:cs="Times New Roman"/>
                <w:color w:val="auto"/>
                <w:sz w:val="24"/>
                <w:szCs w:val="24"/>
                <w:lang w:eastAsia="zh-CN"/>
              </w:rPr>
              <w:t>重庆市涪陵区发展和改革委员会</w:t>
            </w:r>
            <w:r>
              <w:rPr>
                <w:rFonts w:hint="eastAsia" w:cs="Times New Roman"/>
                <w:color w:val="auto"/>
                <w:sz w:val="24"/>
                <w:szCs w:val="24"/>
                <w:lang w:eastAsia="zh-CN"/>
              </w:rPr>
              <w:t>颁发的</w:t>
            </w:r>
            <w:r>
              <w:rPr>
                <w:rFonts w:hint="default" w:ascii="Times New Roman" w:hAnsi="Times New Roman" w:cs="Times New Roman"/>
                <w:color w:val="auto"/>
                <w:sz w:val="24"/>
                <w:szCs w:val="24"/>
              </w:rPr>
              <w:t>《重庆市企业投资项目备案证》（</w:t>
            </w:r>
            <w:r>
              <w:rPr>
                <w:rFonts w:hint="default" w:ascii="Times New Roman" w:hAnsi="Times New Roman" w:cs="Times New Roman"/>
                <w:color w:val="auto"/>
                <w:sz w:val="24"/>
                <w:szCs w:val="24"/>
                <w:highlight w:val="none"/>
              </w:rPr>
              <w:t>项目代码</w:t>
            </w:r>
            <w:r>
              <w:rPr>
                <w:rFonts w:hint="eastAsia"/>
                <w:color w:val="auto"/>
                <w:highlight w:val="none"/>
                <w:lang w:val="en-US" w:eastAsia="zh-CN"/>
              </w:rPr>
              <w:t>2407-500102-04-05-983967</w:t>
            </w:r>
            <w:r>
              <w:rPr>
                <w:rFonts w:hint="default" w:ascii="Times New Roman" w:hAnsi="Times New Roman" w:cs="Times New Roman"/>
                <w:color w:val="auto"/>
                <w:sz w:val="24"/>
                <w:szCs w:val="24"/>
              </w:rPr>
              <w:t>）</w:t>
            </w:r>
            <w:r>
              <w:rPr>
                <w:rFonts w:hint="eastAsia" w:eastAsia="宋体" w:cs="Times New Roman"/>
                <w:color w:val="auto"/>
                <w:sz w:val="24"/>
                <w:szCs w:val="24"/>
                <w:lang w:eastAsia="zh-CN"/>
              </w:rPr>
              <w:t>。</w:t>
            </w:r>
          </w:p>
          <w:p w14:paraId="5A5C5B75">
            <w:pPr>
              <w:pStyle w:val="10"/>
              <w:keepNext w:val="0"/>
              <w:keepLines w:val="0"/>
              <w:pageBreakBefore w:val="0"/>
              <w:kinsoku/>
              <w:wordWrap/>
              <w:overflowPunct/>
              <w:topLinePunct w:val="0"/>
              <w:bidi w:val="0"/>
              <w:adjustRightInd w:val="0"/>
              <w:snapToGrid w:val="0"/>
              <w:spacing w:line="360" w:lineRule="auto"/>
              <w:ind w:left="0" w:leftChars="0" w:firstLine="0" w:firstLineChars="0"/>
              <w:jc w:val="both"/>
              <w:textAlignment w:val="auto"/>
              <w:rPr>
                <w:rFonts w:hint="default" w:ascii="Times New Roman" w:hAnsi="Times New Roman" w:cs="Times New Roman"/>
                <w:b/>
                <w:bCs/>
                <w:color w:val="auto"/>
                <w:sz w:val="24"/>
                <w:szCs w:val="24"/>
              </w:rPr>
            </w:pPr>
            <w:r>
              <w:rPr>
                <w:rFonts w:hint="default" w:ascii="Times New Roman" w:hAnsi="Times New Roman" w:eastAsia="宋体" w:cs="Times New Roman"/>
                <w:b/>
                <w:bCs/>
                <w:color w:val="auto"/>
                <w:sz w:val="24"/>
                <w:szCs w:val="24"/>
                <w:lang w:val="en-US" w:eastAsia="zh-CN"/>
              </w:rPr>
              <w:t>4.</w:t>
            </w:r>
            <w:r>
              <w:rPr>
                <w:rFonts w:hint="default" w:ascii="Times New Roman" w:hAnsi="Times New Roman" w:cs="Times New Roman"/>
                <w:b/>
                <w:bCs/>
                <w:color w:val="auto"/>
                <w:sz w:val="24"/>
                <w:szCs w:val="24"/>
              </w:rPr>
              <w:t>与</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三线一单</w:t>
            </w:r>
            <w:r>
              <w:rPr>
                <w:rFonts w:hint="default" w:ascii="Times New Roman" w:hAnsi="Times New Roman" w:cs="Times New Roman"/>
                <w:b/>
                <w:bCs/>
                <w:color w:val="auto"/>
                <w:sz w:val="24"/>
                <w:szCs w:val="24"/>
                <w:lang w:eastAsia="zh-CN"/>
              </w:rPr>
              <w:t>”</w:t>
            </w:r>
            <w:r>
              <w:rPr>
                <w:rFonts w:hint="default" w:ascii="Times New Roman" w:hAnsi="Times New Roman" w:cs="Times New Roman"/>
                <w:b/>
                <w:bCs/>
                <w:color w:val="auto"/>
                <w:sz w:val="24"/>
                <w:szCs w:val="24"/>
              </w:rPr>
              <w:t>的符合性分析</w:t>
            </w:r>
          </w:p>
          <w:p w14:paraId="0B46755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lang w:val="en-US" w:eastAsia="zh-CN"/>
              </w:rPr>
            </w:pPr>
            <w:r>
              <w:rPr>
                <w:rFonts w:hint="default" w:ascii="Times New Roman" w:hAnsi="Times New Roman" w:eastAsia="宋体" w:cs="Times New Roman"/>
                <w:b w:val="0"/>
                <w:bCs w:val="0"/>
                <w:color w:val="auto"/>
                <w:sz w:val="24"/>
                <w:szCs w:val="24"/>
                <w:lang w:eastAsia="zh-CN"/>
              </w:rPr>
              <w:t>本项目位于</w:t>
            </w:r>
            <w:r>
              <w:rPr>
                <w:rFonts w:hint="default" w:ascii="Times New Roman" w:hAnsi="Times New Roman" w:cs="Times New Roman"/>
                <w:color w:val="auto"/>
                <w:sz w:val="24"/>
                <w:szCs w:val="24"/>
              </w:rPr>
              <w:t>重庆市涪陵区龙桥街道龙兴东路</w:t>
            </w:r>
            <w:r>
              <w:rPr>
                <w:rFonts w:hint="default" w:ascii="Times New Roman" w:hAnsi="Times New Roman" w:eastAsia="Times New Roman" w:cs="Times New Roman"/>
                <w:color w:val="auto"/>
                <w:sz w:val="24"/>
                <w:szCs w:val="24"/>
              </w:rPr>
              <w:t>88</w:t>
            </w:r>
            <w:r>
              <w:rPr>
                <w:rFonts w:hint="default" w:ascii="Times New Roman" w:hAnsi="Times New Roman" w:cs="Times New Roman"/>
                <w:color w:val="auto"/>
                <w:sz w:val="24"/>
                <w:szCs w:val="24"/>
              </w:rPr>
              <w:t>号</w:t>
            </w:r>
            <w:r>
              <w:rPr>
                <w:rFonts w:hint="default" w:ascii="Times New Roman" w:hAnsi="Times New Roman" w:eastAsia="宋体" w:cs="Times New Roman"/>
                <w:b w:val="0"/>
                <w:bCs w:val="0"/>
                <w:color w:val="auto"/>
                <w:kern w:val="0"/>
                <w:sz w:val="24"/>
                <w:szCs w:val="24"/>
                <w:lang w:eastAsia="zh-CN" w:bidi="ar"/>
              </w:rPr>
              <w:t>，</w:t>
            </w:r>
            <w:r>
              <w:rPr>
                <w:rFonts w:hint="default" w:ascii="Times New Roman" w:hAnsi="Times New Roman" w:eastAsia="宋体" w:cs="Times New Roman"/>
                <w:b w:val="0"/>
                <w:bCs w:val="0"/>
                <w:color w:val="auto"/>
                <w:sz w:val="24"/>
                <w:szCs w:val="24"/>
                <w:lang w:eastAsia="zh-CN"/>
              </w:rPr>
              <w:t>根据《</w:t>
            </w:r>
            <w:bookmarkStart w:id="1" w:name="tbx_bt"/>
            <w:r>
              <w:rPr>
                <w:rFonts w:hint="default" w:ascii="Times New Roman" w:hAnsi="Times New Roman" w:eastAsia="宋体" w:cs="Times New Roman"/>
                <w:b w:val="0"/>
                <w:bCs w:val="0"/>
                <w:color w:val="auto"/>
                <w:sz w:val="24"/>
                <w:szCs w:val="24"/>
                <w:lang w:val="en-US" w:eastAsia="zh-CN"/>
              </w:rPr>
              <w:t>重庆市生态环境局关于印发&lt;规划环评“三线一单”符合性分析技术要点（试行）、&lt;建设项目环评“三线一单”符合性分析技术要点（试行）&gt;的通知</w:t>
            </w:r>
            <w:bookmarkEnd w:id="1"/>
            <w:r>
              <w:rPr>
                <w:rFonts w:hint="default" w:ascii="Times New Roman" w:hAnsi="Times New Roman" w:eastAsia="宋体" w:cs="Times New Roman"/>
                <w:b w:val="0"/>
                <w:bCs w:val="0"/>
                <w:color w:val="auto"/>
                <w:sz w:val="24"/>
                <w:szCs w:val="24"/>
                <w:lang w:eastAsia="zh-CN"/>
              </w:rPr>
              <w:t>》</w:t>
            </w:r>
            <w:bookmarkStart w:id="2" w:name="gwz"/>
            <w:r>
              <w:rPr>
                <w:rFonts w:hint="default" w:ascii="Times New Roman" w:hAnsi="Times New Roman" w:eastAsia="宋体" w:cs="Times New Roman"/>
                <w:b w:val="0"/>
                <w:bCs w:val="0"/>
                <w:color w:val="auto"/>
                <w:sz w:val="24"/>
                <w:szCs w:val="24"/>
                <w:lang w:eastAsia="zh-CN"/>
              </w:rPr>
              <w:t>（渝环函[</w:t>
            </w:r>
            <w:r>
              <w:rPr>
                <w:rFonts w:hint="default" w:ascii="Times New Roman" w:hAnsi="Times New Roman" w:eastAsia="宋体" w:cs="Times New Roman"/>
                <w:b w:val="0"/>
                <w:bCs w:val="0"/>
                <w:color w:val="auto"/>
                <w:sz w:val="24"/>
                <w:szCs w:val="24"/>
                <w:lang w:val="en-US" w:eastAsia="zh-CN"/>
              </w:rPr>
              <w:t>2022</w:t>
            </w:r>
            <w:r>
              <w:rPr>
                <w:rFonts w:hint="default" w:ascii="Times New Roman" w:hAnsi="Times New Roman" w:eastAsia="宋体" w:cs="Times New Roman"/>
                <w:b w:val="0"/>
                <w:bCs w:val="0"/>
                <w:color w:val="auto"/>
                <w:sz w:val="24"/>
                <w:szCs w:val="24"/>
                <w:lang w:eastAsia="zh-CN"/>
              </w:rPr>
              <w:t>]</w:t>
            </w:r>
            <w:bookmarkStart w:id="3" w:name="gwqh"/>
            <w:r>
              <w:rPr>
                <w:rFonts w:hint="default" w:ascii="Times New Roman" w:hAnsi="Times New Roman" w:eastAsia="宋体" w:cs="Times New Roman"/>
                <w:b w:val="0"/>
                <w:bCs w:val="0"/>
                <w:color w:val="auto"/>
                <w:sz w:val="24"/>
                <w:szCs w:val="24"/>
                <w:lang w:eastAsia="zh-CN"/>
              </w:rPr>
              <w:t>397</w:t>
            </w:r>
            <w:bookmarkEnd w:id="3"/>
            <w:r>
              <w:rPr>
                <w:rFonts w:hint="default" w:ascii="Times New Roman" w:hAnsi="Times New Roman" w:eastAsia="宋体" w:cs="Times New Roman"/>
                <w:b w:val="0"/>
                <w:bCs w:val="0"/>
                <w:color w:val="auto"/>
                <w:sz w:val="24"/>
                <w:szCs w:val="24"/>
              </w:rPr>
              <w:t>号</w:t>
            </w:r>
            <w:r>
              <w:rPr>
                <w:rFonts w:hint="default" w:ascii="Times New Roman" w:hAnsi="Times New Roman" w:eastAsia="宋体" w:cs="Times New Roman"/>
                <w:b w:val="0"/>
                <w:bCs w:val="0"/>
                <w:color w:val="auto"/>
                <w:sz w:val="24"/>
                <w:szCs w:val="24"/>
                <w:lang w:eastAsia="zh-CN"/>
              </w:rPr>
              <w:t>）</w:t>
            </w:r>
            <w:bookmarkEnd w:id="2"/>
            <w:r>
              <w:rPr>
                <w:rFonts w:hint="eastAsia" w:eastAsia="宋体" w:cs="Times New Roman"/>
                <w:b w:val="0"/>
                <w:bCs w:val="0"/>
                <w:color w:val="auto"/>
                <w:sz w:val="24"/>
                <w:szCs w:val="24"/>
                <w:lang w:eastAsia="zh-CN"/>
              </w:rPr>
              <w:t>、《</w:t>
            </w:r>
            <w:r>
              <w:rPr>
                <w:rFonts w:hint="eastAsia" w:eastAsia="宋体" w:cs="Times New Roman"/>
                <w:b w:val="0"/>
                <w:bCs w:val="0"/>
                <w:color w:val="auto"/>
                <w:sz w:val="24"/>
                <w:szCs w:val="24"/>
                <w:highlight w:val="none"/>
                <w:lang w:eastAsia="zh-CN"/>
              </w:rPr>
              <w:t>重庆市涪陵区“三线一单”生态环境分区管控调整方案（</w:t>
            </w:r>
            <w:r>
              <w:rPr>
                <w:rFonts w:hint="eastAsia" w:eastAsia="宋体" w:cs="Times New Roman"/>
                <w:b w:val="0"/>
                <w:bCs w:val="0"/>
                <w:color w:val="auto"/>
                <w:sz w:val="24"/>
                <w:szCs w:val="24"/>
                <w:highlight w:val="none"/>
                <w:lang w:val="en-US" w:eastAsia="zh-CN"/>
              </w:rPr>
              <w:t>2023年</w:t>
            </w:r>
            <w:r>
              <w:rPr>
                <w:rFonts w:hint="eastAsia" w:eastAsia="宋体" w:cs="Times New Roman"/>
                <w:b w:val="0"/>
                <w:bCs w:val="0"/>
                <w:color w:val="auto"/>
                <w:sz w:val="24"/>
                <w:szCs w:val="24"/>
                <w:highlight w:val="none"/>
                <w:lang w:eastAsia="zh-CN"/>
              </w:rPr>
              <w:t>）</w:t>
            </w:r>
            <w:r>
              <w:rPr>
                <w:rFonts w:hint="eastAsia"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lang w:eastAsia="zh-CN"/>
              </w:rPr>
              <w:t>本项目与“三线一单”符合性见表</w:t>
            </w:r>
            <w:r>
              <w:rPr>
                <w:rFonts w:hint="default" w:ascii="Times New Roman" w:hAnsi="Times New Roman" w:eastAsia="宋体" w:cs="Times New Roman"/>
                <w:b w:val="0"/>
                <w:bCs w:val="0"/>
                <w:color w:val="auto"/>
                <w:sz w:val="24"/>
                <w:lang w:val="en-US" w:eastAsia="zh-CN"/>
              </w:rPr>
              <w:t>1.</w:t>
            </w:r>
            <w:r>
              <w:rPr>
                <w:rFonts w:hint="eastAsia" w:eastAsia="宋体" w:cs="Times New Roman"/>
                <w:b w:val="0"/>
                <w:bCs w:val="0"/>
                <w:color w:val="auto"/>
                <w:sz w:val="24"/>
                <w:lang w:val="en-US" w:eastAsia="zh-CN"/>
              </w:rPr>
              <w:t>4-</w:t>
            </w:r>
            <w:r>
              <w:rPr>
                <w:rFonts w:hint="eastAsia" w:cs="Times New Roman"/>
                <w:b w:val="0"/>
                <w:bCs w:val="0"/>
                <w:color w:val="auto"/>
                <w:sz w:val="24"/>
                <w:lang w:val="en-US" w:eastAsia="zh-CN"/>
              </w:rPr>
              <w:t>1</w:t>
            </w:r>
            <w:r>
              <w:rPr>
                <w:rFonts w:hint="default" w:ascii="Times New Roman" w:hAnsi="Times New Roman" w:eastAsia="宋体" w:cs="Times New Roman"/>
                <w:b w:val="0"/>
                <w:bCs w:val="0"/>
                <w:color w:val="auto"/>
                <w:sz w:val="24"/>
                <w:lang w:val="en-US" w:eastAsia="zh-CN"/>
              </w:rPr>
              <w:t>。</w:t>
            </w:r>
          </w:p>
          <w:p w14:paraId="0F60F8A6">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表1</w:t>
            </w:r>
            <w:r>
              <w:rPr>
                <w:rFonts w:hint="default" w:ascii="Times New Roman" w:hAnsi="Times New Roman" w:cs="Times New Roman"/>
                <w:color w:val="auto"/>
                <w:highlight w:val="none"/>
                <w:lang w:val="en-US" w:eastAsia="zh-CN"/>
              </w:rPr>
              <w:t>.4-1</w:t>
            </w:r>
            <w:r>
              <w:rPr>
                <w:rFonts w:hint="default" w:ascii="Times New Roman" w:hAnsi="Times New Roman" w:cs="Times New Roman"/>
                <w:color w:val="auto"/>
                <w:highlight w:val="none"/>
              </w:rPr>
              <w:t xml:space="preserve"> 建设项目与</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三线一单</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管控要求的符合性分析表</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33"/>
              <w:gridCol w:w="993"/>
              <w:gridCol w:w="2475"/>
              <w:gridCol w:w="1756"/>
              <w:gridCol w:w="1204"/>
            </w:tblGrid>
            <w:tr w14:paraId="44F078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0" w:type="pct"/>
                  <w:gridSpan w:val="3"/>
                  <w:tcBorders>
                    <w:tl2br w:val="nil"/>
                    <w:tr2bl w:val="nil"/>
                  </w:tcBorders>
                  <w:noWrap w:val="0"/>
                  <w:vAlign w:val="center"/>
                </w:tcPr>
                <w:p w14:paraId="1D55996D">
                  <w:pPr>
                    <w:pStyle w:val="3"/>
                    <w:bidi w:val="0"/>
                    <w:rPr>
                      <w:rFonts w:hint="default"/>
                      <w:color w:val="auto"/>
                      <w:sz w:val="21"/>
                      <w:szCs w:val="21"/>
                    </w:rPr>
                  </w:pPr>
                  <w:r>
                    <w:rPr>
                      <w:rFonts w:hint="default"/>
                      <w:color w:val="auto"/>
                      <w:sz w:val="21"/>
                      <w:szCs w:val="21"/>
                    </w:rPr>
                    <w:t>环境管控单元编码</w:t>
                  </w:r>
                </w:p>
              </w:tc>
              <w:tc>
                <w:tcPr>
                  <w:tcW w:w="1525" w:type="pct"/>
                  <w:tcBorders>
                    <w:tl2br w:val="nil"/>
                    <w:tr2bl w:val="nil"/>
                  </w:tcBorders>
                  <w:noWrap w:val="0"/>
                  <w:vAlign w:val="center"/>
                </w:tcPr>
                <w:p w14:paraId="688BB49B">
                  <w:pPr>
                    <w:pStyle w:val="3"/>
                    <w:bidi w:val="0"/>
                    <w:rPr>
                      <w:rFonts w:hint="default"/>
                      <w:color w:val="auto"/>
                      <w:sz w:val="21"/>
                      <w:szCs w:val="21"/>
                    </w:rPr>
                  </w:pPr>
                  <w:r>
                    <w:rPr>
                      <w:rFonts w:hint="default"/>
                      <w:color w:val="auto"/>
                      <w:sz w:val="21"/>
                      <w:szCs w:val="21"/>
                    </w:rPr>
                    <w:t>环境管控单元名称</w:t>
                  </w:r>
                </w:p>
              </w:tc>
              <w:tc>
                <w:tcPr>
                  <w:tcW w:w="1824" w:type="pct"/>
                  <w:gridSpan w:val="2"/>
                  <w:tcBorders>
                    <w:tl2br w:val="nil"/>
                    <w:tr2bl w:val="nil"/>
                  </w:tcBorders>
                  <w:noWrap w:val="0"/>
                  <w:vAlign w:val="center"/>
                </w:tcPr>
                <w:p w14:paraId="3DE2E447">
                  <w:pPr>
                    <w:pStyle w:val="3"/>
                    <w:bidi w:val="0"/>
                    <w:rPr>
                      <w:rFonts w:hint="default"/>
                      <w:color w:val="auto"/>
                      <w:sz w:val="21"/>
                      <w:szCs w:val="21"/>
                    </w:rPr>
                  </w:pPr>
                  <w:r>
                    <w:rPr>
                      <w:rFonts w:hint="default"/>
                      <w:color w:val="auto"/>
                      <w:sz w:val="21"/>
                      <w:szCs w:val="21"/>
                    </w:rPr>
                    <w:t>环境管控单元类型</w:t>
                  </w:r>
                </w:p>
              </w:tc>
            </w:tr>
            <w:tr w14:paraId="7044F5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50" w:type="pct"/>
                  <w:gridSpan w:val="3"/>
                  <w:tcBorders>
                    <w:tl2br w:val="nil"/>
                    <w:tr2bl w:val="nil"/>
                  </w:tcBorders>
                  <w:noWrap w:val="0"/>
                  <w:vAlign w:val="center"/>
                </w:tcPr>
                <w:p w14:paraId="65D99DDC">
                  <w:pPr>
                    <w:pStyle w:val="3"/>
                    <w:bidi w:val="0"/>
                    <w:rPr>
                      <w:rFonts w:hint="default"/>
                      <w:color w:val="auto"/>
                      <w:sz w:val="21"/>
                      <w:szCs w:val="21"/>
                      <w:highlight w:val="yellow"/>
                      <w:lang w:val="en-US"/>
                    </w:rPr>
                  </w:pPr>
                  <w:r>
                    <w:rPr>
                      <w:rFonts w:hint="default"/>
                      <w:color w:val="auto"/>
                      <w:sz w:val="21"/>
                      <w:szCs w:val="21"/>
                      <w:highlight w:val="none"/>
                      <w:lang w:eastAsia="en-US"/>
                    </w:rPr>
                    <w:t>ZH500</w:t>
                  </w:r>
                  <w:r>
                    <w:rPr>
                      <w:rFonts w:hint="eastAsia"/>
                      <w:color w:val="auto"/>
                      <w:sz w:val="21"/>
                      <w:szCs w:val="21"/>
                      <w:highlight w:val="none"/>
                      <w:lang w:val="en-US" w:eastAsia="zh-CN"/>
                    </w:rPr>
                    <w:t>1022003</w:t>
                  </w:r>
                </w:p>
              </w:tc>
              <w:tc>
                <w:tcPr>
                  <w:tcW w:w="1525" w:type="pct"/>
                  <w:tcBorders>
                    <w:tl2br w:val="nil"/>
                    <w:tr2bl w:val="nil"/>
                  </w:tcBorders>
                  <w:noWrap w:val="0"/>
                  <w:vAlign w:val="center"/>
                </w:tcPr>
                <w:p w14:paraId="2B740F85">
                  <w:pPr>
                    <w:pStyle w:val="3"/>
                    <w:bidi w:val="0"/>
                    <w:rPr>
                      <w:rFonts w:hint="default"/>
                      <w:color w:val="auto"/>
                      <w:sz w:val="21"/>
                      <w:szCs w:val="21"/>
                      <w:highlight w:val="yellow"/>
                    </w:rPr>
                  </w:pPr>
                  <w:r>
                    <w:rPr>
                      <w:rFonts w:hint="eastAsia"/>
                      <w:color w:val="auto"/>
                      <w:sz w:val="21"/>
                      <w:szCs w:val="21"/>
                      <w:highlight w:val="none"/>
                      <w:lang w:val="en-US" w:eastAsia="zh-CN"/>
                    </w:rPr>
                    <w:t>涪陵区工业城镇</w:t>
                  </w:r>
                  <w:r>
                    <w:rPr>
                      <w:rFonts w:hint="default"/>
                      <w:color w:val="auto"/>
                      <w:sz w:val="21"/>
                      <w:szCs w:val="21"/>
                      <w:highlight w:val="none"/>
                      <w:lang w:val="en-US" w:eastAsia="zh-CN"/>
                    </w:rPr>
                    <w:t>重点管控单元—</w:t>
                  </w:r>
                  <w:r>
                    <w:rPr>
                      <w:rFonts w:hint="eastAsia"/>
                      <w:color w:val="auto"/>
                      <w:sz w:val="21"/>
                      <w:szCs w:val="21"/>
                      <w:highlight w:val="none"/>
                      <w:lang w:eastAsia="zh-CN"/>
                    </w:rPr>
                    <w:t>临港片区</w:t>
                  </w:r>
                </w:p>
              </w:tc>
              <w:tc>
                <w:tcPr>
                  <w:tcW w:w="1824" w:type="pct"/>
                  <w:gridSpan w:val="2"/>
                  <w:tcBorders>
                    <w:tl2br w:val="nil"/>
                    <w:tr2bl w:val="nil"/>
                  </w:tcBorders>
                  <w:noWrap w:val="0"/>
                  <w:vAlign w:val="center"/>
                </w:tcPr>
                <w:p w14:paraId="2BF57680">
                  <w:pPr>
                    <w:pStyle w:val="3"/>
                    <w:bidi w:val="0"/>
                    <w:rPr>
                      <w:rFonts w:hint="default"/>
                      <w:color w:val="auto"/>
                      <w:sz w:val="21"/>
                      <w:szCs w:val="21"/>
                      <w:lang w:eastAsia="zh-CN"/>
                    </w:rPr>
                  </w:pPr>
                  <w:r>
                    <w:rPr>
                      <w:rFonts w:hint="default"/>
                      <w:color w:val="auto"/>
                      <w:sz w:val="21"/>
                      <w:szCs w:val="21"/>
                      <w:lang w:eastAsia="zh-CN"/>
                    </w:rPr>
                    <w:t>重点管控单元</w:t>
                  </w:r>
                </w:p>
              </w:tc>
            </w:tr>
            <w:tr w14:paraId="3B0027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tcBorders>
                    <w:tl2br w:val="nil"/>
                    <w:tr2bl w:val="nil"/>
                  </w:tcBorders>
                  <w:noWrap w:val="0"/>
                  <w:vAlign w:val="center"/>
                </w:tcPr>
                <w:p w14:paraId="625F5EAE">
                  <w:pPr>
                    <w:pStyle w:val="3"/>
                    <w:bidi w:val="0"/>
                    <w:rPr>
                      <w:rFonts w:hint="default"/>
                      <w:color w:val="auto"/>
                      <w:sz w:val="21"/>
                      <w:szCs w:val="21"/>
                    </w:rPr>
                  </w:pPr>
                  <w:r>
                    <w:rPr>
                      <w:rFonts w:hint="default"/>
                      <w:color w:val="auto"/>
                      <w:sz w:val="21"/>
                      <w:szCs w:val="21"/>
                    </w:rPr>
                    <w:t>管控要求层级</w:t>
                  </w:r>
                </w:p>
              </w:tc>
              <w:tc>
                <w:tcPr>
                  <w:tcW w:w="513" w:type="pct"/>
                  <w:tcBorders>
                    <w:tl2br w:val="nil"/>
                    <w:tr2bl w:val="nil"/>
                  </w:tcBorders>
                  <w:noWrap w:val="0"/>
                  <w:vAlign w:val="center"/>
                </w:tcPr>
                <w:p w14:paraId="1B049B1C">
                  <w:pPr>
                    <w:pStyle w:val="3"/>
                    <w:bidi w:val="0"/>
                    <w:rPr>
                      <w:rFonts w:hint="default"/>
                      <w:color w:val="auto"/>
                      <w:sz w:val="21"/>
                      <w:szCs w:val="21"/>
                    </w:rPr>
                  </w:pPr>
                  <w:r>
                    <w:rPr>
                      <w:rFonts w:hint="default"/>
                      <w:color w:val="auto"/>
                      <w:sz w:val="21"/>
                      <w:szCs w:val="21"/>
                    </w:rPr>
                    <w:t>管控</w:t>
                  </w:r>
                </w:p>
                <w:p w14:paraId="59EA852C">
                  <w:pPr>
                    <w:pStyle w:val="3"/>
                    <w:bidi w:val="0"/>
                    <w:rPr>
                      <w:rFonts w:hint="default"/>
                      <w:color w:val="auto"/>
                      <w:sz w:val="21"/>
                      <w:szCs w:val="21"/>
                    </w:rPr>
                  </w:pPr>
                  <w:r>
                    <w:rPr>
                      <w:rFonts w:hint="default"/>
                      <w:color w:val="auto"/>
                      <w:sz w:val="21"/>
                      <w:szCs w:val="21"/>
                    </w:rPr>
                    <w:t>类型</w:t>
                  </w:r>
                </w:p>
              </w:tc>
              <w:tc>
                <w:tcPr>
                  <w:tcW w:w="2137" w:type="pct"/>
                  <w:gridSpan w:val="2"/>
                  <w:tcBorders>
                    <w:tl2br w:val="nil"/>
                    <w:tr2bl w:val="nil"/>
                  </w:tcBorders>
                  <w:noWrap w:val="0"/>
                  <w:vAlign w:val="center"/>
                </w:tcPr>
                <w:p w14:paraId="7E210ABA">
                  <w:pPr>
                    <w:pStyle w:val="3"/>
                    <w:bidi w:val="0"/>
                    <w:rPr>
                      <w:rFonts w:hint="default"/>
                      <w:color w:val="auto"/>
                      <w:sz w:val="21"/>
                      <w:szCs w:val="21"/>
                    </w:rPr>
                  </w:pPr>
                  <w:r>
                    <w:rPr>
                      <w:rFonts w:hint="default"/>
                      <w:color w:val="auto"/>
                      <w:sz w:val="21"/>
                      <w:szCs w:val="21"/>
                    </w:rPr>
                    <w:t>管控要求</w:t>
                  </w:r>
                </w:p>
              </w:tc>
              <w:tc>
                <w:tcPr>
                  <w:tcW w:w="1082" w:type="pct"/>
                  <w:tcBorders>
                    <w:tl2br w:val="nil"/>
                    <w:tr2bl w:val="nil"/>
                  </w:tcBorders>
                  <w:noWrap w:val="0"/>
                  <w:vAlign w:val="center"/>
                </w:tcPr>
                <w:p w14:paraId="7204A95C">
                  <w:pPr>
                    <w:pStyle w:val="3"/>
                    <w:bidi w:val="0"/>
                    <w:rPr>
                      <w:rFonts w:hint="default"/>
                      <w:color w:val="auto"/>
                      <w:sz w:val="21"/>
                      <w:szCs w:val="21"/>
                    </w:rPr>
                  </w:pPr>
                  <w:r>
                    <w:rPr>
                      <w:rFonts w:hint="default"/>
                      <w:color w:val="auto"/>
                      <w:sz w:val="21"/>
                      <w:szCs w:val="21"/>
                    </w:rPr>
                    <w:t>建设项目</w:t>
                  </w:r>
                </w:p>
                <w:p w14:paraId="4244EF07">
                  <w:pPr>
                    <w:pStyle w:val="3"/>
                    <w:bidi w:val="0"/>
                    <w:rPr>
                      <w:rFonts w:hint="default"/>
                      <w:color w:val="auto"/>
                      <w:sz w:val="21"/>
                      <w:szCs w:val="21"/>
                    </w:rPr>
                  </w:pPr>
                  <w:r>
                    <w:rPr>
                      <w:rFonts w:hint="default"/>
                      <w:color w:val="auto"/>
                      <w:sz w:val="21"/>
                      <w:szCs w:val="21"/>
                    </w:rPr>
                    <w:t>相关情况</w:t>
                  </w:r>
                </w:p>
              </w:tc>
              <w:tc>
                <w:tcPr>
                  <w:tcW w:w="742" w:type="pct"/>
                  <w:tcBorders>
                    <w:tl2br w:val="nil"/>
                    <w:tr2bl w:val="nil"/>
                  </w:tcBorders>
                  <w:noWrap w:val="0"/>
                  <w:vAlign w:val="center"/>
                </w:tcPr>
                <w:p w14:paraId="0AF78D7E">
                  <w:pPr>
                    <w:pStyle w:val="3"/>
                    <w:bidi w:val="0"/>
                    <w:rPr>
                      <w:rFonts w:hint="default"/>
                      <w:color w:val="auto"/>
                      <w:sz w:val="21"/>
                      <w:szCs w:val="21"/>
                    </w:rPr>
                  </w:pPr>
                  <w:r>
                    <w:rPr>
                      <w:rFonts w:hint="default"/>
                      <w:color w:val="auto"/>
                      <w:sz w:val="21"/>
                      <w:szCs w:val="21"/>
                    </w:rPr>
                    <w:t>符合性分析结论</w:t>
                  </w:r>
                </w:p>
              </w:tc>
            </w:tr>
            <w:tr w14:paraId="7BE283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restart"/>
                  <w:tcBorders>
                    <w:tl2br w:val="nil"/>
                    <w:tr2bl w:val="nil"/>
                  </w:tcBorders>
                  <w:noWrap w:val="0"/>
                  <w:vAlign w:val="center"/>
                </w:tcPr>
                <w:p w14:paraId="1943257C">
                  <w:pPr>
                    <w:pStyle w:val="3"/>
                    <w:bidi w:val="0"/>
                    <w:rPr>
                      <w:rFonts w:hint="default"/>
                      <w:color w:val="auto"/>
                      <w:sz w:val="21"/>
                      <w:szCs w:val="21"/>
                    </w:rPr>
                  </w:pPr>
                  <w:r>
                    <w:rPr>
                      <w:rFonts w:hint="default"/>
                      <w:color w:val="auto"/>
                      <w:sz w:val="21"/>
                      <w:szCs w:val="21"/>
                    </w:rPr>
                    <w:t>全市</w:t>
                  </w:r>
                </w:p>
                <w:p w14:paraId="51BA2DAE">
                  <w:pPr>
                    <w:pStyle w:val="3"/>
                    <w:bidi w:val="0"/>
                    <w:rPr>
                      <w:rFonts w:hint="default"/>
                      <w:color w:val="auto"/>
                      <w:sz w:val="21"/>
                      <w:szCs w:val="21"/>
                    </w:rPr>
                  </w:pPr>
                  <w:r>
                    <w:rPr>
                      <w:rFonts w:hint="default"/>
                      <w:color w:val="auto"/>
                      <w:sz w:val="21"/>
                      <w:szCs w:val="21"/>
                    </w:rPr>
                    <w:t>总体</w:t>
                  </w:r>
                </w:p>
                <w:p w14:paraId="0D005A13">
                  <w:pPr>
                    <w:pStyle w:val="3"/>
                    <w:bidi w:val="0"/>
                    <w:rPr>
                      <w:rFonts w:hint="default"/>
                      <w:color w:val="auto"/>
                      <w:sz w:val="21"/>
                      <w:szCs w:val="21"/>
                    </w:rPr>
                  </w:pPr>
                  <w:r>
                    <w:rPr>
                      <w:rFonts w:hint="default"/>
                      <w:color w:val="auto"/>
                      <w:sz w:val="21"/>
                      <w:szCs w:val="21"/>
                    </w:rPr>
                    <w:t>管控</w:t>
                  </w:r>
                </w:p>
                <w:p w14:paraId="14545243">
                  <w:pPr>
                    <w:pStyle w:val="3"/>
                    <w:bidi w:val="0"/>
                    <w:rPr>
                      <w:rFonts w:hint="default"/>
                      <w:color w:val="auto"/>
                      <w:sz w:val="21"/>
                      <w:szCs w:val="21"/>
                    </w:rPr>
                  </w:pPr>
                  <w:r>
                    <w:rPr>
                      <w:rFonts w:hint="default"/>
                      <w:color w:val="auto"/>
                      <w:sz w:val="21"/>
                      <w:szCs w:val="21"/>
                    </w:rPr>
                    <w:t>要求</w:t>
                  </w:r>
                </w:p>
              </w:tc>
              <w:tc>
                <w:tcPr>
                  <w:tcW w:w="513" w:type="pct"/>
                  <w:vMerge w:val="restart"/>
                  <w:tcBorders>
                    <w:tl2br w:val="nil"/>
                    <w:tr2bl w:val="nil"/>
                  </w:tcBorders>
                  <w:noWrap w:val="0"/>
                  <w:vAlign w:val="center"/>
                </w:tcPr>
                <w:p w14:paraId="2DAEE684">
                  <w:pPr>
                    <w:pStyle w:val="3"/>
                    <w:bidi w:val="0"/>
                    <w:rPr>
                      <w:rFonts w:hint="default"/>
                      <w:color w:val="auto"/>
                      <w:sz w:val="21"/>
                      <w:szCs w:val="21"/>
                    </w:rPr>
                  </w:pPr>
                  <w:r>
                    <w:rPr>
                      <w:rFonts w:hint="default"/>
                      <w:color w:val="auto"/>
                      <w:sz w:val="21"/>
                      <w:szCs w:val="21"/>
                    </w:rPr>
                    <w:t>空间</w:t>
                  </w:r>
                </w:p>
                <w:p w14:paraId="7D430789">
                  <w:pPr>
                    <w:pStyle w:val="3"/>
                    <w:bidi w:val="0"/>
                    <w:rPr>
                      <w:rFonts w:hint="default"/>
                      <w:color w:val="auto"/>
                      <w:sz w:val="21"/>
                      <w:szCs w:val="21"/>
                    </w:rPr>
                  </w:pPr>
                  <w:r>
                    <w:rPr>
                      <w:rFonts w:hint="default"/>
                      <w:color w:val="auto"/>
                      <w:sz w:val="21"/>
                      <w:szCs w:val="21"/>
                    </w:rPr>
                    <w:t>布局</w:t>
                  </w:r>
                </w:p>
                <w:p w14:paraId="1F8A9391">
                  <w:pPr>
                    <w:pStyle w:val="3"/>
                    <w:bidi w:val="0"/>
                    <w:rPr>
                      <w:rFonts w:hint="default"/>
                      <w:color w:val="auto"/>
                      <w:sz w:val="21"/>
                      <w:szCs w:val="21"/>
                    </w:rPr>
                  </w:pPr>
                  <w:r>
                    <w:rPr>
                      <w:rFonts w:hint="default"/>
                      <w:color w:val="auto"/>
                      <w:sz w:val="21"/>
                      <w:szCs w:val="21"/>
                    </w:rPr>
                    <w:t>约束</w:t>
                  </w:r>
                </w:p>
              </w:tc>
              <w:tc>
                <w:tcPr>
                  <w:tcW w:w="2137" w:type="pct"/>
                  <w:gridSpan w:val="2"/>
                  <w:tcBorders>
                    <w:tl2br w:val="nil"/>
                    <w:tr2bl w:val="nil"/>
                  </w:tcBorders>
                  <w:noWrap w:val="0"/>
                  <w:vAlign w:val="center"/>
                </w:tcPr>
                <w:p w14:paraId="7AA63893">
                  <w:pPr>
                    <w:pStyle w:val="3"/>
                    <w:bidi w:val="0"/>
                    <w:rPr>
                      <w:rFonts w:hint="default"/>
                      <w:color w:val="auto"/>
                      <w:sz w:val="21"/>
                      <w:szCs w:val="21"/>
                    </w:rPr>
                  </w:pPr>
                  <w:r>
                    <w:rPr>
                      <w:color w:val="auto"/>
                      <w:sz w:val="21"/>
                      <w:szCs w:val="21"/>
                    </w:rPr>
                    <w:t>1</w:t>
                  </w:r>
                  <w:r>
                    <w:rPr>
                      <w:rFonts w:hint="eastAsia"/>
                      <w:color w:val="auto"/>
                      <w:sz w:val="21"/>
                      <w:szCs w:val="21"/>
                      <w:lang w:eastAsia="zh-CN"/>
                    </w:rPr>
                    <w:t>.</w:t>
                  </w:r>
                  <w:r>
                    <w:rPr>
                      <w:color w:val="auto"/>
                      <w:sz w:val="21"/>
                      <w:szCs w:val="21"/>
                    </w:rPr>
                    <w:t>深入贯彻习近平生态文明思想，筑牢长江上游重要生态屏障，推动优势区域重点发展、生态功能区重点保护、城乡融合发展，优化重点区域、流域、产业的空间布局。</w:t>
                  </w:r>
                </w:p>
              </w:tc>
              <w:tc>
                <w:tcPr>
                  <w:tcW w:w="1082" w:type="pct"/>
                  <w:tcBorders>
                    <w:tl2br w:val="nil"/>
                    <w:tr2bl w:val="nil"/>
                  </w:tcBorders>
                  <w:noWrap w:val="0"/>
                  <w:vAlign w:val="center"/>
                </w:tcPr>
                <w:p w14:paraId="059AAA91">
                  <w:pPr>
                    <w:pStyle w:val="3"/>
                    <w:bidi w:val="0"/>
                    <w:jc w:val="both"/>
                    <w:rPr>
                      <w:rFonts w:hint="eastAsia"/>
                      <w:color w:val="auto"/>
                      <w:sz w:val="21"/>
                      <w:szCs w:val="21"/>
                      <w:lang w:eastAsia="zh-CN"/>
                    </w:rPr>
                  </w:pPr>
                  <w:r>
                    <w:rPr>
                      <w:rFonts w:hint="default"/>
                      <w:color w:val="auto"/>
                      <w:sz w:val="21"/>
                      <w:szCs w:val="21"/>
                      <w:lang w:eastAsia="zh-CN"/>
                    </w:rPr>
                    <w:t>本</w:t>
                  </w:r>
                  <w:r>
                    <w:rPr>
                      <w:rFonts w:hint="default" w:ascii="Times New Roman" w:hAnsi="Times New Roman" w:cs="Times New Roman"/>
                      <w:color w:val="auto"/>
                      <w:sz w:val="21"/>
                      <w:szCs w:val="21"/>
                      <w:lang w:eastAsia="zh-CN"/>
                    </w:rPr>
                    <w:t>项目位于</w:t>
                  </w:r>
                  <w:r>
                    <w:rPr>
                      <w:rFonts w:hint="default" w:ascii="Times New Roman" w:hAnsi="Times New Roman" w:cs="Times New Roman"/>
                      <w:color w:val="auto"/>
                      <w:sz w:val="21"/>
                      <w:szCs w:val="21"/>
                    </w:rPr>
                    <w:t>涪陵区龙桥街道龙兴东路88号</w:t>
                  </w:r>
                  <w:r>
                    <w:rPr>
                      <w:rFonts w:hint="default" w:ascii="Times New Roman" w:hAnsi="Times New Roman" w:cs="Times New Roman"/>
                      <w:color w:val="auto"/>
                      <w:sz w:val="21"/>
                      <w:szCs w:val="21"/>
                      <w:lang w:eastAsia="zh-CN"/>
                    </w:rPr>
                    <w:t>，属于</w:t>
                  </w:r>
                  <w:r>
                    <w:rPr>
                      <w:rFonts w:hint="eastAsia" w:ascii="Times New Roman" w:hAnsi="Times New Roman" w:cs="Times New Roman"/>
                      <w:color w:val="auto"/>
                      <w:sz w:val="21"/>
                      <w:szCs w:val="21"/>
                      <w:lang w:eastAsia="zh-CN"/>
                    </w:rPr>
                    <w:t>涪陵工业园龙桥组团</w:t>
                  </w:r>
                  <w:r>
                    <w:rPr>
                      <w:rFonts w:hint="eastAsia"/>
                      <w:color w:val="auto"/>
                      <w:sz w:val="21"/>
                      <w:szCs w:val="21"/>
                      <w:lang w:eastAsia="zh-CN"/>
                    </w:rPr>
                    <w:t>，</w:t>
                  </w:r>
                  <w:r>
                    <w:rPr>
                      <w:rFonts w:hint="eastAsia"/>
                      <w:color w:val="auto"/>
                      <w:sz w:val="21"/>
                      <w:szCs w:val="21"/>
                      <w:lang w:eastAsia="zh-CN"/>
                    </w:rPr>
                    <w:t>符合城市总体规划。</w:t>
                  </w:r>
                </w:p>
              </w:tc>
              <w:tc>
                <w:tcPr>
                  <w:tcW w:w="742" w:type="pct"/>
                  <w:tcBorders>
                    <w:tl2br w:val="nil"/>
                    <w:tr2bl w:val="nil"/>
                  </w:tcBorders>
                  <w:noWrap w:val="0"/>
                  <w:vAlign w:val="center"/>
                </w:tcPr>
                <w:p w14:paraId="7959F02B">
                  <w:pPr>
                    <w:pStyle w:val="3"/>
                    <w:bidi w:val="0"/>
                    <w:rPr>
                      <w:rFonts w:hint="default"/>
                      <w:color w:val="auto"/>
                      <w:sz w:val="21"/>
                      <w:szCs w:val="21"/>
                      <w:lang w:eastAsia="zh-CN"/>
                    </w:rPr>
                  </w:pPr>
                  <w:r>
                    <w:rPr>
                      <w:rFonts w:hint="eastAsia"/>
                      <w:color w:val="auto"/>
                      <w:sz w:val="21"/>
                      <w:szCs w:val="21"/>
                      <w:lang w:eastAsia="zh-CN"/>
                    </w:rPr>
                    <w:t>符合</w:t>
                  </w:r>
                </w:p>
              </w:tc>
            </w:tr>
            <w:tr w14:paraId="0243A0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131AAC70">
                  <w:pPr>
                    <w:pStyle w:val="3"/>
                    <w:bidi w:val="0"/>
                    <w:rPr>
                      <w:rFonts w:hint="default"/>
                      <w:color w:val="auto"/>
                      <w:sz w:val="21"/>
                      <w:szCs w:val="21"/>
                    </w:rPr>
                  </w:pPr>
                </w:p>
              </w:tc>
              <w:tc>
                <w:tcPr>
                  <w:tcW w:w="513" w:type="pct"/>
                  <w:vMerge w:val="continue"/>
                  <w:tcBorders>
                    <w:tl2br w:val="nil"/>
                    <w:tr2bl w:val="nil"/>
                  </w:tcBorders>
                  <w:noWrap w:val="0"/>
                  <w:vAlign w:val="center"/>
                </w:tcPr>
                <w:p w14:paraId="0F55B945">
                  <w:pPr>
                    <w:pStyle w:val="3"/>
                    <w:bidi w:val="0"/>
                    <w:rPr>
                      <w:rFonts w:hint="default"/>
                      <w:color w:val="auto"/>
                      <w:sz w:val="21"/>
                      <w:szCs w:val="21"/>
                    </w:rPr>
                  </w:pPr>
                </w:p>
              </w:tc>
              <w:tc>
                <w:tcPr>
                  <w:tcW w:w="2137" w:type="pct"/>
                  <w:gridSpan w:val="2"/>
                  <w:tcBorders>
                    <w:tl2br w:val="nil"/>
                    <w:tr2bl w:val="nil"/>
                  </w:tcBorders>
                  <w:noWrap w:val="0"/>
                  <w:vAlign w:val="top"/>
                </w:tcPr>
                <w:p w14:paraId="1AA63267">
                  <w:pPr>
                    <w:pStyle w:val="3"/>
                    <w:bidi w:val="0"/>
                    <w:jc w:val="both"/>
                    <w:rPr>
                      <w:rFonts w:hint="default"/>
                      <w:color w:val="auto"/>
                      <w:sz w:val="21"/>
                      <w:szCs w:val="21"/>
                    </w:rPr>
                  </w:pPr>
                  <w:r>
                    <w:rPr>
                      <w:color w:val="auto"/>
                      <w:sz w:val="21"/>
                      <w:szCs w:val="21"/>
                    </w:rPr>
                    <w:t>2</w:t>
                  </w:r>
                  <w:r>
                    <w:rPr>
                      <w:rFonts w:hint="eastAsia"/>
                      <w:color w:val="auto"/>
                      <w:sz w:val="21"/>
                      <w:szCs w:val="21"/>
                      <w:lang w:eastAsia="zh-CN"/>
                    </w:rPr>
                    <w:t>.</w:t>
                  </w:r>
                  <w:r>
                    <w:rPr>
                      <w:color w:val="auto"/>
                      <w:sz w:val="21"/>
                      <w:szCs w:val="21"/>
                    </w:rPr>
                    <w:t>禁止在长江干支流、重要湖泊岸线一公 里范围内新建、扩建化工园区和化工项目</w:t>
                  </w:r>
                  <w:r>
                    <w:rPr>
                      <w:rFonts w:hint="eastAsia"/>
                      <w:color w:val="auto"/>
                      <w:sz w:val="21"/>
                      <w:szCs w:val="21"/>
                      <w:lang w:eastAsia="zh-CN"/>
                    </w:rPr>
                    <w:t>。</w:t>
                  </w:r>
                  <w:r>
                    <w:rPr>
                      <w:color w:val="auto"/>
                      <w:sz w:val="21"/>
                      <w:szCs w:val="21"/>
                    </w:rPr>
                    <w:t>禁止在长江干流岸线三公里范围内和重要支流岸线一公里范围内新建、改建、扩建 尾矿库、冶炼渣库、磷石膏库</w:t>
                  </w:r>
                  <w:r>
                    <w:rPr>
                      <w:rFonts w:hint="eastAsia"/>
                      <w:color w:val="auto"/>
                      <w:sz w:val="21"/>
                      <w:szCs w:val="21"/>
                      <w:lang w:eastAsia="zh-CN"/>
                    </w:rPr>
                    <w:t>，</w:t>
                  </w:r>
                  <w:r>
                    <w:rPr>
                      <w:color w:val="auto"/>
                      <w:sz w:val="21"/>
                      <w:szCs w:val="21"/>
                    </w:rPr>
                    <w:t>以提升安全、生态环境保护水平为目的的改建除外</w:t>
                  </w:r>
                  <w:r>
                    <w:rPr>
                      <w:rFonts w:hint="eastAsia"/>
                      <w:color w:val="auto"/>
                      <w:sz w:val="21"/>
                      <w:szCs w:val="21"/>
                      <w:lang w:eastAsia="zh-CN"/>
                    </w:rPr>
                    <w:t>。</w:t>
                  </w:r>
                  <w:r>
                    <w:rPr>
                      <w:color w:val="auto"/>
                      <w:sz w:val="21"/>
                      <w:szCs w:val="21"/>
                    </w:rPr>
                    <w:t>禁止在长江、嘉陵江、乌江岸线一公里范围内布局新建重化工、纸浆制造、印染等存在环境风险的项目。</w:t>
                  </w:r>
                </w:p>
              </w:tc>
              <w:tc>
                <w:tcPr>
                  <w:tcW w:w="1082" w:type="pct"/>
                  <w:tcBorders>
                    <w:tl2br w:val="nil"/>
                    <w:tr2bl w:val="nil"/>
                  </w:tcBorders>
                  <w:noWrap w:val="0"/>
                  <w:vAlign w:val="center"/>
                </w:tcPr>
                <w:p w14:paraId="3429527D">
                  <w:pPr>
                    <w:pStyle w:val="3"/>
                    <w:bidi w:val="0"/>
                    <w:jc w:val="both"/>
                    <w:rPr>
                      <w:rFonts w:hint="eastAsia"/>
                      <w:color w:val="auto"/>
                      <w:sz w:val="21"/>
                      <w:szCs w:val="21"/>
                      <w:lang w:eastAsia="zh-CN"/>
                    </w:rPr>
                  </w:pPr>
                  <w:r>
                    <w:rPr>
                      <w:rFonts w:hint="eastAsia"/>
                      <w:color w:val="auto"/>
                      <w:sz w:val="21"/>
                      <w:szCs w:val="21"/>
                      <w:lang w:eastAsia="zh-CN"/>
                    </w:rPr>
                    <w:t>本项目不属于化工项目，不属于</w:t>
                  </w:r>
                  <w:r>
                    <w:rPr>
                      <w:color w:val="auto"/>
                      <w:sz w:val="21"/>
                      <w:szCs w:val="21"/>
                    </w:rPr>
                    <w:t>尾矿库、冶炼渣库、磷石膏库</w:t>
                  </w:r>
                  <w:r>
                    <w:rPr>
                      <w:rFonts w:hint="eastAsia"/>
                      <w:color w:val="auto"/>
                      <w:sz w:val="21"/>
                      <w:szCs w:val="21"/>
                      <w:lang w:eastAsia="zh-CN"/>
                    </w:rPr>
                    <w:t>，不属于</w:t>
                  </w:r>
                  <w:r>
                    <w:rPr>
                      <w:color w:val="auto"/>
                      <w:sz w:val="21"/>
                      <w:szCs w:val="21"/>
                    </w:rPr>
                    <w:t>重化工、纸浆制造、印染</w:t>
                  </w:r>
                  <w:r>
                    <w:rPr>
                      <w:rFonts w:hint="eastAsia"/>
                      <w:color w:val="auto"/>
                      <w:sz w:val="21"/>
                      <w:szCs w:val="21"/>
                      <w:lang w:eastAsia="zh-CN"/>
                    </w:rPr>
                    <w:t>项目。</w:t>
                  </w:r>
                </w:p>
              </w:tc>
              <w:tc>
                <w:tcPr>
                  <w:tcW w:w="742" w:type="pct"/>
                  <w:tcBorders>
                    <w:tl2br w:val="nil"/>
                    <w:tr2bl w:val="nil"/>
                  </w:tcBorders>
                  <w:noWrap w:val="0"/>
                  <w:vAlign w:val="center"/>
                </w:tcPr>
                <w:p w14:paraId="0335D498">
                  <w:pPr>
                    <w:pStyle w:val="3"/>
                    <w:bidi w:val="0"/>
                    <w:rPr>
                      <w:rFonts w:hint="eastAsia"/>
                      <w:color w:val="auto"/>
                      <w:sz w:val="21"/>
                      <w:szCs w:val="21"/>
                      <w:lang w:eastAsia="zh-CN"/>
                    </w:rPr>
                  </w:pPr>
                  <w:r>
                    <w:rPr>
                      <w:rFonts w:hint="eastAsia"/>
                      <w:color w:val="auto"/>
                      <w:sz w:val="21"/>
                      <w:szCs w:val="21"/>
                      <w:lang w:eastAsia="zh-CN"/>
                    </w:rPr>
                    <w:t>符合</w:t>
                  </w:r>
                </w:p>
              </w:tc>
            </w:tr>
            <w:tr w14:paraId="0FB1BF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367290EB">
                  <w:pPr>
                    <w:pStyle w:val="3"/>
                    <w:bidi w:val="0"/>
                    <w:rPr>
                      <w:rFonts w:hint="default"/>
                      <w:color w:val="auto"/>
                      <w:sz w:val="21"/>
                      <w:szCs w:val="21"/>
                    </w:rPr>
                  </w:pPr>
                </w:p>
              </w:tc>
              <w:tc>
                <w:tcPr>
                  <w:tcW w:w="513" w:type="pct"/>
                  <w:vMerge w:val="continue"/>
                  <w:tcBorders>
                    <w:tl2br w:val="nil"/>
                    <w:tr2bl w:val="nil"/>
                  </w:tcBorders>
                  <w:noWrap w:val="0"/>
                  <w:vAlign w:val="center"/>
                </w:tcPr>
                <w:p w14:paraId="627B0772">
                  <w:pPr>
                    <w:pStyle w:val="3"/>
                    <w:bidi w:val="0"/>
                    <w:rPr>
                      <w:rFonts w:hint="default"/>
                      <w:color w:val="auto"/>
                      <w:sz w:val="21"/>
                      <w:szCs w:val="21"/>
                    </w:rPr>
                  </w:pPr>
                </w:p>
              </w:tc>
              <w:tc>
                <w:tcPr>
                  <w:tcW w:w="2137" w:type="pct"/>
                  <w:gridSpan w:val="2"/>
                  <w:tcBorders>
                    <w:tl2br w:val="nil"/>
                    <w:tr2bl w:val="nil"/>
                  </w:tcBorders>
                  <w:noWrap w:val="0"/>
                  <w:vAlign w:val="top"/>
                </w:tcPr>
                <w:p w14:paraId="146BFC01">
                  <w:pPr>
                    <w:pStyle w:val="3"/>
                    <w:bidi w:val="0"/>
                    <w:jc w:val="both"/>
                    <w:rPr>
                      <w:rFonts w:hint="default"/>
                      <w:color w:val="auto"/>
                      <w:sz w:val="21"/>
                      <w:szCs w:val="21"/>
                    </w:rPr>
                  </w:pPr>
                  <w:r>
                    <w:rPr>
                      <w:color w:val="auto"/>
                      <w:sz w:val="21"/>
                      <w:szCs w:val="21"/>
                    </w:rPr>
                    <w:t>3</w:t>
                  </w:r>
                  <w:r>
                    <w:rPr>
                      <w:rFonts w:hint="eastAsia"/>
                      <w:color w:val="auto"/>
                      <w:sz w:val="21"/>
                      <w:szCs w:val="21"/>
                      <w:lang w:eastAsia="zh-CN"/>
                    </w:rPr>
                    <w:t>.</w:t>
                  </w:r>
                  <w:r>
                    <w:rPr>
                      <w:color w:val="auto"/>
                      <w:sz w:val="21"/>
                      <w:szCs w:val="21"/>
                    </w:rPr>
                    <w:t xml:space="preserve">禁止在合规园区外新建、扩建钢铁、石化、化工、焦化、建材、有色、制浆造纸等高污染项目（高污染项目严格按照《环境保护综合名录》 </w:t>
                  </w:r>
                  <w:r>
                    <w:rPr>
                      <w:rFonts w:hint="eastAsia"/>
                      <w:color w:val="auto"/>
                      <w:sz w:val="21"/>
                      <w:szCs w:val="21"/>
                      <w:lang w:eastAsia="zh-CN"/>
                    </w:rPr>
                    <w:t>“高污染”</w:t>
                  </w:r>
                  <w:r>
                    <w:rPr>
                      <w:color w:val="auto"/>
                      <w:sz w:val="21"/>
                      <w:szCs w:val="21"/>
                    </w:rPr>
                    <w:t>产品名录执行）。禁止新建、扩建不符合国家石化、 现代煤化工等产业布局规划的项目。新建、改建、扩建</w:t>
                  </w:r>
                  <w:r>
                    <w:rPr>
                      <w:rFonts w:hint="eastAsia"/>
                      <w:color w:val="auto"/>
                      <w:sz w:val="21"/>
                      <w:szCs w:val="21"/>
                      <w:lang w:eastAsia="zh-CN"/>
                    </w:rPr>
                    <w:t>“两高”</w:t>
                  </w:r>
                  <w:r>
                    <w:rPr>
                      <w:color w:val="auto"/>
                      <w:sz w:val="21"/>
                      <w:szCs w:val="21"/>
                    </w:rPr>
                    <w:t>项目须符合生态环境保护法律法规和相关法定规划，满足重点污染物排放总量控制、碳排放达峰目标、生态环境准入清单、相关规划环评和相应行业建设项目环境准入条件、环评文件审批原则要求。</w:t>
                  </w:r>
                </w:p>
              </w:tc>
              <w:tc>
                <w:tcPr>
                  <w:tcW w:w="1082" w:type="pct"/>
                  <w:tcBorders>
                    <w:tl2br w:val="nil"/>
                    <w:tr2bl w:val="nil"/>
                  </w:tcBorders>
                  <w:noWrap w:val="0"/>
                  <w:vAlign w:val="center"/>
                </w:tcPr>
                <w:p w14:paraId="7E975C41">
                  <w:pPr>
                    <w:pStyle w:val="3"/>
                    <w:bidi w:val="0"/>
                    <w:jc w:val="both"/>
                    <w:rPr>
                      <w:rFonts w:hint="eastAsia"/>
                      <w:color w:val="auto"/>
                      <w:sz w:val="21"/>
                      <w:szCs w:val="21"/>
                      <w:lang w:eastAsia="zh-CN"/>
                    </w:rPr>
                  </w:pPr>
                  <w:r>
                    <w:rPr>
                      <w:rFonts w:hint="eastAsia"/>
                      <w:color w:val="auto"/>
                      <w:sz w:val="21"/>
                      <w:szCs w:val="21"/>
                      <w:lang w:eastAsia="zh-CN"/>
                    </w:rPr>
                    <w:t>本项目不属于</w:t>
                  </w:r>
                  <w:r>
                    <w:rPr>
                      <w:color w:val="auto"/>
                      <w:sz w:val="21"/>
                      <w:szCs w:val="21"/>
                    </w:rPr>
                    <w:t>钢铁、石化、化工、焦化、建材、有色、制浆造纸等高污染项目</w:t>
                  </w:r>
                  <w:r>
                    <w:rPr>
                      <w:rFonts w:hint="eastAsia"/>
                      <w:color w:val="auto"/>
                      <w:sz w:val="21"/>
                      <w:szCs w:val="21"/>
                      <w:lang w:eastAsia="zh-CN"/>
                    </w:rPr>
                    <w:t>；不属于</w:t>
                  </w:r>
                  <w:r>
                    <w:rPr>
                      <w:color w:val="auto"/>
                      <w:sz w:val="21"/>
                      <w:szCs w:val="21"/>
                    </w:rPr>
                    <w:t>国家石化、 现代煤化工</w:t>
                  </w:r>
                  <w:r>
                    <w:rPr>
                      <w:rFonts w:hint="eastAsia"/>
                      <w:color w:val="auto"/>
                      <w:sz w:val="21"/>
                      <w:szCs w:val="21"/>
                      <w:lang w:eastAsia="zh-CN"/>
                    </w:rPr>
                    <w:t>项目；不属于“两高”项目。</w:t>
                  </w:r>
                </w:p>
              </w:tc>
              <w:tc>
                <w:tcPr>
                  <w:tcW w:w="742" w:type="pct"/>
                  <w:tcBorders>
                    <w:tl2br w:val="nil"/>
                    <w:tr2bl w:val="nil"/>
                  </w:tcBorders>
                  <w:noWrap w:val="0"/>
                  <w:vAlign w:val="center"/>
                </w:tcPr>
                <w:p w14:paraId="67CBB1EE">
                  <w:pPr>
                    <w:pStyle w:val="3"/>
                    <w:bidi w:val="0"/>
                    <w:rPr>
                      <w:rFonts w:hint="eastAsia"/>
                      <w:color w:val="auto"/>
                      <w:sz w:val="21"/>
                      <w:szCs w:val="21"/>
                      <w:lang w:eastAsia="zh-CN"/>
                    </w:rPr>
                  </w:pPr>
                  <w:r>
                    <w:rPr>
                      <w:rFonts w:hint="eastAsia"/>
                      <w:color w:val="auto"/>
                      <w:sz w:val="21"/>
                      <w:szCs w:val="21"/>
                      <w:lang w:eastAsia="zh-CN"/>
                    </w:rPr>
                    <w:t>符合</w:t>
                  </w:r>
                </w:p>
              </w:tc>
            </w:tr>
            <w:tr w14:paraId="2C88E4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692D525">
                  <w:pPr>
                    <w:pStyle w:val="3"/>
                    <w:bidi w:val="0"/>
                    <w:rPr>
                      <w:rFonts w:hint="default"/>
                      <w:color w:val="auto"/>
                      <w:sz w:val="21"/>
                      <w:szCs w:val="21"/>
                    </w:rPr>
                  </w:pPr>
                </w:p>
              </w:tc>
              <w:tc>
                <w:tcPr>
                  <w:tcW w:w="513" w:type="pct"/>
                  <w:vMerge w:val="continue"/>
                  <w:tcBorders>
                    <w:tl2br w:val="nil"/>
                    <w:tr2bl w:val="nil"/>
                  </w:tcBorders>
                  <w:noWrap w:val="0"/>
                  <w:vAlign w:val="center"/>
                </w:tcPr>
                <w:p w14:paraId="1A06F9AD">
                  <w:pPr>
                    <w:pStyle w:val="3"/>
                    <w:bidi w:val="0"/>
                    <w:rPr>
                      <w:rFonts w:hint="default"/>
                      <w:color w:val="auto"/>
                      <w:sz w:val="21"/>
                      <w:szCs w:val="21"/>
                    </w:rPr>
                  </w:pPr>
                </w:p>
              </w:tc>
              <w:tc>
                <w:tcPr>
                  <w:tcW w:w="2137" w:type="pct"/>
                  <w:gridSpan w:val="2"/>
                  <w:tcBorders>
                    <w:tl2br w:val="nil"/>
                    <w:tr2bl w:val="nil"/>
                  </w:tcBorders>
                  <w:noWrap w:val="0"/>
                  <w:vAlign w:val="center"/>
                </w:tcPr>
                <w:p w14:paraId="34D2B479">
                  <w:pPr>
                    <w:pStyle w:val="3"/>
                    <w:bidi w:val="0"/>
                    <w:jc w:val="both"/>
                    <w:rPr>
                      <w:rFonts w:hint="default"/>
                      <w:color w:val="auto"/>
                      <w:sz w:val="21"/>
                      <w:szCs w:val="21"/>
                    </w:rPr>
                  </w:pPr>
                  <w:r>
                    <w:rPr>
                      <w:color w:val="auto"/>
                      <w:sz w:val="21"/>
                      <w:szCs w:val="21"/>
                    </w:rPr>
                    <w:t>4.严把项目准入关口，对不符合要求的高耗能、高排放、低水平项目坚决不予准入。除在安全或者产业布局等方面有特殊要求的项目外，新建有污染物排放的工业项目应当进入工业集聚区。新建化工项目应当进入全市统一布局的化工产业集聚区。鼓励现有工业项目、化工项目分别搬入工业集聚区、化工产业集聚区。</w:t>
                  </w:r>
                </w:p>
              </w:tc>
              <w:tc>
                <w:tcPr>
                  <w:tcW w:w="1082" w:type="pct"/>
                  <w:tcBorders>
                    <w:tl2br w:val="nil"/>
                    <w:tr2bl w:val="nil"/>
                  </w:tcBorders>
                  <w:noWrap w:val="0"/>
                  <w:vAlign w:val="center"/>
                </w:tcPr>
                <w:p w14:paraId="7DF3CAC3">
                  <w:pPr>
                    <w:pStyle w:val="3"/>
                    <w:bidi w:val="0"/>
                    <w:jc w:val="both"/>
                    <w:rPr>
                      <w:rFonts w:hint="eastAsia"/>
                      <w:color w:val="auto"/>
                      <w:sz w:val="21"/>
                      <w:szCs w:val="21"/>
                      <w:lang w:eastAsia="zh-CN"/>
                    </w:rPr>
                  </w:pPr>
                  <w:r>
                    <w:rPr>
                      <w:rFonts w:hint="eastAsia"/>
                      <w:color w:val="auto"/>
                      <w:sz w:val="21"/>
                      <w:szCs w:val="21"/>
                      <w:lang w:eastAsia="zh-CN"/>
                    </w:rPr>
                    <w:t>本项目不属于高耗能、高排放、低水平项目；</w:t>
                  </w:r>
                  <w:r>
                    <w:rPr>
                      <w:rFonts w:hint="default"/>
                      <w:color w:val="auto"/>
                      <w:sz w:val="21"/>
                      <w:szCs w:val="21"/>
                      <w:lang w:eastAsia="zh-CN"/>
                    </w:rPr>
                    <w:t>本项目位于</w:t>
                  </w:r>
                  <w:r>
                    <w:rPr>
                      <w:rFonts w:hint="default" w:ascii="Times New Roman" w:hAnsi="Times New Roman" w:cs="Times New Roman"/>
                      <w:color w:val="auto"/>
                      <w:sz w:val="21"/>
                      <w:szCs w:val="21"/>
                    </w:rPr>
                    <w:t>涪陵区龙桥街道龙兴东路88号</w:t>
                  </w:r>
                  <w:r>
                    <w:rPr>
                      <w:rFonts w:hint="default" w:ascii="Times New Roman" w:hAnsi="Times New Roman" w:cs="Times New Roman"/>
                      <w:color w:val="auto"/>
                      <w:sz w:val="21"/>
                      <w:szCs w:val="21"/>
                      <w:lang w:eastAsia="zh-CN"/>
                    </w:rPr>
                    <w:t>，属于</w:t>
                  </w:r>
                  <w:r>
                    <w:rPr>
                      <w:rFonts w:hint="eastAsia" w:ascii="Times New Roman" w:hAnsi="Times New Roman" w:cs="Times New Roman"/>
                      <w:color w:val="auto"/>
                      <w:sz w:val="21"/>
                      <w:szCs w:val="21"/>
                      <w:lang w:eastAsia="zh-CN"/>
                    </w:rPr>
                    <w:t>涪陵工业园龙桥组团</w:t>
                  </w:r>
                  <w:r>
                    <w:rPr>
                      <w:rFonts w:hint="eastAsia"/>
                      <w:color w:val="auto"/>
                      <w:sz w:val="21"/>
                      <w:szCs w:val="21"/>
                      <w:lang w:eastAsia="zh-CN"/>
                    </w:rPr>
                    <w:t>，</w:t>
                  </w:r>
                </w:p>
              </w:tc>
              <w:tc>
                <w:tcPr>
                  <w:tcW w:w="742" w:type="pct"/>
                  <w:tcBorders>
                    <w:tl2br w:val="nil"/>
                    <w:tr2bl w:val="nil"/>
                  </w:tcBorders>
                  <w:noWrap w:val="0"/>
                  <w:vAlign w:val="center"/>
                </w:tcPr>
                <w:p w14:paraId="23A98616">
                  <w:pPr>
                    <w:pStyle w:val="3"/>
                    <w:bidi w:val="0"/>
                    <w:rPr>
                      <w:rFonts w:hint="eastAsia"/>
                      <w:color w:val="auto"/>
                      <w:sz w:val="21"/>
                      <w:szCs w:val="21"/>
                      <w:lang w:eastAsia="zh-CN"/>
                    </w:rPr>
                  </w:pPr>
                  <w:r>
                    <w:rPr>
                      <w:rFonts w:hint="eastAsia"/>
                      <w:color w:val="auto"/>
                      <w:sz w:val="21"/>
                      <w:szCs w:val="21"/>
                      <w:lang w:eastAsia="zh-CN"/>
                    </w:rPr>
                    <w:t>符合</w:t>
                  </w:r>
                </w:p>
              </w:tc>
            </w:tr>
            <w:tr w14:paraId="092B60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2CD48B0E">
                  <w:pPr>
                    <w:pStyle w:val="3"/>
                    <w:bidi w:val="0"/>
                    <w:rPr>
                      <w:rFonts w:hint="default"/>
                      <w:color w:val="auto"/>
                      <w:sz w:val="21"/>
                      <w:szCs w:val="21"/>
                    </w:rPr>
                  </w:pPr>
                </w:p>
              </w:tc>
              <w:tc>
                <w:tcPr>
                  <w:tcW w:w="513" w:type="pct"/>
                  <w:vMerge w:val="continue"/>
                  <w:tcBorders>
                    <w:tl2br w:val="nil"/>
                    <w:tr2bl w:val="nil"/>
                  </w:tcBorders>
                  <w:noWrap w:val="0"/>
                  <w:vAlign w:val="center"/>
                </w:tcPr>
                <w:p w14:paraId="162E0D64">
                  <w:pPr>
                    <w:pStyle w:val="3"/>
                    <w:bidi w:val="0"/>
                    <w:rPr>
                      <w:rFonts w:hint="default"/>
                      <w:color w:val="auto"/>
                      <w:sz w:val="21"/>
                      <w:szCs w:val="21"/>
                    </w:rPr>
                  </w:pPr>
                </w:p>
              </w:tc>
              <w:tc>
                <w:tcPr>
                  <w:tcW w:w="2137" w:type="pct"/>
                  <w:gridSpan w:val="2"/>
                  <w:tcBorders>
                    <w:tl2br w:val="nil"/>
                    <w:tr2bl w:val="nil"/>
                  </w:tcBorders>
                  <w:noWrap w:val="0"/>
                  <w:vAlign w:val="top"/>
                </w:tcPr>
                <w:p w14:paraId="6EFFCB64">
                  <w:pPr>
                    <w:pStyle w:val="3"/>
                    <w:bidi w:val="0"/>
                    <w:jc w:val="both"/>
                    <w:rPr>
                      <w:rFonts w:hint="default"/>
                      <w:color w:val="auto"/>
                      <w:sz w:val="21"/>
                      <w:szCs w:val="21"/>
                    </w:rPr>
                  </w:pPr>
                  <w:r>
                    <w:rPr>
                      <w:color w:val="auto"/>
                      <w:sz w:val="21"/>
                      <w:szCs w:val="21"/>
                    </w:rPr>
                    <w:t>5.新建、扩建有色金属冶炼、 电镀、铅蓄电池等企业应布设在依法合规设立并经过规划环评的产业园区。</w:t>
                  </w:r>
                </w:p>
              </w:tc>
              <w:tc>
                <w:tcPr>
                  <w:tcW w:w="1082" w:type="pct"/>
                  <w:tcBorders>
                    <w:tl2br w:val="nil"/>
                    <w:tr2bl w:val="nil"/>
                  </w:tcBorders>
                  <w:noWrap w:val="0"/>
                  <w:vAlign w:val="center"/>
                </w:tcPr>
                <w:p w14:paraId="2720F3EA">
                  <w:pPr>
                    <w:pStyle w:val="3"/>
                    <w:bidi w:val="0"/>
                    <w:jc w:val="both"/>
                    <w:rPr>
                      <w:rFonts w:hint="eastAsia"/>
                      <w:color w:val="auto"/>
                      <w:sz w:val="21"/>
                      <w:szCs w:val="21"/>
                      <w:lang w:eastAsia="zh-CN"/>
                    </w:rPr>
                  </w:pPr>
                  <w:r>
                    <w:rPr>
                      <w:rFonts w:hint="eastAsia"/>
                      <w:color w:val="auto"/>
                      <w:sz w:val="21"/>
                      <w:szCs w:val="21"/>
                      <w:lang w:eastAsia="zh-CN"/>
                    </w:rPr>
                    <w:t>本项目不属于</w:t>
                  </w:r>
                  <w:r>
                    <w:rPr>
                      <w:color w:val="auto"/>
                      <w:sz w:val="21"/>
                      <w:szCs w:val="21"/>
                    </w:rPr>
                    <w:t>有色金属冶炼、 电镀、铅蓄电池等</w:t>
                  </w:r>
                  <w:r>
                    <w:rPr>
                      <w:rFonts w:hint="eastAsia"/>
                      <w:color w:val="auto"/>
                      <w:sz w:val="21"/>
                      <w:szCs w:val="21"/>
                      <w:lang w:eastAsia="zh-CN"/>
                    </w:rPr>
                    <w:t>项目。</w:t>
                  </w:r>
                </w:p>
              </w:tc>
              <w:tc>
                <w:tcPr>
                  <w:tcW w:w="742" w:type="pct"/>
                  <w:tcBorders>
                    <w:tl2br w:val="nil"/>
                    <w:tr2bl w:val="nil"/>
                  </w:tcBorders>
                  <w:noWrap w:val="0"/>
                  <w:vAlign w:val="center"/>
                </w:tcPr>
                <w:p w14:paraId="79E39EAE">
                  <w:pPr>
                    <w:pStyle w:val="3"/>
                    <w:bidi w:val="0"/>
                    <w:rPr>
                      <w:rFonts w:hint="eastAsia"/>
                      <w:color w:val="auto"/>
                      <w:sz w:val="21"/>
                      <w:szCs w:val="21"/>
                      <w:lang w:eastAsia="zh-CN"/>
                    </w:rPr>
                  </w:pPr>
                  <w:r>
                    <w:rPr>
                      <w:rFonts w:hint="eastAsia"/>
                      <w:color w:val="auto"/>
                      <w:sz w:val="21"/>
                      <w:szCs w:val="21"/>
                      <w:lang w:eastAsia="zh-CN"/>
                    </w:rPr>
                    <w:t>符合</w:t>
                  </w:r>
                </w:p>
              </w:tc>
            </w:tr>
            <w:tr w14:paraId="066FA2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76DD20AA">
                  <w:pPr>
                    <w:pStyle w:val="3"/>
                    <w:bidi w:val="0"/>
                    <w:rPr>
                      <w:rFonts w:hint="default"/>
                      <w:color w:val="auto"/>
                      <w:sz w:val="21"/>
                      <w:szCs w:val="21"/>
                    </w:rPr>
                  </w:pPr>
                </w:p>
              </w:tc>
              <w:tc>
                <w:tcPr>
                  <w:tcW w:w="513" w:type="pct"/>
                  <w:vMerge w:val="continue"/>
                  <w:tcBorders>
                    <w:tl2br w:val="nil"/>
                    <w:tr2bl w:val="nil"/>
                  </w:tcBorders>
                  <w:noWrap w:val="0"/>
                  <w:vAlign w:val="center"/>
                </w:tcPr>
                <w:p w14:paraId="540EE6BB">
                  <w:pPr>
                    <w:pStyle w:val="3"/>
                    <w:bidi w:val="0"/>
                    <w:rPr>
                      <w:rFonts w:hint="default"/>
                      <w:color w:val="auto"/>
                      <w:sz w:val="21"/>
                      <w:szCs w:val="21"/>
                    </w:rPr>
                  </w:pPr>
                </w:p>
              </w:tc>
              <w:tc>
                <w:tcPr>
                  <w:tcW w:w="2137" w:type="pct"/>
                  <w:gridSpan w:val="2"/>
                  <w:tcBorders>
                    <w:tl2br w:val="nil"/>
                    <w:tr2bl w:val="nil"/>
                  </w:tcBorders>
                  <w:noWrap w:val="0"/>
                  <w:vAlign w:val="top"/>
                </w:tcPr>
                <w:p w14:paraId="7B79884F">
                  <w:pPr>
                    <w:pStyle w:val="3"/>
                    <w:bidi w:val="0"/>
                    <w:jc w:val="both"/>
                    <w:rPr>
                      <w:rFonts w:hint="default"/>
                      <w:color w:val="auto"/>
                      <w:sz w:val="21"/>
                      <w:szCs w:val="21"/>
                    </w:rPr>
                  </w:pPr>
                  <w:r>
                    <w:rPr>
                      <w:color w:val="auto"/>
                      <w:sz w:val="21"/>
                      <w:szCs w:val="21"/>
                    </w:rPr>
                    <w:t>6.涉及环境防护距离的工业企业或项目应通过选址或调整布局原则上将环境防护距离控制在园区边界或用地红线内，提前合理规划项目地块布置、预防环境风险。</w:t>
                  </w:r>
                </w:p>
              </w:tc>
              <w:tc>
                <w:tcPr>
                  <w:tcW w:w="1082" w:type="pct"/>
                  <w:tcBorders>
                    <w:tl2br w:val="nil"/>
                    <w:tr2bl w:val="nil"/>
                  </w:tcBorders>
                  <w:noWrap w:val="0"/>
                  <w:vAlign w:val="center"/>
                </w:tcPr>
                <w:p w14:paraId="6757C07C">
                  <w:pPr>
                    <w:pStyle w:val="3"/>
                    <w:bidi w:val="0"/>
                    <w:jc w:val="both"/>
                    <w:rPr>
                      <w:rFonts w:hint="default"/>
                      <w:color w:val="auto"/>
                      <w:sz w:val="21"/>
                      <w:szCs w:val="21"/>
                      <w:lang w:eastAsia="zh-CN"/>
                    </w:rPr>
                  </w:pPr>
                  <w:r>
                    <w:rPr>
                      <w:rFonts w:hint="eastAsia"/>
                      <w:color w:val="auto"/>
                      <w:sz w:val="21"/>
                      <w:szCs w:val="21"/>
                      <w:lang w:eastAsia="zh-CN"/>
                    </w:rPr>
                    <w:t>本项目不涉及环境防护距离。</w:t>
                  </w:r>
                </w:p>
              </w:tc>
              <w:tc>
                <w:tcPr>
                  <w:tcW w:w="742" w:type="pct"/>
                  <w:tcBorders>
                    <w:tl2br w:val="nil"/>
                    <w:tr2bl w:val="nil"/>
                  </w:tcBorders>
                  <w:noWrap w:val="0"/>
                  <w:vAlign w:val="center"/>
                </w:tcPr>
                <w:p w14:paraId="12F74F16">
                  <w:pPr>
                    <w:pStyle w:val="3"/>
                    <w:bidi w:val="0"/>
                    <w:rPr>
                      <w:rFonts w:hint="eastAsia"/>
                      <w:color w:val="auto"/>
                      <w:sz w:val="21"/>
                      <w:szCs w:val="21"/>
                      <w:lang w:eastAsia="zh-CN"/>
                    </w:rPr>
                  </w:pPr>
                  <w:r>
                    <w:rPr>
                      <w:rFonts w:hint="eastAsia"/>
                      <w:color w:val="auto"/>
                      <w:sz w:val="21"/>
                      <w:szCs w:val="21"/>
                      <w:lang w:eastAsia="zh-CN"/>
                    </w:rPr>
                    <w:t>符合</w:t>
                  </w:r>
                </w:p>
              </w:tc>
            </w:tr>
            <w:tr w14:paraId="7381DA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5CC51EDB">
                  <w:pPr>
                    <w:pStyle w:val="3"/>
                    <w:bidi w:val="0"/>
                    <w:rPr>
                      <w:rFonts w:hint="default"/>
                      <w:color w:val="auto"/>
                      <w:sz w:val="21"/>
                      <w:szCs w:val="21"/>
                    </w:rPr>
                  </w:pPr>
                </w:p>
              </w:tc>
              <w:tc>
                <w:tcPr>
                  <w:tcW w:w="513" w:type="pct"/>
                  <w:vMerge w:val="continue"/>
                  <w:tcBorders>
                    <w:tl2br w:val="nil"/>
                    <w:tr2bl w:val="nil"/>
                  </w:tcBorders>
                  <w:noWrap w:val="0"/>
                  <w:vAlign w:val="center"/>
                </w:tcPr>
                <w:p w14:paraId="6768697A">
                  <w:pPr>
                    <w:pStyle w:val="3"/>
                    <w:bidi w:val="0"/>
                    <w:rPr>
                      <w:rFonts w:hint="default"/>
                      <w:color w:val="auto"/>
                      <w:sz w:val="21"/>
                      <w:szCs w:val="21"/>
                    </w:rPr>
                  </w:pPr>
                </w:p>
              </w:tc>
              <w:tc>
                <w:tcPr>
                  <w:tcW w:w="2137" w:type="pct"/>
                  <w:gridSpan w:val="2"/>
                  <w:tcBorders>
                    <w:tl2br w:val="nil"/>
                    <w:tr2bl w:val="nil"/>
                  </w:tcBorders>
                  <w:noWrap w:val="0"/>
                  <w:vAlign w:val="top"/>
                </w:tcPr>
                <w:p w14:paraId="2B136B5B">
                  <w:pPr>
                    <w:pStyle w:val="3"/>
                    <w:bidi w:val="0"/>
                    <w:jc w:val="both"/>
                    <w:rPr>
                      <w:rFonts w:hint="default"/>
                      <w:color w:val="auto"/>
                      <w:sz w:val="21"/>
                      <w:szCs w:val="21"/>
                    </w:rPr>
                  </w:pPr>
                  <w:r>
                    <w:rPr>
                      <w:rFonts w:hint="eastAsia"/>
                      <w:color w:val="auto"/>
                      <w:sz w:val="21"/>
                      <w:szCs w:val="21"/>
                      <w:lang w:val="en-US" w:eastAsia="zh-CN"/>
                    </w:rPr>
                    <w:t>7.</w:t>
                  </w:r>
                  <w:r>
                    <w:rPr>
                      <w:color w:val="auto"/>
                      <w:sz w:val="21"/>
                      <w:szCs w:val="21"/>
                    </w:rPr>
                    <w:t>有效规范空间开发秩序，合理控制空间开发强度，切实将各类开发活动限制在资源环境承载能力之内，为构建高效协调可持续的国土空间开发格局奠定坚实基础。</w:t>
                  </w:r>
                </w:p>
              </w:tc>
              <w:tc>
                <w:tcPr>
                  <w:tcW w:w="1082" w:type="pct"/>
                  <w:tcBorders>
                    <w:tl2br w:val="nil"/>
                    <w:tr2bl w:val="nil"/>
                  </w:tcBorders>
                  <w:noWrap w:val="0"/>
                  <w:vAlign w:val="center"/>
                </w:tcPr>
                <w:p w14:paraId="18493A65">
                  <w:pPr>
                    <w:pStyle w:val="3"/>
                    <w:bidi w:val="0"/>
                    <w:jc w:val="both"/>
                    <w:rPr>
                      <w:rFonts w:hint="default"/>
                      <w:color w:val="auto"/>
                      <w:sz w:val="21"/>
                      <w:szCs w:val="21"/>
                      <w:lang w:eastAsia="zh-CN"/>
                    </w:rPr>
                  </w:pPr>
                  <w:r>
                    <w:rPr>
                      <w:color w:val="auto"/>
                      <w:sz w:val="21"/>
                      <w:szCs w:val="21"/>
                    </w:rPr>
                    <w:t>本项目开发活动限制在资源环境承载能力之内。</w:t>
                  </w:r>
                </w:p>
              </w:tc>
              <w:tc>
                <w:tcPr>
                  <w:tcW w:w="742" w:type="pct"/>
                  <w:tcBorders>
                    <w:tl2br w:val="nil"/>
                    <w:tr2bl w:val="nil"/>
                  </w:tcBorders>
                  <w:noWrap w:val="0"/>
                  <w:vAlign w:val="center"/>
                </w:tcPr>
                <w:p w14:paraId="6C76D87E">
                  <w:pPr>
                    <w:pStyle w:val="3"/>
                    <w:bidi w:val="0"/>
                    <w:rPr>
                      <w:rFonts w:hint="eastAsia"/>
                      <w:color w:val="auto"/>
                      <w:sz w:val="21"/>
                      <w:szCs w:val="21"/>
                      <w:lang w:eastAsia="zh-CN"/>
                    </w:rPr>
                  </w:pPr>
                  <w:r>
                    <w:rPr>
                      <w:rFonts w:hint="eastAsia"/>
                      <w:color w:val="auto"/>
                      <w:sz w:val="21"/>
                      <w:szCs w:val="21"/>
                      <w:lang w:eastAsia="zh-CN"/>
                    </w:rPr>
                    <w:t>符合</w:t>
                  </w:r>
                </w:p>
              </w:tc>
            </w:tr>
            <w:tr w14:paraId="6DD77E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vMerge w:val="continue"/>
                  <w:tcBorders>
                    <w:tl2br w:val="nil"/>
                    <w:tr2bl w:val="nil"/>
                  </w:tcBorders>
                  <w:noWrap w:val="0"/>
                  <w:vAlign w:val="center"/>
                </w:tcPr>
                <w:p w14:paraId="23ECA65B">
                  <w:pPr>
                    <w:pStyle w:val="3"/>
                    <w:bidi w:val="0"/>
                    <w:rPr>
                      <w:rFonts w:hint="default"/>
                      <w:color w:val="auto"/>
                      <w:sz w:val="21"/>
                      <w:szCs w:val="21"/>
                    </w:rPr>
                  </w:pPr>
                </w:p>
              </w:tc>
              <w:tc>
                <w:tcPr>
                  <w:tcW w:w="513" w:type="pct"/>
                  <w:vMerge w:val="restart"/>
                  <w:tcBorders>
                    <w:tl2br w:val="nil"/>
                    <w:tr2bl w:val="nil"/>
                  </w:tcBorders>
                  <w:noWrap w:val="0"/>
                  <w:vAlign w:val="center"/>
                </w:tcPr>
                <w:p w14:paraId="3E1DB6C6">
                  <w:pPr>
                    <w:pStyle w:val="3"/>
                    <w:bidi w:val="0"/>
                    <w:rPr>
                      <w:rFonts w:hint="default"/>
                      <w:color w:val="auto"/>
                      <w:sz w:val="21"/>
                      <w:szCs w:val="21"/>
                    </w:rPr>
                  </w:pPr>
                  <w:r>
                    <w:rPr>
                      <w:rFonts w:hint="default"/>
                      <w:color w:val="auto"/>
                      <w:sz w:val="21"/>
                      <w:szCs w:val="21"/>
                    </w:rPr>
                    <w:t>污染物排放管控</w:t>
                  </w:r>
                </w:p>
              </w:tc>
              <w:tc>
                <w:tcPr>
                  <w:tcW w:w="2137" w:type="pct"/>
                  <w:gridSpan w:val="2"/>
                  <w:tcBorders>
                    <w:tl2br w:val="nil"/>
                    <w:tr2bl w:val="nil"/>
                  </w:tcBorders>
                  <w:noWrap w:val="0"/>
                  <w:vAlign w:val="center"/>
                </w:tcPr>
                <w:p w14:paraId="0B6CCE31">
                  <w:pPr>
                    <w:pStyle w:val="3"/>
                    <w:bidi w:val="0"/>
                    <w:jc w:val="both"/>
                    <w:rPr>
                      <w:rFonts w:hint="default"/>
                      <w:color w:val="auto"/>
                      <w:sz w:val="21"/>
                      <w:szCs w:val="21"/>
                    </w:rPr>
                  </w:pPr>
                  <w:r>
                    <w:rPr>
                      <w:color w:val="auto"/>
                      <w:sz w:val="21"/>
                      <w:szCs w:val="21"/>
                    </w:rPr>
                    <w:t>1.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 电解铝等行业新建、扩建项目实行产能等量或减量置换。国家或地方已出台超低排放要求的“两高”行业建设项目应满足超低排放要求。加强水泥和平板玻璃行业差别化管理，新改扩建项目严格落 实相关产业政策要求，满足能效标杆水平、环保绩效 A 级指标要求。</w:t>
                  </w:r>
                </w:p>
              </w:tc>
              <w:tc>
                <w:tcPr>
                  <w:tcW w:w="1082" w:type="pct"/>
                  <w:tcBorders>
                    <w:tl2br w:val="nil"/>
                    <w:tr2bl w:val="nil"/>
                  </w:tcBorders>
                  <w:noWrap w:val="0"/>
                  <w:vAlign w:val="center"/>
                </w:tcPr>
                <w:p w14:paraId="718DA78D">
                  <w:pPr>
                    <w:pStyle w:val="3"/>
                    <w:bidi w:val="0"/>
                    <w:jc w:val="both"/>
                    <w:rPr>
                      <w:rFonts w:hint="eastAsia"/>
                      <w:color w:val="auto"/>
                      <w:sz w:val="21"/>
                      <w:szCs w:val="21"/>
                      <w:lang w:eastAsia="zh-CN"/>
                    </w:rPr>
                  </w:pPr>
                  <w:r>
                    <w:rPr>
                      <w:rFonts w:hint="eastAsia"/>
                      <w:color w:val="auto"/>
                      <w:sz w:val="21"/>
                      <w:szCs w:val="21"/>
                      <w:lang w:eastAsia="zh-CN"/>
                    </w:rPr>
                    <w:t>本项目不属于</w:t>
                  </w:r>
                  <w:r>
                    <w:rPr>
                      <w:color w:val="auto"/>
                      <w:sz w:val="21"/>
                      <w:szCs w:val="21"/>
                    </w:rPr>
                    <w:t>石化、煤化工、燃煤发电（含热电）、钢铁、有色金属冶炼、制浆造纸行业</w:t>
                  </w:r>
                  <w:r>
                    <w:rPr>
                      <w:rFonts w:hint="eastAsia"/>
                      <w:color w:val="auto"/>
                      <w:sz w:val="21"/>
                      <w:szCs w:val="21"/>
                      <w:lang w:eastAsia="zh-CN"/>
                    </w:rPr>
                    <w:t>；不属于</w:t>
                  </w:r>
                  <w:r>
                    <w:rPr>
                      <w:color w:val="auto"/>
                      <w:sz w:val="21"/>
                      <w:szCs w:val="21"/>
                    </w:rPr>
                    <w:t>钢铁、水泥熟料、平板玻璃、 电解铝等行业</w:t>
                  </w:r>
                  <w:r>
                    <w:rPr>
                      <w:rFonts w:hint="eastAsia"/>
                      <w:color w:val="auto"/>
                      <w:sz w:val="21"/>
                      <w:szCs w:val="21"/>
                      <w:lang w:eastAsia="zh-CN"/>
                    </w:rPr>
                    <w:t>；不属于“两高”建设项目；不属于</w:t>
                  </w:r>
                  <w:r>
                    <w:rPr>
                      <w:color w:val="auto"/>
                      <w:sz w:val="21"/>
                      <w:szCs w:val="21"/>
                    </w:rPr>
                    <w:t>水泥和平板玻璃行业</w:t>
                  </w:r>
                  <w:r>
                    <w:rPr>
                      <w:rFonts w:hint="eastAsia"/>
                      <w:color w:val="auto"/>
                      <w:sz w:val="21"/>
                      <w:szCs w:val="21"/>
                      <w:lang w:eastAsia="zh-CN"/>
                    </w:rPr>
                    <w:t>。</w:t>
                  </w:r>
                </w:p>
              </w:tc>
              <w:tc>
                <w:tcPr>
                  <w:tcW w:w="742" w:type="pct"/>
                  <w:tcBorders>
                    <w:tl2br w:val="nil"/>
                    <w:tr2bl w:val="nil"/>
                  </w:tcBorders>
                  <w:noWrap w:val="0"/>
                  <w:vAlign w:val="center"/>
                </w:tcPr>
                <w:p w14:paraId="34DD819B">
                  <w:pPr>
                    <w:pStyle w:val="3"/>
                    <w:bidi w:val="0"/>
                    <w:rPr>
                      <w:rFonts w:hint="default"/>
                      <w:color w:val="auto"/>
                      <w:sz w:val="21"/>
                      <w:szCs w:val="21"/>
                    </w:rPr>
                  </w:pPr>
                  <w:r>
                    <w:rPr>
                      <w:rFonts w:hint="default"/>
                      <w:color w:val="auto"/>
                      <w:sz w:val="21"/>
                      <w:szCs w:val="21"/>
                    </w:rPr>
                    <w:t>符合</w:t>
                  </w:r>
                </w:p>
              </w:tc>
            </w:tr>
            <w:tr w14:paraId="0A65BB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3586E17C">
                  <w:pPr>
                    <w:pStyle w:val="3"/>
                    <w:bidi w:val="0"/>
                    <w:rPr>
                      <w:rFonts w:hint="default"/>
                      <w:color w:val="auto"/>
                      <w:sz w:val="21"/>
                      <w:szCs w:val="21"/>
                    </w:rPr>
                  </w:pPr>
                </w:p>
              </w:tc>
              <w:tc>
                <w:tcPr>
                  <w:tcW w:w="513" w:type="pct"/>
                  <w:vMerge w:val="continue"/>
                  <w:tcBorders>
                    <w:tl2br w:val="nil"/>
                    <w:tr2bl w:val="nil"/>
                  </w:tcBorders>
                  <w:noWrap w:val="0"/>
                  <w:vAlign w:val="center"/>
                </w:tcPr>
                <w:p w14:paraId="79FBEF41">
                  <w:pPr>
                    <w:pStyle w:val="3"/>
                    <w:bidi w:val="0"/>
                    <w:rPr>
                      <w:rFonts w:hint="default"/>
                      <w:color w:val="auto"/>
                      <w:sz w:val="21"/>
                      <w:szCs w:val="21"/>
                    </w:rPr>
                  </w:pPr>
                </w:p>
              </w:tc>
              <w:tc>
                <w:tcPr>
                  <w:tcW w:w="2137" w:type="pct"/>
                  <w:gridSpan w:val="2"/>
                  <w:tcBorders>
                    <w:tl2br w:val="nil"/>
                    <w:tr2bl w:val="nil"/>
                  </w:tcBorders>
                  <w:noWrap w:val="0"/>
                  <w:vAlign w:val="top"/>
                </w:tcPr>
                <w:p w14:paraId="34FA9BD1">
                  <w:pPr>
                    <w:pStyle w:val="3"/>
                    <w:bidi w:val="0"/>
                    <w:jc w:val="both"/>
                    <w:rPr>
                      <w:rFonts w:hint="default"/>
                      <w:color w:val="auto"/>
                      <w:sz w:val="21"/>
                      <w:szCs w:val="21"/>
                    </w:rPr>
                  </w:pPr>
                  <w:r>
                    <w:rPr>
                      <w:color w:val="auto"/>
                      <w:sz w:val="21"/>
                      <w:szCs w:val="21"/>
                    </w:rPr>
                    <w:t>2.严格落实国家及我市大气污染防控相关要求，对大气环境质量未达标地区，新建、 改扩建项目实施更严格的污染物排放总量控制要求。严格落实区域削减要求</w:t>
                  </w:r>
                  <w:r>
                    <w:rPr>
                      <w:rFonts w:hint="eastAsia"/>
                      <w:color w:val="auto"/>
                      <w:sz w:val="21"/>
                      <w:szCs w:val="21"/>
                      <w:lang w:eastAsia="zh-CN"/>
                    </w:rPr>
                    <w:t>，</w:t>
                  </w:r>
                  <w:r>
                    <w:rPr>
                      <w:color w:val="auto"/>
                      <w:sz w:val="21"/>
                      <w:szCs w:val="21"/>
                    </w:rPr>
                    <w:t>所在区域、流域控制单元环境质量未达到国家或者地方环境质量标准的，建设项目需提出有效的区域削减方案，主要污染物实行区域倍量削减。</w:t>
                  </w:r>
                </w:p>
              </w:tc>
              <w:tc>
                <w:tcPr>
                  <w:tcW w:w="1082" w:type="pct"/>
                  <w:tcBorders>
                    <w:tl2br w:val="nil"/>
                    <w:tr2bl w:val="nil"/>
                  </w:tcBorders>
                  <w:noWrap w:val="0"/>
                  <w:vAlign w:val="center"/>
                </w:tcPr>
                <w:p w14:paraId="225280A8">
                  <w:pPr>
                    <w:pStyle w:val="3"/>
                    <w:bidi w:val="0"/>
                    <w:jc w:val="both"/>
                    <w:rPr>
                      <w:rFonts w:hint="eastAsia"/>
                      <w:color w:val="auto"/>
                      <w:sz w:val="21"/>
                      <w:szCs w:val="21"/>
                      <w:lang w:eastAsia="zh-CN"/>
                    </w:rPr>
                  </w:pPr>
                  <w:r>
                    <w:rPr>
                      <w:rFonts w:hint="eastAsia"/>
                      <w:color w:val="auto"/>
                      <w:sz w:val="21"/>
                      <w:szCs w:val="21"/>
                      <w:highlight w:val="none"/>
                      <w:lang w:eastAsia="zh-CN"/>
                    </w:rPr>
                    <w:t>本项目位于环境空气质量不达标区，区域在采取限期达标规划相应措施后，区域环境空气质量将逐步达标。</w:t>
                  </w:r>
                </w:p>
              </w:tc>
              <w:tc>
                <w:tcPr>
                  <w:tcW w:w="742" w:type="pct"/>
                  <w:tcBorders>
                    <w:tl2br w:val="nil"/>
                    <w:tr2bl w:val="nil"/>
                  </w:tcBorders>
                  <w:noWrap w:val="0"/>
                  <w:vAlign w:val="center"/>
                </w:tcPr>
                <w:p w14:paraId="6FE8D732">
                  <w:pPr>
                    <w:pStyle w:val="3"/>
                    <w:bidi w:val="0"/>
                    <w:rPr>
                      <w:rFonts w:hint="eastAsia"/>
                      <w:color w:val="auto"/>
                      <w:sz w:val="21"/>
                      <w:szCs w:val="21"/>
                      <w:lang w:eastAsia="zh-CN"/>
                    </w:rPr>
                  </w:pPr>
                  <w:r>
                    <w:rPr>
                      <w:rFonts w:hint="eastAsia"/>
                      <w:color w:val="auto"/>
                      <w:sz w:val="21"/>
                      <w:szCs w:val="21"/>
                      <w:lang w:eastAsia="zh-CN"/>
                    </w:rPr>
                    <w:t>符合</w:t>
                  </w:r>
                </w:p>
              </w:tc>
            </w:tr>
            <w:tr w14:paraId="7F1A1F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031B2B9">
                  <w:pPr>
                    <w:pStyle w:val="3"/>
                    <w:bidi w:val="0"/>
                    <w:rPr>
                      <w:rFonts w:hint="default"/>
                      <w:color w:val="auto"/>
                      <w:sz w:val="21"/>
                      <w:szCs w:val="21"/>
                    </w:rPr>
                  </w:pPr>
                </w:p>
              </w:tc>
              <w:tc>
                <w:tcPr>
                  <w:tcW w:w="513" w:type="pct"/>
                  <w:vMerge w:val="continue"/>
                  <w:tcBorders>
                    <w:tl2br w:val="nil"/>
                    <w:tr2bl w:val="nil"/>
                  </w:tcBorders>
                  <w:noWrap w:val="0"/>
                  <w:vAlign w:val="center"/>
                </w:tcPr>
                <w:p w14:paraId="32423D03">
                  <w:pPr>
                    <w:pStyle w:val="3"/>
                    <w:bidi w:val="0"/>
                    <w:rPr>
                      <w:rFonts w:hint="default"/>
                      <w:color w:val="auto"/>
                      <w:sz w:val="21"/>
                      <w:szCs w:val="21"/>
                    </w:rPr>
                  </w:pPr>
                </w:p>
              </w:tc>
              <w:tc>
                <w:tcPr>
                  <w:tcW w:w="2137" w:type="pct"/>
                  <w:gridSpan w:val="2"/>
                  <w:tcBorders>
                    <w:tl2br w:val="nil"/>
                    <w:tr2bl w:val="nil"/>
                  </w:tcBorders>
                  <w:noWrap w:val="0"/>
                  <w:vAlign w:val="top"/>
                </w:tcPr>
                <w:p w14:paraId="30B51ADF">
                  <w:pPr>
                    <w:pStyle w:val="3"/>
                    <w:bidi w:val="0"/>
                    <w:jc w:val="both"/>
                    <w:rPr>
                      <w:rFonts w:hint="default"/>
                      <w:color w:val="auto"/>
                      <w:sz w:val="21"/>
                      <w:szCs w:val="21"/>
                    </w:rPr>
                  </w:pPr>
                  <w:r>
                    <w:rPr>
                      <w:color w:val="auto"/>
                      <w:sz w:val="21"/>
                      <w:szCs w:val="21"/>
                    </w:rPr>
                    <w:t>3.在重点行业（石化、化工</w:t>
                  </w:r>
                  <w:r>
                    <w:rPr>
                      <w:rFonts w:hint="eastAsia"/>
                      <w:color w:val="auto"/>
                      <w:sz w:val="21"/>
                      <w:szCs w:val="21"/>
                      <w:lang w:eastAsia="zh-CN"/>
                    </w:rPr>
                    <w:t>、</w:t>
                  </w:r>
                  <w:r>
                    <w:rPr>
                      <w:color w:val="auto"/>
                      <w:sz w:val="21"/>
                      <w:szCs w:val="21"/>
                    </w:rPr>
                    <w:t>工业涂装、包装印刷、油品储运销等）推进挥发性有机物综合治理，推动低挥发性有机物原辅材料和产品源头替代，推广使用低挥发性有机物含量产品，推动纳入政府绿色采购 名录。有条件的工业集聚区建设集中喷涂工程中心，配备高效治污设施，替代企业独立喷涂工序，对涉及喷漆、喷粉、印刷等废气进行集中处理。</w:t>
                  </w:r>
                </w:p>
              </w:tc>
              <w:tc>
                <w:tcPr>
                  <w:tcW w:w="1082" w:type="pct"/>
                  <w:tcBorders>
                    <w:tl2br w:val="nil"/>
                    <w:tr2bl w:val="nil"/>
                  </w:tcBorders>
                  <w:noWrap w:val="0"/>
                  <w:vAlign w:val="center"/>
                </w:tcPr>
                <w:p w14:paraId="6E40E58C">
                  <w:pPr>
                    <w:pStyle w:val="3"/>
                    <w:bidi w:val="0"/>
                    <w:jc w:val="both"/>
                    <w:rPr>
                      <w:rFonts w:hint="eastAsia"/>
                      <w:color w:val="auto"/>
                      <w:sz w:val="21"/>
                      <w:szCs w:val="21"/>
                      <w:lang w:eastAsia="zh-CN"/>
                    </w:rPr>
                  </w:pPr>
                  <w:r>
                    <w:rPr>
                      <w:rFonts w:hint="eastAsia"/>
                      <w:color w:val="auto"/>
                      <w:sz w:val="21"/>
                      <w:szCs w:val="21"/>
                      <w:lang w:eastAsia="zh-CN"/>
                    </w:rPr>
                    <w:t>本项目不属于重点行业，不涉及喷漆、喷粉、印刷等工序。</w:t>
                  </w:r>
                </w:p>
              </w:tc>
              <w:tc>
                <w:tcPr>
                  <w:tcW w:w="742" w:type="pct"/>
                  <w:tcBorders>
                    <w:tl2br w:val="nil"/>
                    <w:tr2bl w:val="nil"/>
                  </w:tcBorders>
                  <w:noWrap w:val="0"/>
                  <w:vAlign w:val="center"/>
                </w:tcPr>
                <w:p w14:paraId="70792F70">
                  <w:pPr>
                    <w:pStyle w:val="3"/>
                    <w:bidi w:val="0"/>
                    <w:rPr>
                      <w:rFonts w:hint="eastAsia"/>
                      <w:color w:val="auto"/>
                      <w:sz w:val="21"/>
                      <w:szCs w:val="21"/>
                      <w:lang w:eastAsia="zh-CN"/>
                    </w:rPr>
                  </w:pPr>
                  <w:r>
                    <w:rPr>
                      <w:rFonts w:hint="eastAsia"/>
                      <w:color w:val="auto"/>
                      <w:sz w:val="21"/>
                      <w:szCs w:val="21"/>
                      <w:lang w:eastAsia="zh-CN"/>
                    </w:rPr>
                    <w:t>符合</w:t>
                  </w:r>
                </w:p>
              </w:tc>
            </w:tr>
            <w:tr w14:paraId="00A641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125573A8">
                  <w:pPr>
                    <w:pStyle w:val="3"/>
                    <w:bidi w:val="0"/>
                    <w:rPr>
                      <w:rFonts w:hint="default"/>
                      <w:color w:val="auto"/>
                      <w:sz w:val="21"/>
                      <w:szCs w:val="21"/>
                    </w:rPr>
                  </w:pPr>
                </w:p>
              </w:tc>
              <w:tc>
                <w:tcPr>
                  <w:tcW w:w="513" w:type="pct"/>
                  <w:vMerge w:val="continue"/>
                  <w:tcBorders>
                    <w:tl2br w:val="nil"/>
                    <w:tr2bl w:val="nil"/>
                  </w:tcBorders>
                  <w:noWrap w:val="0"/>
                  <w:vAlign w:val="center"/>
                </w:tcPr>
                <w:p w14:paraId="53A948F2">
                  <w:pPr>
                    <w:pStyle w:val="3"/>
                    <w:bidi w:val="0"/>
                    <w:rPr>
                      <w:rFonts w:hint="default"/>
                      <w:color w:val="auto"/>
                      <w:sz w:val="21"/>
                      <w:szCs w:val="21"/>
                    </w:rPr>
                  </w:pPr>
                </w:p>
              </w:tc>
              <w:tc>
                <w:tcPr>
                  <w:tcW w:w="2137" w:type="pct"/>
                  <w:gridSpan w:val="2"/>
                  <w:tcBorders>
                    <w:tl2br w:val="nil"/>
                    <w:tr2bl w:val="nil"/>
                  </w:tcBorders>
                  <w:noWrap w:val="0"/>
                  <w:vAlign w:val="center"/>
                </w:tcPr>
                <w:p w14:paraId="3754079A">
                  <w:pPr>
                    <w:pStyle w:val="3"/>
                    <w:bidi w:val="0"/>
                    <w:jc w:val="both"/>
                    <w:rPr>
                      <w:rFonts w:hint="default"/>
                      <w:color w:val="auto"/>
                      <w:sz w:val="21"/>
                      <w:szCs w:val="21"/>
                    </w:rPr>
                  </w:pPr>
                  <w:r>
                    <w:rPr>
                      <w:color w:val="auto"/>
                      <w:sz w:val="21"/>
                      <w:szCs w:val="21"/>
                    </w:rPr>
                    <w:t>4.工业集聚区应当按照有关规定配套建设相应的污水集中处理设施，安装自动监测设备，工业集聚区内的企业向污水集中处理设施排放工业废水的，应当按照国家有关规定进行预处理，达到集中处理设施处理工艺要求后方可排放。</w:t>
                  </w:r>
                </w:p>
              </w:tc>
              <w:tc>
                <w:tcPr>
                  <w:tcW w:w="1082" w:type="pct"/>
                  <w:tcBorders>
                    <w:tl2br w:val="nil"/>
                    <w:tr2bl w:val="nil"/>
                  </w:tcBorders>
                  <w:noWrap w:val="0"/>
                  <w:vAlign w:val="center"/>
                </w:tcPr>
                <w:p w14:paraId="5A8A1B05">
                  <w:pPr>
                    <w:pStyle w:val="3"/>
                    <w:bidi w:val="0"/>
                    <w:jc w:val="both"/>
                    <w:rPr>
                      <w:rFonts w:hint="eastAsia"/>
                      <w:color w:val="auto"/>
                      <w:sz w:val="21"/>
                      <w:szCs w:val="21"/>
                      <w:lang w:eastAsia="zh-CN"/>
                    </w:rPr>
                  </w:pPr>
                  <w:r>
                    <w:rPr>
                      <w:rFonts w:hint="eastAsia"/>
                      <w:color w:val="auto"/>
                      <w:sz w:val="21"/>
                      <w:szCs w:val="21"/>
                      <w:lang w:eastAsia="zh-CN"/>
                    </w:rPr>
                    <w:t>本项目所在地属于龙桥污水处理厂的服务范围</w:t>
                  </w:r>
                  <w:r>
                    <w:rPr>
                      <w:rFonts w:hint="eastAsia"/>
                      <w:color w:val="auto"/>
                      <w:sz w:val="21"/>
                      <w:szCs w:val="21"/>
                      <w:lang w:val="en-US" w:eastAsia="zh-CN"/>
                    </w:rPr>
                    <w:t>，本项目废水经污水处理设施处置后的排放浓度满足三级排放标准的要求。</w:t>
                  </w:r>
                </w:p>
              </w:tc>
              <w:tc>
                <w:tcPr>
                  <w:tcW w:w="742" w:type="pct"/>
                  <w:tcBorders>
                    <w:tl2br w:val="nil"/>
                    <w:tr2bl w:val="nil"/>
                  </w:tcBorders>
                  <w:noWrap w:val="0"/>
                  <w:vAlign w:val="center"/>
                </w:tcPr>
                <w:p w14:paraId="41E28648">
                  <w:pPr>
                    <w:pStyle w:val="3"/>
                    <w:bidi w:val="0"/>
                    <w:rPr>
                      <w:rFonts w:hint="eastAsia"/>
                      <w:color w:val="auto"/>
                      <w:sz w:val="21"/>
                      <w:szCs w:val="21"/>
                      <w:lang w:eastAsia="zh-CN"/>
                    </w:rPr>
                  </w:pPr>
                  <w:r>
                    <w:rPr>
                      <w:rFonts w:hint="eastAsia"/>
                      <w:color w:val="auto"/>
                      <w:sz w:val="21"/>
                      <w:szCs w:val="21"/>
                      <w:lang w:eastAsia="zh-CN"/>
                    </w:rPr>
                    <w:t>符合</w:t>
                  </w:r>
                </w:p>
              </w:tc>
            </w:tr>
            <w:tr w14:paraId="725049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1C66D1D">
                  <w:pPr>
                    <w:pStyle w:val="3"/>
                    <w:bidi w:val="0"/>
                    <w:rPr>
                      <w:rFonts w:hint="default"/>
                      <w:color w:val="auto"/>
                      <w:sz w:val="21"/>
                      <w:szCs w:val="21"/>
                    </w:rPr>
                  </w:pPr>
                </w:p>
              </w:tc>
              <w:tc>
                <w:tcPr>
                  <w:tcW w:w="513" w:type="pct"/>
                  <w:vMerge w:val="continue"/>
                  <w:tcBorders>
                    <w:tl2br w:val="nil"/>
                    <w:tr2bl w:val="nil"/>
                  </w:tcBorders>
                  <w:noWrap w:val="0"/>
                  <w:vAlign w:val="center"/>
                </w:tcPr>
                <w:p w14:paraId="2DD810C7">
                  <w:pPr>
                    <w:pStyle w:val="3"/>
                    <w:bidi w:val="0"/>
                    <w:rPr>
                      <w:rFonts w:hint="default"/>
                      <w:color w:val="auto"/>
                      <w:sz w:val="21"/>
                      <w:szCs w:val="21"/>
                    </w:rPr>
                  </w:pPr>
                </w:p>
              </w:tc>
              <w:tc>
                <w:tcPr>
                  <w:tcW w:w="2137" w:type="pct"/>
                  <w:gridSpan w:val="2"/>
                  <w:tcBorders>
                    <w:tl2br w:val="nil"/>
                    <w:tr2bl w:val="nil"/>
                  </w:tcBorders>
                  <w:noWrap w:val="0"/>
                  <w:vAlign w:val="top"/>
                </w:tcPr>
                <w:p w14:paraId="343D32E4">
                  <w:pPr>
                    <w:pStyle w:val="3"/>
                    <w:bidi w:val="0"/>
                    <w:jc w:val="both"/>
                    <w:rPr>
                      <w:rFonts w:hint="default"/>
                      <w:color w:val="auto"/>
                      <w:sz w:val="21"/>
                      <w:szCs w:val="21"/>
                    </w:rPr>
                  </w:pPr>
                  <w:r>
                    <w:rPr>
                      <w:color w:val="auto"/>
                      <w:sz w:val="21"/>
                      <w:szCs w:val="21"/>
                    </w:rPr>
                    <w:t>5</w:t>
                  </w:r>
                  <w:r>
                    <w:rPr>
                      <w:rFonts w:hint="eastAsia"/>
                      <w:color w:val="auto"/>
                      <w:sz w:val="21"/>
                      <w:szCs w:val="21"/>
                      <w:lang w:eastAsia="zh-CN"/>
                    </w:rPr>
                    <w:t>.</w:t>
                  </w:r>
                  <w:r>
                    <w:rPr>
                      <w:color w:val="auto"/>
                      <w:sz w:val="21"/>
                      <w:szCs w:val="21"/>
                    </w:rPr>
                    <w:t>推进乡镇生活污水处理设施达标改造。新建城市生活污水处理厂全部按照一级A标及以上排放标准设计、施工、验收，建制乡镇生活污水处理设施出水水质不得低于一级B标排放标准；对现有截留制排水管网实施雨污分流改造，针对无法彻底雨污分流的老城区，尊重现实合理保留截留制区域，合理提高截留倍数；对新建的排水管网，全部按照雨污分流模式实施建设。</w:t>
                  </w:r>
                </w:p>
              </w:tc>
              <w:tc>
                <w:tcPr>
                  <w:tcW w:w="1082" w:type="pct"/>
                  <w:tcBorders>
                    <w:tl2br w:val="nil"/>
                    <w:tr2bl w:val="nil"/>
                  </w:tcBorders>
                  <w:noWrap w:val="0"/>
                  <w:vAlign w:val="center"/>
                </w:tcPr>
                <w:p w14:paraId="41138861">
                  <w:pPr>
                    <w:pStyle w:val="3"/>
                    <w:bidi w:val="0"/>
                    <w:jc w:val="both"/>
                    <w:rPr>
                      <w:rFonts w:hint="default"/>
                      <w:color w:val="auto"/>
                      <w:sz w:val="21"/>
                      <w:szCs w:val="21"/>
                      <w:lang w:val="en-US" w:eastAsia="zh-CN"/>
                    </w:rPr>
                  </w:pPr>
                  <w:r>
                    <w:rPr>
                      <w:rFonts w:hint="eastAsia"/>
                      <w:color w:val="auto"/>
                      <w:sz w:val="21"/>
                      <w:szCs w:val="21"/>
                      <w:lang w:eastAsia="zh-CN"/>
                    </w:rPr>
                    <w:t>本项目所在区域属于龙桥污水处理厂的服务范围</w:t>
                  </w:r>
                  <w:r>
                    <w:rPr>
                      <w:rFonts w:hint="eastAsia"/>
                      <w:color w:val="auto"/>
                      <w:sz w:val="21"/>
                      <w:szCs w:val="21"/>
                      <w:lang w:val="en-US" w:eastAsia="zh-CN"/>
                    </w:rPr>
                    <w:t>，</w:t>
                  </w:r>
                  <w:r>
                    <w:rPr>
                      <w:rFonts w:hint="eastAsia"/>
                      <w:color w:val="auto"/>
                      <w:sz w:val="21"/>
                      <w:szCs w:val="21"/>
                      <w:lang w:eastAsia="zh-CN"/>
                    </w:rPr>
                    <w:t>项目周边截污管网已经完善，本项目排放废水依托龙桥污水处理厂处理达</w:t>
                  </w:r>
                  <w:r>
                    <w:rPr>
                      <w:rFonts w:hint="eastAsia"/>
                      <w:color w:val="auto"/>
                      <w:sz w:val="21"/>
                      <w:szCs w:val="21"/>
                      <w:lang w:val="en-US" w:eastAsia="zh-CN"/>
                    </w:rPr>
                    <w:t>标后排入长江。</w:t>
                  </w:r>
                </w:p>
              </w:tc>
              <w:tc>
                <w:tcPr>
                  <w:tcW w:w="742" w:type="pct"/>
                  <w:tcBorders>
                    <w:tl2br w:val="nil"/>
                    <w:tr2bl w:val="nil"/>
                  </w:tcBorders>
                  <w:noWrap w:val="0"/>
                  <w:vAlign w:val="center"/>
                </w:tcPr>
                <w:p w14:paraId="01A5A1E7">
                  <w:pPr>
                    <w:pStyle w:val="3"/>
                    <w:bidi w:val="0"/>
                    <w:rPr>
                      <w:rFonts w:hint="eastAsia"/>
                      <w:color w:val="auto"/>
                      <w:sz w:val="21"/>
                      <w:szCs w:val="21"/>
                      <w:lang w:eastAsia="zh-CN"/>
                    </w:rPr>
                  </w:pPr>
                  <w:r>
                    <w:rPr>
                      <w:rFonts w:hint="eastAsia"/>
                      <w:color w:val="auto"/>
                      <w:sz w:val="21"/>
                      <w:szCs w:val="21"/>
                      <w:lang w:eastAsia="zh-CN"/>
                    </w:rPr>
                    <w:t>符合</w:t>
                  </w:r>
                </w:p>
              </w:tc>
            </w:tr>
            <w:tr w14:paraId="20D74CA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2815444D">
                  <w:pPr>
                    <w:pStyle w:val="3"/>
                    <w:bidi w:val="0"/>
                    <w:rPr>
                      <w:rFonts w:hint="default"/>
                      <w:color w:val="auto"/>
                      <w:sz w:val="21"/>
                      <w:szCs w:val="21"/>
                    </w:rPr>
                  </w:pPr>
                </w:p>
              </w:tc>
              <w:tc>
                <w:tcPr>
                  <w:tcW w:w="513" w:type="pct"/>
                  <w:vMerge w:val="continue"/>
                  <w:tcBorders>
                    <w:tl2br w:val="nil"/>
                    <w:tr2bl w:val="nil"/>
                  </w:tcBorders>
                  <w:noWrap w:val="0"/>
                  <w:vAlign w:val="center"/>
                </w:tcPr>
                <w:p w14:paraId="5F1C8480">
                  <w:pPr>
                    <w:pStyle w:val="3"/>
                    <w:bidi w:val="0"/>
                    <w:rPr>
                      <w:rFonts w:hint="default"/>
                      <w:color w:val="auto"/>
                      <w:sz w:val="21"/>
                      <w:szCs w:val="21"/>
                    </w:rPr>
                  </w:pPr>
                </w:p>
              </w:tc>
              <w:tc>
                <w:tcPr>
                  <w:tcW w:w="2137" w:type="pct"/>
                  <w:gridSpan w:val="2"/>
                  <w:tcBorders>
                    <w:tl2br w:val="nil"/>
                    <w:tr2bl w:val="nil"/>
                  </w:tcBorders>
                  <w:noWrap w:val="0"/>
                  <w:vAlign w:val="top"/>
                </w:tcPr>
                <w:p w14:paraId="5C141779">
                  <w:pPr>
                    <w:pStyle w:val="3"/>
                    <w:bidi w:val="0"/>
                    <w:jc w:val="both"/>
                    <w:rPr>
                      <w:rFonts w:hint="default"/>
                      <w:color w:val="auto"/>
                      <w:sz w:val="21"/>
                      <w:szCs w:val="21"/>
                    </w:rPr>
                  </w:pPr>
                  <w:r>
                    <w:rPr>
                      <w:color w:val="auto"/>
                      <w:sz w:val="21"/>
                      <w:szCs w:val="21"/>
                    </w:rPr>
                    <w:t>6</w:t>
                  </w:r>
                  <w:r>
                    <w:rPr>
                      <w:rFonts w:hint="eastAsia"/>
                      <w:color w:val="auto"/>
                      <w:sz w:val="21"/>
                      <w:szCs w:val="21"/>
                      <w:lang w:val="en-US" w:eastAsia="zh-CN"/>
                    </w:rPr>
                    <w:t>.</w:t>
                  </w:r>
                  <w:r>
                    <w:rPr>
                      <w:color w:val="auto"/>
                      <w:sz w:val="21"/>
                      <w:szCs w:val="21"/>
                    </w:rPr>
                    <w:t>新、改、扩建重点行业〔重有色金属矿采选业（铜、铅锌、镍钴、锡、锑和汞矿采选）、重有色金属冶炼业（铜、铅锌、镍钴、锡、锑和汞冶炼）、铅蓄电池制造业、皮革鞣制加工业、化学原料及化学制 品制造业（电石法聚氯乙烯制造、铬盐制造、以工业固废为原料的锌无机化合物工业等）、电镀行业〕重点重金属污染物排放执行“等量替代”原则。</w:t>
                  </w:r>
                </w:p>
              </w:tc>
              <w:tc>
                <w:tcPr>
                  <w:tcW w:w="1082" w:type="pct"/>
                  <w:tcBorders>
                    <w:tl2br w:val="nil"/>
                    <w:tr2bl w:val="nil"/>
                  </w:tcBorders>
                  <w:noWrap w:val="0"/>
                  <w:vAlign w:val="center"/>
                </w:tcPr>
                <w:p w14:paraId="63121206">
                  <w:pPr>
                    <w:pStyle w:val="3"/>
                    <w:bidi w:val="0"/>
                    <w:jc w:val="both"/>
                    <w:rPr>
                      <w:rFonts w:hint="default"/>
                      <w:color w:val="auto"/>
                      <w:sz w:val="21"/>
                      <w:szCs w:val="21"/>
                      <w:lang w:val="en-US" w:eastAsia="zh-CN"/>
                    </w:rPr>
                  </w:pPr>
                  <w:r>
                    <w:rPr>
                      <w:rFonts w:hint="eastAsia"/>
                      <w:color w:val="auto"/>
                      <w:sz w:val="21"/>
                      <w:szCs w:val="21"/>
                      <w:lang w:val="en-US" w:eastAsia="zh-CN"/>
                    </w:rPr>
                    <w:t>本项目不属于上述重点行业，不涉及重点重金属污染物的排放。</w:t>
                  </w:r>
                </w:p>
              </w:tc>
              <w:tc>
                <w:tcPr>
                  <w:tcW w:w="742" w:type="pct"/>
                  <w:tcBorders>
                    <w:tl2br w:val="nil"/>
                    <w:tr2bl w:val="nil"/>
                  </w:tcBorders>
                  <w:noWrap w:val="0"/>
                  <w:vAlign w:val="center"/>
                </w:tcPr>
                <w:p w14:paraId="6CE32E8F">
                  <w:pPr>
                    <w:pStyle w:val="3"/>
                    <w:bidi w:val="0"/>
                    <w:rPr>
                      <w:rFonts w:hint="eastAsia"/>
                      <w:color w:val="auto"/>
                      <w:sz w:val="21"/>
                      <w:szCs w:val="21"/>
                      <w:lang w:eastAsia="zh-CN"/>
                    </w:rPr>
                  </w:pPr>
                  <w:r>
                    <w:rPr>
                      <w:rFonts w:hint="eastAsia"/>
                      <w:color w:val="auto"/>
                      <w:sz w:val="21"/>
                      <w:szCs w:val="21"/>
                      <w:lang w:eastAsia="zh-CN"/>
                    </w:rPr>
                    <w:t>符合</w:t>
                  </w:r>
                </w:p>
              </w:tc>
            </w:tr>
            <w:tr w14:paraId="735329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3EC5292F">
                  <w:pPr>
                    <w:pStyle w:val="3"/>
                    <w:bidi w:val="0"/>
                    <w:rPr>
                      <w:rFonts w:hint="default"/>
                      <w:color w:val="auto"/>
                      <w:sz w:val="21"/>
                      <w:szCs w:val="21"/>
                    </w:rPr>
                  </w:pPr>
                </w:p>
              </w:tc>
              <w:tc>
                <w:tcPr>
                  <w:tcW w:w="513" w:type="pct"/>
                  <w:vMerge w:val="continue"/>
                  <w:tcBorders>
                    <w:tl2br w:val="nil"/>
                    <w:tr2bl w:val="nil"/>
                  </w:tcBorders>
                  <w:noWrap w:val="0"/>
                  <w:vAlign w:val="center"/>
                </w:tcPr>
                <w:p w14:paraId="00AA7716">
                  <w:pPr>
                    <w:pStyle w:val="3"/>
                    <w:bidi w:val="0"/>
                    <w:rPr>
                      <w:rFonts w:hint="default"/>
                      <w:color w:val="auto"/>
                      <w:sz w:val="21"/>
                      <w:szCs w:val="21"/>
                    </w:rPr>
                  </w:pPr>
                </w:p>
              </w:tc>
              <w:tc>
                <w:tcPr>
                  <w:tcW w:w="2137" w:type="pct"/>
                  <w:gridSpan w:val="2"/>
                  <w:tcBorders>
                    <w:tl2br w:val="nil"/>
                    <w:tr2bl w:val="nil"/>
                  </w:tcBorders>
                  <w:noWrap w:val="0"/>
                  <w:vAlign w:val="center"/>
                </w:tcPr>
                <w:p w14:paraId="02701A29">
                  <w:pPr>
                    <w:pStyle w:val="3"/>
                    <w:bidi w:val="0"/>
                    <w:jc w:val="both"/>
                    <w:rPr>
                      <w:rFonts w:hint="default"/>
                      <w:color w:val="auto"/>
                      <w:sz w:val="21"/>
                      <w:szCs w:val="21"/>
                    </w:rPr>
                  </w:pPr>
                  <w:r>
                    <w:rPr>
                      <w:rFonts w:hint="eastAsia"/>
                      <w:color w:val="auto"/>
                      <w:sz w:val="21"/>
                      <w:szCs w:val="21"/>
                      <w:lang w:val="en-US" w:eastAsia="zh-CN"/>
                    </w:rPr>
                    <w:t>7.</w:t>
                  </w:r>
                  <w:r>
                    <w:rPr>
                      <w:color w:val="auto"/>
                      <w:sz w:val="21"/>
                      <w:szCs w:val="21"/>
                    </w:rPr>
                    <w:t>固体废物污染环境防治坚持减量化、资源化和无害化的原则。产生工业固体废物的单位应当建立健全工业固体废物产生、收集、贮存、运输、利用、处置全过程的污染环境防治责任制度，建立工业固体废 物管理台账。</w:t>
                  </w:r>
                </w:p>
              </w:tc>
              <w:tc>
                <w:tcPr>
                  <w:tcW w:w="1082" w:type="pct"/>
                  <w:tcBorders>
                    <w:tl2br w:val="nil"/>
                    <w:tr2bl w:val="nil"/>
                  </w:tcBorders>
                  <w:noWrap w:val="0"/>
                  <w:vAlign w:val="center"/>
                </w:tcPr>
                <w:p w14:paraId="725033E5">
                  <w:pPr>
                    <w:pStyle w:val="3"/>
                    <w:bidi w:val="0"/>
                    <w:jc w:val="both"/>
                    <w:rPr>
                      <w:rFonts w:hint="eastAsia"/>
                      <w:color w:val="auto"/>
                      <w:sz w:val="21"/>
                      <w:szCs w:val="21"/>
                      <w:lang w:eastAsia="zh-CN"/>
                    </w:rPr>
                  </w:pPr>
                  <w:r>
                    <w:rPr>
                      <w:color w:val="auto"/>
                      <w:sz w:val="21"/>
                      <w:szCs w:val="21"/>
                    </w:rPr>
                    <w:t>危险废物</w:t>
                  </w:r>
                  <w:r>
                    <w:rPr>
                      <w:rFonts w:hint="eastAsia"/>
                      <w:color w:val="auto"/>
                      <w:sz w:val="21"/>
                      <w:szCs w:val="21"/>
                      <w:lang w:eastAsia="zh-CN"/>
                    </w:rPr>
                    <w:t>经</w:t>
                  </w:r>
                  <w:r>
                    <w:rPr>
                      <w:rFonts w:hint="eastAsia"/>
                      <w:color w:val="auto"/>
                      <w:lang w:eastAsia="zh-CN"/>
                    </w:rPr>
                    <w:t>危险废物贮存库</w:t>
                  </w:r>
                  <w:r>
                    <w:rPr>
                      <w:rFonts w:hint="eastAsia"/>
                      <w:color w:val="auto"/>
                      <w:sz w:val="21"/>
                      <w:szCs w:val="21"/>
                      <w:lang w:eastAsia="zh-CN"/>
                    </w:rPr>
                    <w:t>暂存后</w:t>
                  </w:r>
                  <w:r>
                    <w:rPr>
                      <w:color w:val="auto"/>
                      <w:sz w:val="21"/>
                      <w:szCs w:val="21"/>
                    </w:rPr>
                    <w:t>交有处理资质的单位处置</w:t>
                  </w:r>
                  <w:r>
                    <w:rPr>
                      <w:rFonts w:hint="eastAsia"/>
                      <w:color w:val="auto"/>
                      <w:sz w:val="21"/>
                      <w:szCs w:val="21"/>
                      <w:lang w:eastAsia="zh-CN"/>
                    </w:rPr>
                    <w:t>；建立了工业固体废物</w:t>
                  </w:r>
                  <w:r>
                    <w:rPr>
                      <w:color w:val="auto"/>
                      <w:sz w:val="21"/>
                      <w:szCs w:val="21"/>
                    </w:rPr>
                    <w:t>全过程的污染环境防治责任制度，建立工业固体废 物管理台账。</w:t>
                  </w:r>
                </w:p>
              </w:tc>
              <w:tc>
                <w:tcPr>
                  <w:tcW w:w="742" w:type="pct"/>
                  <w:tcBorders>
                    <w:tl2br w:val="nil"/>
                    <w:tr2bl w:val="nil"/>
                  </w:tcBorders>
                  <w:noWrap w:val="0"/>
                  <w:vAlign w:val="center"/>
                </w:tcPr>
                <w:p w14:paraId="0C3576BE">
                  <w:pPr>
                    <w:pStyle w:val="3"/>
                    <w:bidi w:val="0"/>
                    <w:rPr>
                      <w:rFonts w:hint="eastAsia"/>
                      <w:color w:val="auto"/>
                      <w:sz w:val="21"/>
                      <w:szCs w:val="21"/>
                      <w:lang w:eastAsia="zh-CN"/>
                    </w:rPr>
                  </w:pPr>
                  <w:r>
                    <w:rPr>
                      <w:rFonts w:hint="eastAsia"/>
                      <w:color w:val="auto"/>
                      <w:sz w:val="21"/>
                      <w:szCs w:val="21"/>
                      <w:lang w:eastAsia="zh-CN"/>
                    </w:rPr>
                    <w:t>符合</w:t>
                  </w:r>
                </w:p>
              </w:tc>
            </w:tr>
            <w:tr w14:paraId="389C2B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3AD75851">
                  <w:pPr>
                    <w:pStyle w:val="3"/>
                    <w:bidi w:val="0"/>
                    <w:rPr>
                      <w:rFonts w:hint="default"/>
                      <w:color w:val="auto"/>
                      <w:sz w:val="21"/>
                      <w:szCs w:val="21"/>
                    </w:rPr>
                  </w:pPr>
                </w:p>
              </w:tc>
              <w:tc>
                <w:tcPr>
                  <w:tcW w:w="513" w:type="pct"/>
                  <w:vMerge w:val="continue"/>
                  <w:tcBorders>
                    <w:tl2br w:val="nil"/>
                    <w:tr2bl w:val="nil"/>
                  </w:tcBorders>
                  <w:noWrap w:val="0"/>
                  <w:vAlign w:val="center"/>
                </w:tcPr>
                <w:p w14:paraId="2EAE6681">
                  <w:pPr>
                    <w:pStyle w:val="3"/>
                    <w:bidi w:val="0"/>
                    <w:rPr>
                      <w:rFonts w:hint="default"/>
                      <w:color w:val="auto"/>
                      <w:sz w:val="21"/>
                      <w:szCs w:val="21"/>
                    </w:rPr>
                  </w:pPr>
                </w:p>
              </w:tc>
              <w:tc>
                <w:tcPr>
                  <w:tcW w:w="2137" w:type="pct"/>
                  <w:gridSpan w:val="2"/>
                  <w:tcBorders>
                    <w:tl2br w:val="nil"/>
                    <w:tr2bl w:val="nil"/>
                  </w:tcBorders>
                  <w:noWrap w:val="0"/>
                  <w:vAlign w:val="top"/>
                </w:tcPr>
                <w:p w14:paraId="06A680DF">
                  <w:pPr>
                    <w:pStyle w:val="3"/>
                    <w:bidi w:val="0"/>
                    <w:jc w:val="both"/>
                    <w:rPr>
                      <w:rFonts w:hint="default"/>
                      <w:color w:val="auto"/>
                      <w:sz w:val="21"/>
                      <w:szCs w:val="21"/>
                    </w:rPr>
                  </w:pPr>
                  <w:r>
                    <w:rPr>
                      <w:rFonts w:hint="eastAsia"/>
                      <w:color w:val="auto"/>
                      <w:sz w:val="21"/>
                      <w:szCs w:val="21"/>
                      <w:lang w:val="en-US" w:eastAsia="zh-CN"/>
                    </w:rPr>
                    <w:t>8.</w:t>
                  </w:r>
                  <w:r>
                    <w:rPr>
                      <w:color w:val="auto"/>
                      <w:sz w:val="21"/>
                      <w:szCs w:val="21"/>
                    </w:rPr>
                    <w:t>建设分类投放、分类收集、分类运输、分类处理的生活垃圾处理系统。合理布局生活垃圾分类收集站点，完善分类运输系统，加快补齐分类收集转运设施能力短板。强化“无废城市”制度、技术、市场、监管、全民行动</w:t>
                  </w:r>
                  <w:r>
                    <w:rPr>
                      <w:rFonts w:hint="eastAsia"/>
                      <w:color w:val="auto"/>
                      <w:sz w:val="21"/>
                      <w:szCs w:val="21"/>
                      <w:lang w:eastAsia="zh-CN"/>
                    </w:rPr>
                    <w:t>“五大体系”</w:t>
                  </w:r>
                  <w:r>
                    <w:rPr>
                      <w:color w:val="auto"/>
                      <w:sz w:val="21"/>
                      <w:szCs w:val="21"/>
                    </w:rPr>
                    <w:t>建设，推进城市固体废物精细化管理。</w:t>
                  </w:r>
                </w:p>
              </w:tc>
              <w:tc>
                <w:tcPr>
                  <w:tcW w:w="1082" w:type="pct"/>
                  <w:tcBorders>
                    <w:tl2br w:val="nil"/>
                    <w:tr2bl w:val="nil"/>
                  </w:tcBorders>
                  <w:noWrap w:val="0"/>
                  <w:vAlign w:val="center"/>
                </w:tcPr>
                <w:p w14:paraId="469C53A5">
                  <w:pPr>
                    <w:pStyle w:val="3"/>
                    <w:bidi w:val="0"/>
                    <w:jc w:val="both"/>
                    <w:rPr>
                      <w:rFonts w:hint="eastAsia"/>
                      <w:color w:val="auto"/>
                      <w:sz w:val="21"/>
                      <w:szCs w:val="21"/>
                      <w:lang w:eastAsia="zh-CN"/>
                    </w:rPr>
                  </w:pPr>
                  <w:r>
                    <w:rPr>
                      <w:rFonts w:hint="eastAsia"/>
                      <w:color w:val="auto"/>
                      <w:sz w:val="21"/>
                      <w:szCs w:val="21"/>
                      <w:lang w:eastAsia="zh-CN"/>
                    </w:rPr>
                    <w:t>本项目生活垃圾经分类收集后交当地环卫部门处置，符合相关环保要求。</w:t>
                  </w:r>
                </w:p>
              </w:tc>
              <w:tc>
                <w:tcPr>
                  <w:tcW w:w="742" w:type="pct"/>
                  <w:tcBorders>
                    <w:tl2br w:val="nil"/>
                    <w:tr2bl w:val="nil"/>
                  </w:tcBorders>
                  <w:noWrap w:val="0"/>
                  <w:vAlign w:val="center"/>
                </w:tcPr>
                <w:p w14:paraId="6550F25B">
                  <w:pPr>
                    <w:pStyle w:val="3"/>
                    <w:bidi w:val="0"/>
                    <w:rPr>
                      <w:rFonts w:hint="eastAsia"/>
                      <w:color w:val="auto"/>
                      <w:sz w:val="21"/>
                      <w:szCs w:val="21"/>
                      <w:lang w:eastAsia="zh-CN"/>
                    </w:rPr>
                  </w:pPr>
                  <w:r>
                    <w:rPr>
                      <w:rFonts w:hint="eastAsia"/>
                      <w:color w:val="auto"/>
                      <w:sz w:val="21"/>
                      <w:szCs w:val="21"/>
                      <w:lang w:eastAsia="zh-CN"/>
                    </w:rPr>
                    <w:t>符合</w:t>
                  </w:r>
                </w:p>
              </w:tc>
            </w:tr>
            <w:tr w14:paraId="499A86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5ECC870">
                  <w:pPr>
                    <w:pStyle w:val="3"/>
                    <w:bidi w:val="0"/>
                    <w:rPr>
                      <w:rFonts w:hint="default"/>
                      <w:color w:val="auto"/>
                      <w:sz w:val="21"/>
                      <w:szCs w:val="21"/>
                    </w:rPr>
                  </w:pPr>
                </w:p>
              </w:tc>
              <w:tc>
                <w:tcPr>
                  <w:tcW w:w="513" w:type="pct"/>
                  <w:vMerge w:val="restart"/>
                  <w:tcBorders>
                    <w:tl2br w:val="nil"/>
                    <w:tr2bl w:val="nil"/>
                  </w:tcBorders>
                  <w:noWrap w:val="0"/>
                  <w:vAlign w:val="center"/>
                </w:tcPr>
                <w:p w14:paraId="3E5E3AC3">
                  <w:pPr>
                    <w:pStyle w:val="3"/>
                    <w:bidi w:val="0"/>
                    <w:rPr>
                      <w:rFonts w:hint="default"/>
                      <w:color w:val="auto"/>
                      <w:sz w:val="21"/>
                      <w:szCs w:val="21"/>
                    </w:rPr>
                  </w:pPr>
                  <w:r>
                    <w:rPr>
                      <w:rFonts w:hint="default"/>
                      <w:color w:val="auto"/>
                      <w:sz w:val="21"/>
                      <w:szCs w:val="21"/>
                    </w:rPr>
                    <w:t>环境风险防控</w:t>
                  </w:r>
                </w:p>
              </w:tc>
              <w:tc>
                <w:tcPr>
                  <w:tcW w:w="2137" w:type="pct"/>
                  <w:gridSpan w:val="2"/>
                  <w:tcBorders>
                    <w:tl2br w:val="nil"/>
                    <w:tr2bl w:val="nil"/>
                  </w:tcBorders>
                  <w:noWrap w:val="0"/>
                  <w:vAlign w:val="top"/>
                </w:tcPr>
                <w:p w14:paraId="4DB9730D">
                  <w:pPr>
                    <w:pStyle w:val="3"/>
                    <w:bidi w:val="0"/>
                    <w:jc w:val="both"/>
                    <w:rPr>
                      <w:rFonts w:hint="default"/>
                      <w:color w:val="auto"/>
                      <w:sz w:val="21"/>
                      <w:szCs w:val="21"/>
                    </w:rPr>
                  </w:pPr>
                  <w:r>
                    <w:rPr>
                      <w:color w:val="auto"/>
                      <w:sz w:val="21"/>
                      <w:szCs w:val="21"/>
                    </w:rPr>
                    <w:t>1.深入开展行政区域、重点流域、重点饮用水源、化工园区等突发环境事件风险评估，建立区域突发环境事件风险评估数据信息获取与动态更新机制。落实企业突发环境事件风险评估制度，推进突发环境事 件风险分类分级管理，严格监管重大突发环境事件风险企业。</w:t>
                  </w:r>
                </w:p>
              </w:tc>
              <w:tc>
                <w:tcPr>
                  <w:tcW w:w="1082" w:type="pct"/>
                  <w:tcBorders>
                    <w:tl2br w:val="nil"/>
                    <w:tr2bl w:val="nil"/>
                  </w:tcBorders>
                  <w:noWrap w:val="0"/>
                  <w:vAlign w:val="center"/>
                </w:tcPr>
                <w:p w14:paraId="4189DAFA">
                  <w:pPr>
                    <w:pStyle w:val="3"/>
                    <w:bidi w:val="0"/>
                    <w:jc w:val="both"/>
                    <w:rPr>
                      <w:rFonts w:hint="eastAsia"/>
                      <w:color w:val="auto"/>
                      <w:sz w:val="21"/>
                      <w:szCs w:val="21"/>
                      <w:lang w:eastAsia="zh-CN"/>
                    </w:rPr>
                  </w:pPr>
                  <w:r>
                    <w:rPr>
                      <w:rFonts w:hint="eastAsia"/>
                      <w:color w:val="auto"/>
                      <w:sz w:val="21"/>
                      <w:szCs w:val="21"/>
                      <w:lang w:eastAsia="zh-CN"/>
                    </w:rPr>
                    <w:t>本项目所在区域不属于</w:t>
                  </w:r>
                  <w:r>
                    <w:rPr>
                      <w:color w:val="auto"/>
                      <w:sz w:val="21"/>
                      <w:szCs w:val="21"/>
                    </w:rPr>
                    <w:t>行政区域、重点流域、重点饮用水源、化工园区</w:t>
                  </w:r>
                  <w:r>
                    <w:rPr>
                      <w:rFonts w:hint="eastAsia"/>
                      <w:color w:val="auto"/>
                      <w:sz w:val="21"/>
                      <w:szCs w:val="21"/>
                      <w:lang w:eastAsia="zh-CN"/>
                    </w:rPr>
                    <w:t>。</w:t>
                  </w:r>
                </w:p>
              </w:tc>
              <w:tc>
                <w:tcPr>
                  <w:tcW w:w="742" w:type="pct"/>
                  <w:tcBorders>
                    <w:tl2br w:val="nil"/>
                    <w:tr2bl w:val="nil"/>
                  </w:tcBorders>
                  <w:noWrap w:val="0"/>
                  <w:vAlign w:val="center"/>
                </w:tcPr>
                <w:p w14:paraId="5338308A">
                  <w:pPr>
                    <w:pStyle w:val="3"/>
                    <w:bidi w:val="0"/>
                    <w:rPr>
                      <w:rFonts w:hint="eastAsia"/>
                      <w:color w:val="auto"/>
                      <w:sz w:val="21"/>
                      <w:szCs w:val="21"/>
                      <w:lang w:eastAsia="zh-CN"/>
                    </w:rPr>
                  </w:pPr>
                  <w:r>
                    <w:rPr>
                      <w:rFonts w:hint="eastAsia"/>
                      <w:color w:val="auto"/>
                      <w:sz w:val="21"/>
                      <w:szCs w:val="21"/>
                      <w:lang w:eastAsia="zh-CN"/>
                    </w:rPr>
                    <w:t>符合</w:t>
                  </w:r>
                </w:p>
              </w:tc>
            </w:tr>
            <w:tr w14:paraId="5A5D43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8A242A6">
                  <w:pPr>
                    <w:pStyle w:val="3"/>
                    <w:bidi w:val="0"/>
                    <w:rPr>
                      <w:rFonts w:hint="default"/>
                      <w:color w:val="auto"/>
                      <w:sz w:val="21"/>
                      <w:szCs w:val="21"/>
                    </w:rPr>
                  </w:pPr>
                </w:p>
              </w:tc>
              <w:tc>
                <w:tcPr>
                  <w:tcW w:w="513" w:type="pct"/>
                  <w:vMerge w:val="continue"/>
                  <w:tcBorders>
                    <w:tl2br w:val="nil"/>
                    <w:tr2bl w:val="nil"/>
                  </w:tcBorders>
                  <w:noWrap w:val="0"/>
                  <w:vAlign w:val="center"/>
                </w:tcPr>
                <w:p w14:paraId="285205F3">
                  <w:pPr>
                    <w:pStyle w:val="3"/>
                    <w:bidi w:val="0"/>
                    <w:rPr>
                      <w:rFonts w:hint="default"/>
                      <w:color w:val="auto"/>
                      <w:sz w:val="21"/>
                      <w:szCs w:val="21"/>
                    </w:rPr>
                  </w:pPr>
                </w:p>
              </w:tc>
              <w:tc>
                <w:tcPr>
                  <w:tcW w:w="2137" w:type="pct"/>
                  <w:gridSpan w:val="2"/>
                  <w:tcBorders>
                    <w:tl2br w:val="nil"/>
                    <w:tr2bl w:val="nil"/>
                  </w:tcBorders>
                  <w:noWrap w:val="0"/>
                  <w:vAlign w:val="top"/>
                </w:tcPr>
                <w:p w14:paraId="7C420620">
                  <w:pPr>
                    <w:pStyle w:val="3"/>
                    <w:bidi w:val="0"/>
                    <w:jc w:val="both"/>
                    <w:rPr>
                      <w:rFonts w:hint="default"/>
                      <w:color w:val="auto"/>
                      <w:sz w:val="21"/>
                      <w:szCs w:val="21"/>
                    </w:rPr>
                  </w:pPr>
                  <w:r>
                    <w:rPr>
                      <w:color w:val="auto"/>
                      <w:sz w:val="21"/>
                      <w:szCs w:val="21"/>
                    </w:rPr>
                    <w:t>2.强化化工园区涉水突发环境事件四级环境风险防范体系建设。持续推进重点化工园区（化工集中区）建设有毒有害气体监测预警体系和水质生物毒性预警体系。</w:t>
                  </w:r>
                </w:p>
              </w:tc>
              <w:tc>
                <w:tcPr>
                  <w:tcW w:w="1082" w:type="pct"/>
                  <w:tcBorders>
                    <w:tl2br w:val="nil"/>
                    <w:tr2bl w:val="nil"/>
                  </w:tcBorders>
                  <w:noWrap w:val="0"/>
                  <w:vAlign w:val="center"/>
                </w:tcPr>
                <w:p w14:paraId="5228078D">
                  <w:pPr>
                    <w:pStyle w:val="3"/>
                    <w:bidi w:val="0"/>
                    <w:jc w:val="both"/>
                    <w:rPr>
                      <w:rFonts w:hint="eastAsia"/>
                      <w:color w:val="auto"/>
                      <w:sz w:val="21"/>
                      <w:szCs w:val="21"/>
                      <w:lang w:eastAsia="zh-CN"/>
                    </w:rPr>
                  </w:pPr>
                  <w:r>
                    <w:rPr>
                      <w:rFonts w:hint="eastAsia"/>
                      <w:color w:val="auto"/>
                      <w:sz w:val="21"/>
                      <w:szCs w:val="21"/>
                      <w:lang w:eastAsia="zh-CN"/>
                    </w:rPr>
                    <w:t>本项目不涉及上述内容</w:t>
                  </w:r>
                </w:p>
              </w:tc>
              <w:tc>
                <w:tcPr>
                  <w:tcW w:w="742" w:type="pct"/>
                  <w:tcBorders>
                    <w:tl2br w:val="nil"/>
                    <w:tr2bl w:val="nil"/>
                  </w:tcBorders>
                  <w:noWrap w:val="0"/>
                  <w:vAlign w:val="center"/>
                </w:tcPr>
                <w:p w14:paraId="10E29E85">
                  <w:pPr>
                    <w:pStyle w:val="3"/>
                    <w:bidi w:val="0"/>
                    <w:rPr>
                      <w:rFonts w:hint="eastAsia"/>
                      <w:color w:val="auto"/>
                      <w:sz w:val="21"/>
                      <w:szCs w:val="21"/>
                      <w:lang w:eastAsia="zh-CN"/>
                    </w:rPr>
                  </w:pPr>
                  <w:r>
                    <w:rPr>
                      <w:rFonts w:hint="eastAsia"/>
                      <w:color w:val="auto"/>
                      <w:sz w:val="21"/>
                      <w:szCs w:val="21"/>
                      <w:lang w:eastAsia="zh-CN"/>
                    </w:rPr>
                    <w:t>符合</w:t>
                  </w:r>
                </w:p>
              </w:tc>
            </w:tr>
            <w:tr w14:paraId="376663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24D24F3">
                  <w:pPr>
                    <w:pStyle w:val="3"/>
                    <w:bidi w:val="0"/>
                    <w:rPr>
                      <w:rFonts w:hint="default"/>
                      <w:color w:val="auto"/>
                      <w:sz w:val="21"/>
                      <w:szCs w:val="21"/>
                    </w:rPr>
                  </w:pPr>
                </w:p>
              </w:tc>
              <w:tc>
                <w:tcPr>
                  <w:tcW w:w="513" w:type="pct"/>
                  <w:vMerge w:val="restart"/>
                  <w:tcBorders>
                    <w:tl2br w:val="nil"/>
                    <w:tr2bl w:val="nil"/>
                  </w:tcBorders>
                  <w:noWrap w:val="0"/>
                  <w:vAlign w:val="center"/>
                </w:tcPr>
                <w:p w14:paraId="770474C3">
                  <w:pPr>
                    <w:pStyle w:val="3"/>
                    <w:bidi w:val="0"/>
                    <w:rPr>
                      <w:rFonts w:hint="default"/>
                      <w:color w:val="auto"/>
                      <w:sz w:val="21"/>
                      <w:szCs w:val="21"/>
                    </w:rPr>
                  </w:pPr>
                  <w:r>
                    <w:rPr>
                      <w:rFonts w:hint="default"/>
                      <w:color w:val="auto"/>
                      <w:sz w:val="21"/>
                      <w:szCs w:val="21"/>
                    </w:rPr>
                    <w:t>资源开发利用效率</w:t>
                  </w:r>
                </w:p>
              </w:tc>
              <w:tc>
                <w:tcPr>
                  <w:tcW w:w="2137" w:type="pct"/>
                  <w:gridSpan w:val="2"/>
                  <w:tcBorders>
                    <w:tl2br w:val="nil"/>
                    <w:tr2bl w:val="nil"/>
                  </w:tcBorders>
                  <w:noWrap w:val="0"/>
                  <w:vAlign w:val="center"/>
                </w:tcPr>
                <w:p w14:paraId="7CE70CE7">
                  <w:pPr>
                    <w:pStyle w:val="3"/>
                    <w:bidi w:val="0"/>
                    <w:jc w:val="both"/>
                    <w:rPr>
                      <w:rFonts w:hint="default"/>
                      <w:color w:val="auto"/>
                      <w:sz w:val="21"/>
                      <w:szCs w:val="21"/>
                    </w:rPr>
                  </w:pPr>
                  <w:r>
                    <w:rPr>
                      <w:color w:val="auto"/>
                      <w:sz w:val="21"/>
                      <w:szCs w:val="21"/>
                    </w:rPr>
                    <w:t>1.实施能源领域碳达峰碳中和行动，科学有序推动能源生产消费方式绿色低碳变革。实施可再生能源替代，减少化石能源消费。加强产业布局和能耗</w:t>
                  </w:r>
                  <w:r>
                    <w:rPr>
                      <w:rFonts w:hint="eastAsia"/>
                      <w:color w:val="auto"/>
                      <w:sz w:val="21"/>
                      <w:szCs w:val="21"/>
                      <w:lang w:eastAsia="zh-CN"/>
                    </w:rPr>
                    <w:t>“双控”</w:t>
                  </w:r>
                  <w:r>
                    <w:rPr>
                      <w:color w:val="auto"/>
                      <w:sz w:val="21"/>
                      <w:szCs w:val="21"/>
                    </w:rPr>
                    <w:t>政策衔接，促进重点用能领域用能结构优化和能效提升。</w:t>
                  </w:r>
                </w:p>
              </w:tc>
              <w:tc>
                <w:tcPr>
                  <w:tcW w:w="1082" w:type="pct"/>
                  <w:tcBorders>
                    <w:tl2br w:val="nil"/>
                    <w:tr2bl w:val="nil"/>
                  </w:tcBorders>
                  <w:noWrap w:val="0"/>
                  <w:vAlign w:val="center"/>
                </w:tcPr>
                <w:p w14:paraId="7877A3B4">
                  <w:pPr>
                    <w:pStyle w:val="3"/>
                    <w:bidi w:val="0"/>
                    <w:jc w:val="both"/>
                    <w:rPr>
                      <w:rFonts w:hint="eastAsia"/>
                      <w:color w:val="auto"/>
                      <w:sz w:val="21"/>
                      <w:szCs w:val="21"/>
                      <w:lang w:eastAsia="zh-CN"/>
                    </w:rPr>
                  </w:pPr>
                  <w:r>
                    <w:rPr>
                      <w:rFonts w:hint="eastAsia"/>
                      <w:color w:val="auto"/>
                      <w:sz w:val="21"/>
                      <w:szCs w:val="21"/>
                      <w:lang w:eastAsia="zh-CN"/>
                    </w:rPr>
                    <w:t>本项目使用的能源为电能、蒸汽，其能源消耗量小。</w:t>
                  </w:r>
                </w:p>
              </w:tc>
              <w:tc>
                <w:tcPr>
                  <w:tcW w:w="742" w:type="pct"/>
                  <w:tcBorders>
                    <w:tl2br w:val="nil"/>
                    <w:tr2bl w:val="nil"/>
                  </w:tcBorders>
                  <w:noWrap w:val="0"/>
                  <w:vAlign w:val="center"/>
                </w:tcPr>
                <w:p w14:paraId="75FDEEAE">
                  <w:pPr>
                    <w:pStyle w:val="3"/>
                    <w:bidi w:val="0"/>
                    <w:rPr>
                      <w:rFonts w:hint="eastAsia"/>
                      <w:color w:val="auto"/>
                      <w:sz w:val="21"/>
                      <w:szCs w:val="21"/>
                      <w:lang w:eastAsia="zh-CN"/>
                    </w:rPr>
                  </w:pPr>
                  <w:r>
                    <w:rPr>
                      <w:rFonts w:hint="eastAsia"/>
                      <w:color w:val="auto"/>
                      <w:sz w:val="21"/>
                      <w:szCs w:val="21"/>
                      <w:lang w:eastAsia="zh-CN"/>
                    </w:rPr>
                    <w:t>符合</w:t>
                  </w:r>
                </w:p>
              </w:tc>
            </w:tr>
            <w:tr w14:paraId="25D151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499CE713">
                  <w:pPr>
                    <w:pStyle w:val="3"/>
                    <w:bidi w:val="0"/>
                    <w:rPr>
                      <w:rFonts w:hint="default"/>
                      <w:color w:val="auto"/>
                      <w:sz w:val="21"/>
                      <w:szCs w:val="21"/>
                    </w:rPr>
                  </w:pPr>
                </w:p>
              </w:tc>
              <w:tc>
                <w:tcPr>
                  <w:tcW w:w="513" w:type="pct"/>
                  <w:vMerge w:val="continue"/>
                  <w:tcBorders>
                    <w:tl2br w:val="nil"/>
                    <w:tr2bl w:val="nil"/>
                  </w:tcBorders>
                  <w:noWrap w:val="0"/>
                  <w:vAlign w:val="center"/>
                </w:tcPr>
                <w:p w14:paraId="01C05D94">
                  <w:pPr>
                    <w:pStyle w:val="3"/>
                    <w:bidi w:val="0"/>
                    <w:rPr>
                      <w:rFonts w:hint="default"/>
                      <w:color w:val="auto"/>
                      <w:sz w:val="21"/>
                      <w:szCs w:val="21"/>
                    </w:rPr>
                  </w:pPr>
                </w:p>
              </w:tc>
              <w:tc>
                <w:tcPr>
                  <w:tcW w:w="2137" w:type="pct"/>
                  <w:gridSpan w:val="2"/>
                  <w:tcBorders>
                    <w:tl2br w:val="nil"/>
                    <w:tr2bl w:val="nil"/>
                  </w:tcBorders>
                  <w:noWrap w:val="0"/>
                  <w:vAlign w:val="center"/>
                </w:tcPr>
                <w:p w14:paraId="2E1F4F3F">
                  <w:pPr>
                    <w:pStyle w:val="3"/>
                    <w:bidi w:val="0"/>
                    <w:jc w:val="both"/>
                    <w:rPr>
                      <w:rFonts w:hint="default"/>
                      <w:color w:val="auto"/>
                      <w:sz w:val="21"/>
                      <w:szCs w:val="21"/>
                    </w:rPr>
                  </w:pPr>
                  <w:r>
                    <w:rPr>
                      <w:color w:val="auto"/>
                      <w:sz w:val="21"/>
                      <w:szCs w:val="21"/>
                    </w:rPr>
                    <w:t>2.鼓励企业对标能耗限额标准先进值或国际先进水平，加快主要产品工艺升级与绿色化改造，推动工业窑炉、锅炉、电机、压缩机、泵、变压器等重点用能设备系统节能改造。推动现有企业、园区生产过程清洁化转型，精准提升市场主体绿色低碳水平，引导绿色园区低碳发展。</w:t>
                  </w:r>
                </w:p>
              </w:tc>
              <w:tc>
                <w:tcPr>
                  <w:tcW w:w="1082" w:type="pct"/>
                  <w:tcBorders>
                    <w:tl2br w:val="nil"/>
                    <w:tr2bl w:val="nil"/>
                  </w:tcBorders>
                  <w:noWrap w:val="0"/>
                  <w:vAlign w:val="center"/>
                </w:tcPr>
                <w:p w14:paraId="553E962E">
                  <w:pPr>
                    <w:pStyle w:val="3"/>
                    <w:bidi w:val="0"/>
                    <w:jc w:val="both"/>
                    <w:rPr>
                      <w:rFonts w:hint="eastAsia"/>
                      <w:color w:val="auto"/>
                      <w:sz w:val="21"/>
                      <w:szCs w:val="21"/>
                      <w:lang w:eastAsia="zh-CN"/>
                    </w:rPr>
                  </w:pPr>
                  <w:r>
                    <w:rPr>
                      <w:rFonts w:hint="eastAsia"/>
                      <w:color w:val="auto"/>
                      <w:sz w:val="21"/>
                      <w:szCs w:val="21"/>
                      <w:lang w:eastAsia="zh-CN"/>
                    </w:rPr>
                    <w:t>本项目使用的能源为电能、蒸汽，其能源消耗量小；</w:t>
                  </w:r>
                  <w:r>
                    <w:rPr>
                      <w:rFonts w:hint="eastAsia"/>
                      <w:color w:val="auto"/>
                      <w:sz w:val="21"/>
                      <w:szCs w:val="21"/>
                      <w:highlight w:val="none"/>
                      <w:lang w:eastAsia="zh-CN"/>
                    </w:rPr>
                    <w:t>本项目不涉及</w:t>
                  </w:r>
                  <w:r>
                    <w:rPr>
                      <w:color w:val="auto"/>
                      <w:sz w:val="21"/>
                      <w:szCs w:val="21"/>
                      <w:highlight w:val="none"/>
                    </w:rPr>
                    <w:t>工业窑炉、锅炉、电机、压缩机、泵、变压器等重点用能设备系统节能改造</w:t>
                  </w:r>
                  <w:r>
                    <w:rPr>
                      <w:rFonts w:hint="eastAsia"/>
                      <w:color w:val="auto"/>
                      <w:sz w:val="21"/>
                      <w:szCs w:val="21"/>
                      <w:highlight w:val="none"/>
                      <w:lang w:eastAsia="zh-CN"/>
                    </w:rPr>
                    <w:t>。</w:t>
                  </w:r>
                </w:p>
              </w:tc>
              <w:tc>
                <w:tcPr>
                  <w:tcW w:w="742" w:type="pct"/>
                  <w:tcBorders>
                    <w:tl2br w:val="nil"/>
                    <w:tr2bl w:val="nil"/>
                  </w:tcBorders>
                  <w:noWrap w:val="0"/>
                  <w:vAlign w:val="center"/>
                </w:tcPr>
                <w:p w14:paraId="2B3847F6">
                  <w:pPr>
                    <w:pStyle w:val="3"/>
                    <w:bidi w:val="0"/>
                    <w:rPr>
                      <w:rFonts w:hint="eastAsia"/>
                      <w:color w:val="auto"/>
                      <w:sz w:val="21"/>
                      <w:szCs w:val="21"/>
                      <w:lang w:eastAsia="zh-CN"/>
                    </w:rPr>
                  </w:pPr>
                  <w:r>
                    <w:rPr>
                      <w:rFonts w:hint="eastAsia"/>
                      <w:color w:val="auto"/>
                      <w:sz w:val="21"/>
                      <w:szCs w:val="21"/>
                      <w:lang w:eastAsia="zh-CN"/>
                    </w:rPr>
                    <w:t>符合</w:t>
                  </w:r>
                </w:p>
              </w:tc>
            </w:tr>
            <w:tr w14:paraId="2F3160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57999CC0">
                  <w:pPr>
                    <w:pStyle w:val="3"/>
                    <w:bidi w:val="0"/>
                    <w:rPr>
                      <w:rFonts w:hint="default"/>
                      <w:color w:val="auto"/>
                      <w:sz w:val="21"/>
                      <w:szCs w:val="21"/>
                    </w:rPr>
                  </w:pPr>
                </w:p>
              </w:tc>
              <w:tc>
                <w:tcPr>
                  <w:tcW w:w="513" w:type="pct"/>
                  <w:vMerge w:val="continue"/>
                  <w:tcBorders>
                    <w:tl2br w:val="nil"/>
                    <w:tr2bl w:val="nil"/>
                  </w:tcBorders>
                  <w:noWrap w:val="0"/>
                  <w:vAlign w:val="center"/>
                </w:tcPr>
                <w:p w14:paraId="1E8E2B2C">
                  <w:pPr>
                    <w:pStyle w:val="3"/>
                    <w:bidi w:val="0"/>
                    <w:rPr>
                      <w:rFonts w:hint="default"/>
                      <w:color w:val="auto"/>
                      <w:sz w:val="21"/>
                      <w:szCs w:val="21"/>
                    </w:rPr>
                  </w:pPr>
                </w:p>
              </w:tc>
              <w:tc>
                <w:tcPr>
                  <w:tcW w:w="2137" w:type="pct"/>
                  <w:gridSpan w:val="2"/>
                  <w:tcBorders>
                    <w:tl2br w:val="nil"/>
                    <w:tr2bl w:val="nil"/>
                  </w:tcBorders>
                  <w:noWrap w:val="0"/>
                  <w:vAlign w:val="center"/>
                </w:tcPr>
                <w:p w14:paraId="4DB20471">
                  <w:pPr>
                    <w:pStyle w:val="3"/>
                    <w:bidi w:val="0"/>
                    <w:jc w:val="both"/>
                    <w:rPr>
                      <w:rFonts w:hint="default"/>
                      <w:color w:val="auto"/>
                      <w:sz w:val="21"/>
                      <w:szCs w:val="21"/>
                    </w:rPr>
                  </w:pPr>
                  <w:r>
                    <w:rPr>
                      <w:color w:val="auto"/>
                      <w:sz w:val="21"/>
                      <w:szCs w:val="21"/>
                    </w:rPr>
                    <w:t>3.新建、扩建</w:t>
                  </w:r>
                  <w:r>
                    <w:rPr>
                      <w:rFonts w:hint="eastAsia"/>
                      <w:color w:val="auto"/>
                      <w:sz w:val="21"/>
                      <w:szCs w:val="21"/>
                      <w:lang w:eastAsia="zh-CN"/>
                    </w:rPr>
                    <w:t>“两高”</w:t>
                  </w:r>
                  <w:r>
                    <w:rPr>
                      <w:color w:val="auto"/>
                      <w:sz w:val="21"/>
                      <w:szCs w:val="21"/>
                    </w:rPr>
                    <w:t>项目应采用先进适用的工艺技术和装备，单位产品物耗、能耗、水耗等达到清洁生产先进水平。</w:t>
                  </w:r>
                </w:p>
              </w:tc>
              <w:tc>
                <w:tcPr>
                  <w:tcW w:w="1082" w:type="pct"/>
                  <w:tcBorders>
                    <w:tl2br w:val="nil"/>
                    <w:tr2bl w:val="nil"/>
                  </w:tcBorders>
                  <w:noWrap w:val="0"/>
                  <w:vAlign w:val="center"/>
                </w:tcPr>
                <w:p w14:paraId="71FA4B10">
                  <w:pPr>
                    <w:pStyle w:val="3"/>
                    <w:bidi w:val="0"/>
                    <w:jc w:val="both"/>
                    <w:rPr>
                      <w:rFonts w:hint="eastAsia"/>
                      <w:color w:val="auto"/>
                      <w:sz w:val="21"/>
                      <w:szCs w:val="21"/>
                      <w:lang w:eastAsia="zh-CN"/>
                    </w:rPr>
                  </w:pPr>
                  <w:r>
                    <w:rPr>
                      <w:rFonts w:hint="eastAsia"/>
                      <w:color w:val="auto"/>
                      <w:sz w:val="21"/>
                      <w:szCs w:val="21"/>
                      <w:lang w:eastAsia="zh-CN"/>
                    </w:rPr>
                    <w:t>本项目不属于“两高”项目，其</w:t>
                  </w:r>
                  <w:r>
                    <w:rPr>
                      <w:color w:val="auto"/>
                      <w:sz w:val="21"/>
                      <w:szCs w:val="21"/>
                    </w:rPr>
                    <w:t>单位产品物耗、能耗、水耗</w:t>
                  </w:r>
                  <w:r>
                    <w:rPr>
                      <w:rFonts w:hint="eastAsia"/>
                      <w:color w:val="auto"/>
                      <w:sz w:val="21"/>
                      <w:szCs w:val="21"/>
                      <w:lang w:eastAsia="zh-CN"/>
                    </w:rPr>
                    <w:t>较低，能够达到</w:t>
                  </w:r>
                  <w:r>
                    <w:rPr>
                      <w:color w:val="auto"/>
                      <w:sz w:val="21"/>
                      <w:szCs w:val="21"/>
                    </w:rPr>
                    <w:t>清洁生产先进水平。</w:t>
                  </w:r>
                </w:p>
              </w:tc>
              <w:tc>
                <w:tcPr>
                  <w:tcW w:w="742" w:type="pct"/>
                  <w:tcBorders>
                    <w:tl2br w:val="nil"/>
                    <w:tr2bl w:val="nil"/>
                  </w:tcBorders>
                  <w:noWrap w:val="0"/>
                  <w:vAlign w:val="center"/>
                </w:tcPr>
                <w:p w14:paraId="16D8A23B">
                  <w:pPr>
                    <w:pStyle w:val="3"/>
                    <w:bidi w:val="0"/>
                    <w:rPr>
                      <w:rFonts w:hint="eastAsia"/>
                      <w:color w:val="auto"/>
                      <w:sz w:val="21"/>
                      <w:szCs w:val="21"/>
                      <w:lang w:eastAsia="zh-CN"/>
                    </w:rPr>
                  </w:pPr>
                  <w:r>
                    <w:rPr>
                      <w:rFonts w:hint="eastAsia"/>
                      <w:color w:val="auto"/>
                      <w:sz w:val="21"/>
                      <w:szCs w:val="21"/>
                      <w:lang w:eastAsia="zh-CN"/>
                    </w:rPr>
                    <w:t>符合</w:t>
                  </w:r>
                </w:p>
              </w:tc>
            </w:tr>
            <w:tr w14:paraId="08829C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4F315B5A">
                  <w:pPr>
                    <w:pStyle w:val="3"/>
                    <w:bidi w:val="0"/>
                    <w:rPr>
                      <w:rFonts w:hint="default"/>
                      <w:color w:val="auto"/>
                      <w:sz w:val="21"/>
                      <w:szCs w:val="21"/>
                    </w:rPr>
                  </w:pPr>
                </w:p>
              </w:tc>
              <w:tc>
                <w:tcPr>
                  <w:tcW w:w="513" w:type="pct"/>
                  <w:vMerge w:val="continue"/>
                  <w:tcBorders>
                    <w:tl2br w:val="nil"/>
                    <w:tr2bl w:val="nil"/>
                  </w:tcBorders>
                  <w:noWrap w:val="0"/>
                  <w:vAlign w:val="center"/>
                </w:tcPr>
                <w:p w14:paraId="63AC8ED4">
                  <w:pPr>
                    <w:pStyle w:val="3"/>
                    <w:bidi w:val="0"/>
                    <w:rPr>
                      <w:rFonts w:hint="default"/>
                      <w:color w:val="auto"/>
                      <w:sz w:val="21"/>
                      <w:szCs w:val="21"/>
                    </w:rPr>
                  </w:pPr>
                </w:p>
              </w:tc>
              <w:tc>
                <w:tcPr>
                  <w:tcW w:w="2137" w:type="pct"/>
                  <w:gridSpan w:val="2"/>
                  <w:tcBorders>
                    <w:tl2br w:val="nil"/>
                    <w:tr2bl w:val="nil"/>
                  </w:tcBorders>
                  <w:noWrap w:val="0"/>
                  <w:vAlign w:val="top"/>
                </w:tcPr>
                <w:p w14:paraId="4615C5FB">
                  <w:pPr>
                    <w:pStyle w:val="3"/>
                    <w:bidi w:val="0"/>
                    <w:jc w:val="both"/>
                    <w:rPr>
                      <w:rFonts w:hint="default"/>
                      <w:color w:val="auto"/>
                      <w:sz w:val="21"/>
                      <w:szCs w:val="21"/>
                    </w:rPr>
                  </w:pPr>
                  <w:r>
                    <w:rPr>
                      <w:color w:val="auto"/>
                      <w:sz w:val="21"/>
                      <w:szCs w:val="21"/>
                    </w:rPr>
                    <w:t>4.推进企业内部工业用水循环利用、园区内企业间用水系统集成优化。开展火电、石化、有色金属、造纸、印染等高耗水行业工业废水循环利用示范。根据区域水资源禀赋和行业特点，结合用水总量控制措施，引导区域工业布局和产业结构调整</w:t>
                  </w:r>
                  <w:r>
                    <w:rPr>
                      <w:rFonts w:hint="eastAsia"/>
                      <w:color w:val="auto"/>
                      <w:sz w:val="21"/>
                      <w:szCs w:val="21"/>
                      <w:lang w:eastAsia="zh-CN"/>
                    </w:rPr>
                    <w:t>，</w:t>
                  </w:r>
                  <w:r>
                    <w:rPr>
                      <w:color w:val="auto"/>
                      <w:sz w:val="21"/>
                      <w:szCs w:val="21"/>
                    </w:rPr>
                    <w:t>大力推广工业水循环利用，加快淘汰落后用水工艺和技术。</w:t>
                  </w:r>
                </w:p>
              </w:tc>
              <w:tc>
                <w:tcPr>
                  <w:tcW w:w="1082" w:type="pct"/>
                  <w:tcBorders>
                    <w:tl2br w:val="nil"/>
                    <w:tr2bl w:val="nil"/>
                  </w:tcBorders>
                  <w:noWrap w:val="0"/>
                  <w:vAlign w:val="center"/>
                </w:tcPr>
                <w:p w14:paraId="7100CAB3">
                  <w:pPr>
                    <w:pStyle w:val="3"/>
                    <w:bidi w:val="0"/>
                    <w:jc w:val="both"/>
                    <w:rPr>
                      <w:rFonts w:hint="eastAsia"/>
                      <w:color w:val="auto"/>
                      <w:sz w:val="21"/>
                      <w:szCs w:val="21"/>
                      <w:lang w:eastAsia="zh-CN"/>
                    </w:rPr>
                  </w:pPr>
                  <w:r>
                    <w:rPr>
                      <w:rFonts w:hint="eastAsia"/>
                      <w:color w:val="auto"/>
                      <w:sz w:val="21"/>
                      <w:szCs w:val="21"/>
                      <w:lang w:eastAsia="zh-CN"/>
                    </w:rPr>
                    <w:t>本项目用水量小，不属于火</w:t>
                  </w:r>
                  <w:r>
                    <w:rPr>
                      <w:color w:val="auto"/>
                      <w:sz w:val="21"/>
                      <w:szCs w:val="21"/>
                    </w:rPr>
                    <w:t>电、石化、有色金属、造纸、印染等高耗水行业</w:t>
                  </w:r>
                  <w:r>
                    <w:rPr>
                      <w:rFonts w:hint="eastAsia"/>
                      <w:color w:val="auto"/>
                      <w:sz w:val="21"/>
                      <w:szCs w:val="21"/>
                      <w:lang w:eastAsia="zh-CN"/>
                    </w:rPr>
                    <w:t>，不涉及淘汰、落后的用水工艺和技术。</w:t>
                  </w:r>
                </w:p>
              </w:tc>
              <w:tc>
                <w:tcPr>
                  <w:tcW w:w="742" w:type="pct"/>
                  <w:tcBorders>
                    <w:tl2br w:val="nil"/>
                    <w:tr2bl w:val="nil"/>
                  </w:tcBorders>
                  <w:noWrap w:val="0"/>
                  <w:vAlign w:val="center"/>
                </w:tcPr>
                <w:p w14:paraId="3C9586B8">
                  <w:pPr>
                    <w:pStyle w:val="3"/>
                    <w:bidi w:val="0"/>
                    <w:rPr>
                      <w:rFonts w:hint="eastAsia"/>
                      <w:color w:val="auto"/>
                      <w:sz w:val="21"/>
                      <w:szCs w:val="21"/>
                      <w:lang w:eastAsia="zh-CN"/>
                    </w:rPr>
                  </w:pPr>
                  <w:r>
                    <w:rPr>
                      <w:rFonts w:hint="eastAsia"/>
                      <w:color w:val="auto"/>
                      <w:sz w:val="21"/>
                      <w:szCs w:val="21"/>
                      <w:lang w:eastAsia="zh-CN"/>
                    </w:rPr>
                    <w:t>符合</w:t>
                  </w:r>
                </w:p>
              </w:tc>
            </w:tr>
            <w:tr w14:paraId="1C7000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199D41E2">
                  <w:pPr>
                    <w:pStyle w:val="3"/>
                    <w:bidi w:val="0"/>
                    <w:rPr>
                      <w:rFonts w:hint="default"/>
                      <w:color w:val="auto"/>
                      <w:sz w:val="21"/>
                      <w:szCs w:val="21"/>
                    </w:rPr>
                  </w:pPr>
                </w:p>
              </w:tc>
              <w:tc>
                <w:tcPr>
                  <w:tcW w:w="513" w:type="pct"/>
                  <w:vMerge w:val="continue"/>
                  <w:tcBorders>
                    <w:tl2br w:val="nil"/>
                    <w:tr2bl w:val="nil"/>
                  </w:tcBorders>
                  <w:noWrap w:val="0"/>
                  <w:vAlign w:val="center"/>
                </w:tcPr>
                <w:p w14:paraId="7AB833A7">
                  <w:pPr>
                    <w:pStyle w:val="3"/>
                    <w:bidi w:val="0"/>
                    <w:rPr>
                      <w:rFonts w:hint="default"/>
                      <w:color w:val="auto"/>
                      <w:sz w:val="21"/>
                      <w:szCs w:val="21"/>
                    </w:rPr>
                  </w:pPr>
                </w:p>
              </w:tc>
              <w:tc>
                <w:tcPr>
                  <w:tcW w:w="2137" w:type="pct"/>
                  <w:gridSpan w:val="2"/>
                  <w:tcBorders>
                    <w:tl2br w:val="nil"/>
                    <w:tr2bl w:val="nil"/>
                  </w:tcBorders>
                  <w:noWrap w:val="0"/>
                  <w:vAlign w:val="center"/>
                </w:tcPr>
                <w:p w14:paraId="49B53C21">
                  <w:pPr>
                    <w:pStyle w:val="3"/>
                    <w:bidi w:val="0"/>
                    <w:jc w:val="both"/>
                    <w:rPr>
                      <w:rFonts w:hint="default"/>
                      <w:color w:val="auto"/>
                      <w:sz w:val="21"/>
                      <w:szCs w:val="21"/>
                    </w:rPr>
                  </w:pPr>
                  <w:r>
                    <w:rPr>
                      <w:color w:val="auto"/>
                      <w:sz w:val="21"/>
                      <w:szCs w:val="21"/>
                    </w:rPr>
                    <w:t>5.加快推进节水配套设施建设，加强再生水、雨水等非常规水多元、梯级和安全利用，逐年提高非常规水利用比例。结合现有污水处理设施提标升级扩能改造，系统规划城镇污水再生利用设施。</w:t>
                  </w:r>
                </w:p>
              </w:tc>
              <w:tc>
                <w:tcPr>
                  <w:tcW w:w="1082" w:type="pct"/>
                  <w:tcBorders>
                    <w:tl2br w:val="nil"/>
                    <w:tr2bl w:val="nil"/>
                  </w:tcBorders>
                  <w:noWrap w:val="0"/>
                  <w:vAlign w:val="center"/>
                </w:tcPr>
                <w:p w14:paraId="49639F7E">
                  <w:pPr>
                    <w:pStyle w:val="3"/>
                    <w:bidi w:val="0"/>
                    <w:jc w:val="both"/>
                    <w:rPr>
                      <w:rFonts w:hint="eastAsia"/>
                      <w:color w:val="auto"/>
                      <w:sz w:val="21"/>
                      <w:szCs w:val="21"/>
                      <w:lang w:eastAsia="zh-CN"/>
                    </w:rPr>
                  </w:pPr>
                  <w:r>
                    <w:rPr>
                      <w:rFonts w:hint="eastAsia"/>
                      <w:color w:val="auto"/>
                      <w:sz w:val="21"/>
                      <w:szCs w:val="21"/>
                      <w:lang w:eastAsia="zh-CN"/>
                    </w:rPr>
                    <w:t>本项目不涉及</w:t>
                  </w:r>
                  <w:r>
                    <w:rPr>
                      <w:color w:val="auto"/>
                      <w:sz w:val="21"/>
                      <w:szCs w:val="21"/>
                    </w:rPr>
                    <w:t>再生水、雨水等非常规水多元、梯级和安全利用</w:t>
                  </w:r>
                  <w:r>
                    <w:rPr>
                      <w:rFonts w:hint="eastAsia"/>
                      <w:color w:val="auto"/>
                      <w:sz w:val="21"/>
                      <w:szCs w:val="21"/>
                      <w:lang w:eastAsia="zh-CN"/>
                    </w:rPr>
                    <w:t>，不涉及污水处理设施的提标扩能改造，不涉及城镇污水再生利用设施。</w:t>
                  </w:r>
                </w:p>
              </w:tc>
              <w:tc>
                <w:tcPr>
                  <w:tcW w:w="742" w:type="pct"/>
                  <w:tcBorders>
                    <w:tl2br w:val="nil"/>
                    <w:tr2bl w:val="nil"/>
                  </w:tcBorders>
                  <w:noWrap w:val="0"/>
                  <w:vAlign w:val="center"/>
                </w:tcPr>
                <w:p w14:paraId="5C31D66D">
                  <w:pPr>
                    <w:pStyle w:val="3"/>
                    <w:bidi w:val="0"/>
                    <w:rPr>
                      <w:rFonts w:hint="eastAsia"/>
                      <w:color w:val="auto"/>
                      <w:sz w:val="21"/>
                      <w:szCs w:val="21"/>
                      <w:lang w:eastAsia="zh-CN"/>
                    </w:rPr>
                  </w:pPr>
                  <w:r>
                    <w:rPr>
                      <w:rFonts w:hint="eastAsia"/>
                      <w:color w:val="auto"/>
                      <w:sz w:val="21"/>
                      <w:szCs w:val="21"/>
                      <w:lang w:eastAsia="zh-CN"/>
                    </w:rPr>
                    <w:t>符合</w:t>
                  </w:r>
                </w:p>
              </w:tc>
            </w:tr>
            <w:tr w14:paraId="008C2A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restart"/>
                  <w:tcBorders>
                    <w:tl2br w:val="nil"/>
                    <w:tr2bl w:val="nil"/>
                  </w:tcBorders>
                  <w:noWrap w:val="0"/>
                  <w:vAlign w:val="center"/>
                </w:tcPr>
                <w:p w14:paraId="382F7E6F">
                  <w:pPr>
                    <w:pStyle w:val="3"/>
                    <w:bidi w:val="0"/>
                    <w:rPr>
                      <w:rFonts w:hint="default"/>
                      <w:color w:val="auto"/>
                      <w:sz w:val="21"/>
                      <w:szCs w:val="21"/>
                    </w:rPr>
                  </w:pPr>
                  <w:r>
                    <w:rPr>
                      <w:rFonts w:hint="default"/>
                      <w:color w:val="auto"/>
                      <w:sz w:val="21"/>
                      <w:szCs w:val="21"/>
                    </w:rPr>
                    <w:t>区县总体管控要求</w:t>
                  </w:r>
                </w:p>
              </w:tc>
              <w:tc>
                <w:tcPr>
                  <w:tcW w:w="513" w:type="pct"/>
                  <w:vMerge w:val="restart"/>
                  <w:tcBorders>
                    <w:tl2br w:val="nil"/>
                    <w:tr2bl w:val="nil"/>
                  </w:tcBorders>
                  <w:noWrap w:val="0"/>
                  <w:vAlign w:val="center"/>
                </w:tcPr>
                <w:p w14:paraId="0FF92B4B">
                  <w:pPr>
                    <w:pStyle w:val="3"/>
                    <w:bidi w:val="0"/>
                    <w:rPr>
                      <w:rFonts w:hint="default"/>
                      <w:color w:val="auto"/>
                      <w:sz w:val="21"/>
                      <w:szCs w:val="21"/>
                    </w:rPr>
                  </w:pPr>
                  <w:r>
                    <w:rPr>
                      <w:rFonts w:hint="default"/>
                      <w:color w:val="auto"/>
                      <w:sz w:val="21"/>
                      <w:szCs w:val="21"/>
                    </w:rPr>
                    <w:t>空间布局约束</w:t>
                  </w:r>
                </w:p>
              </w:tc>
              <w:tc>
                <w:tcPr>
                  <w:tcW w:w="2137" w:type="pct"/>
                  <w:gridSpan w:val="2"/>
                  <w:tcBorders>
                    <w:tl2br w:val="nil"/>
                    <w:tr2bl w:val="nil"/>
                  </w:tcBorders>
                  <w:noWrap w:val="0"/>
                  <w:vAlign w:val="center"/>
                </w:tcPr>
                <w:p w14:paraId="0EDA8026">
                  <w:pPr>
                    <w:pStyle w:val="3"/>
                    <w:bidi w:val="0"/>
                    <w:jc w:val="both"/>
                    <w:rPr>
                      <w:rFonts w:hint="default"/>
                      <w:color w:val="auto"/>
                      <w:sz w:val="21"/>
                      <w:szCs w:val="21"/>
                    </w:rPr>
                  </w:pPr>
                  <w:r>
                    <w:rPr>
                      <w:color w:val="auto"/>
                      <w:spacing w:val="10"/>
                      <w:sz w:val="21"/>
                      <w:szCs w:val="21"/>
                    </w:rPr>
                    <w:t>执行重点管控单元市级总体要求</w:t>
                  </w:r>
                  <w:r>
                    <w:rPr>
                      <w:color w:val="auto"/>
                      <w:spacing w:val="9"/>
                      <w:sz w:val="21"/>
                      <w:szCs w:val="21"/>
                    </w:rPr>
                    <w:t>第一条、第二条、第三条、第四条、第五条、第</w:t>
                  </w:r>
                  <w:r>
                    <w:rPr>
                      <w:color w:val="auto"/>
                      <w:spacing w:val="6"/>
                      <w:sz w:val="21"/>
                      <w:szCs w:val="21"/>
                    </w:rPr>
                    <w:t>六条和第七条。</w:t>
                  </w:r>
                </w:p>
              </w:tc>
              <w:tc>
                <w:tcPr>
                  <w:tcW w:w="1082" w:type="pct"/>
                  <w:tcBorders>
                    <w:tl2br w:val="nil"/>
                    <w:tr2bl w:val="nil"/>
                  </w:tcBorders>
                  <w:noWrap w:val="0"/>
                  <w:vAlign w:val="center"/>
                </w:tcPr>
                <w:p w14:paraId="17C99A8F">
                  <w:pPr>
                    <w:pStyle w:val="3"/>
                    <w:bidi w:val="0"/>
                    <w:jc w:val="both"/>
                    <w:rPr>
                      <w:rFonts w:hint="eastAsia" w:eastAsia="宋体"/>
                      <w:color w:val="auto"/>
                      <w:sz w:val="21"/>
                      <w:szCs w:val="21"/>
                      <w:lang w:eastAsia="zh-CN"/>
                    </w:rPr>
                  </w:pPr>
                  <w:r>
                    <w:rPr>
                      <w:rFonts w:hint="eastAsia"/>
                      <w:color w:val="auto"/>
                      <w:sz w:val="21"/>
                      <w:szCs w:val="21"/>
                      <w:lang w:eastAsia="zh-CN"/>
                    </w:rPr>
                    <w:t>本项目满足</w:t>
                  </w:r>
                  <w:r>
                    <w:rPr>
                      <w:bCs/>
                      <w:color w:val="auto"/>
                      <w:sz w:val="21"/>
                      <w:szCs w:val="21"/>
                    </w:rPr>
                    <w:t>市级总体要求第一条、第二条、第三条、</w:t>
                  </w:r>
                  <w:r>
                    <w:rPr>
                      <w:color w:val="auto"/>
                      <w:spacing w:val="9"/>
                      <w:sz w:val="21"/>
                      <w:szCs w:val="21"/>
                    </w:rPr>
                    <w:t>第五条、</w:t>
                  </w:r>
                  <w:r>
                    <w:rPr>
                      <w:bCs/>
                      <w:color w:val="auto"/>
                      <w:sz w:val="21"/>
                      <w:szCs w:val="21"/>
                    </w:rPr>
                    <w:t>第六条、第七条</w:t>
                  </w:r>
                  <w:r>
                    <w:rPr>
                      <w:rFonts w:hint="eastAsia" w:eastAsia="宋体"/>
                      <w:bCs/>
                      <w:color w:val="auto"/>
                      <w:sz w:val="21"/>
                      <w:szCs w:val="21"/>
                      <w:lang w:eastAsia="zh-CN"/>
                    </w:rPr>
                    <w:t>的相关要求。</w:t>
                  </w:r>
                </w:p>
              </w:tc>
              <w:tc>
                <w:tcPr>
                  <w:tcW w:w="742" w:type="pct"/>
                  <w:tcBorders>
                    <w:tl2br w:val="nil"/>
                    <w:tr2bl w:val="nil"/>
                  </w:tcBorders>
                  <w:noWrap w:val="0"/>
                  <w:vAlign w:val="center"/>
                </w:tcPr>
                <w:p w14:paraId="0A4CF488">
                  <w:pPr>
                    <w:pStyle w:val="3"/>
                    <w:bidi w:val="0"/>
                    <w:rPr>
                      <w:rFonts w:hint="eastAsia"/>
                      <w:color w:val="auto"/>
                      <w:sz w:val="21"/>
                      <w:szCs w:val="21"/>
                      <w:lang w:eastAsia="zh-CN"/>
                    </w:rPr>
                  </w:pPr>
                  <w:r>
                    <w:rPr>
                      <w:rFonts w:hint="eastAsia"/>
                      <w:color w:val="auto"/>
                      <w:sz w:val="21"/>
                      <w:szCs w:val="21"/>
                      <w:lang w:eastAsia="zh-CN"/>
                    </w:rPr>
                    <w:t>符合</w:t>
                  </w:r>
                </w:p>
              </w:tc>
            </w:tr>
            <w:tr w14:paraId="1755E1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vMerge w:val="continue"/>
                  <w:tcBorders>
                    <w:tl2br w:val="nil"/>
                    <w:tr2bl w:val="nil"/>
                  </w:tcBorders>
                  <w:noWrap w:val="0"/>
                  <w:vAlign w:val="center"/>
                </w:tcPr>
                <w:p w14:paraId="42220B09">
                  <w:pPr>
                    <w:pStyle w:val="3"/>
                    <w:bidi w:val="0"/>
                    <w:rPr>
                      <w:rFonts w:hint="default"/>
                      <w:color w:val="auto"/>
                      <w:sz w:val="21"/>
                      <w:szCs w:val="21"/>
                    </w:rPr>
                  </w:pPr>
                </w:p>
              </w:tc>
              <w:tc>
                <w:tcPr>
                  <w:tcW w:w="513" w:type="pct"/>
                  <w:vMerge w:val="continue"/>
                  <w:tcBorders>
                    <w:tl2br w:val="nil"/>
                    <w:tr2bl w:val="nil"/>
                  </w:tcBorders>
                  <w:noWrap w:val="0"/>
                  <w:vAlign w:val="center"/>
                </w:tcPr>
                <w:p w14:paraId="0BEE3B62">
                  <w:pPr>
                    <w:pStyle w:val="3"/>
                    <w:bidi w:val="0"/>
                    <w:rPr>
                      <w:rFonts w:hint="default"/>
                      <w:color w:val="auto"/>
                      <w:sz w:val="21"/>
                      <w:szCs w:val="21"/>
                    </w:rPr>
                  </w:pPr>
                </w:p>
              </w:tc>
              <w:tc>
                <w:tcPr>
                  <w:tcW w:w="2137" w:type="pct"/>
                  <w:gridSpan w:val="2"/>
                  <w:tcBorders>
                    <w:tl2br w:val="nil"/>
                    <w:tr2bl w:val="nil"/>
                  </w:tcBorders>
                  <w:noWrap w:val="0"/>
                  <w:vAlign w:val="top"/>
                </w:tcPr>
                <w:p w14:paraId="75241817">
                  <w:pPr>
                    <w:pStyle w:val="3"/>
                    <w:bidi w:val="0"/>
                    <w:jc w:val="both"/>
                    <w:rPr>
                      <w:rFonts w:hint="default"/>
                      <w:color w:val="auto"/>
                      <w:sz w:val="21"/>
                      <w:szCs w:val="21"/>
                    </w:rPr>
                  </w:pPr>
                  <w:r>
                    <w:rPr>
                      <w:color w:val="auto"/>
                      <w:spacing w:val="10"/>
                      <w:sz w:val="21"/>
                      <w:szCs w:val="21"/>
                    </w:rPr>
                    <w:t>页岩气勘探开发项目应符合国土</w:t>
                  </w:r>
                  <w:r>
                    <w:rPr>
                      <w:color w:val="auto"/>
                      <w:spacing w:val="9"/>
                      <w:sz w:val="21"/>
                      <w:szCs w:val="21"/>
                    </w:rPr>
                    <w:t>空间规划、页岩气发展规划和生态环境功能区划</w:t>
                  </w:r>
                  <w:r>
                    <w:rPr>
                      <w:color w:val="auto"/>
                      <w:sz w:val="21"/>
                      <w:szCs w:val="21"/>
                    </w:rPr>
                    <w:t xml:space="preserve"> </w:t>
                  </w:r>
                  <w:r>
                    <w:rPr>
                      <w:color w:val="auto"/>
                      <w:spacing w:val="10"/>
                      <w:sz w:val="21"/>
                      <w:szCs w:val="21"/>
                    </w:rPr>
                    <w:t>等相关规划要求，禁止在饮用水源保护区、生态保护红线内进行页</w:t>
                  </w:r>
                  <w:r>
                    <w:rPr>
                      <w:color w:val="auto"/>
                      <w:spacing w:val="9"/>
                      <w:sz w:val="21"/>
                      <w:szCs w:val="21"/>
                    </w:rPr>
                    <w:t>岩气开发活动，页岩气</w:t>
                  </w:r>
                  <w:r>
                    <w:rPr>
                      <w:color w:val="auto"/>
                      <w:sz w:val="21"/>
                      <w:szCs w:val="21"/>
                    </w:rPr>
                    <w:t xml:space="preserve"> </w:t>
                  </w:r>
                  <w:r>
                    <w:rPr>
                      <w:color w:val="auto"/>
                      <w:spacing w:val="9"/>
                      <w:sz w:val="21"/>
                      <w:szCs w:val="21"/>
                    </w:rPr>
                    <w:t>平台选址应避开岩溶强发育、存在较多落水洞和岩溶漏斗的区域。</w:t>
                  </w:r>
                </w:p>
              </w:tc>
              <w:tc>
                <w:tcPr>
                  <w:tcW w:w="1082" w:type="pct"/>
                  <w:tcBorders>
                    <w:tl2br w:val="nil"/>
                    <w:tr2bl w:val="nil"/>
                  </w:tcBorders>
                  <w:noWrap w:val="0"/>
                  <w:vAlign w:val="center"/>
                </w:tcPr>
                <w:p w14:paraId="01501CD9">
                  <w:pPr>
                    <w:pStyle w:val="3"/>
                    <w:bidi w:val="0"/>
                    <w:jc w:val="both"/>
                    <w:rPr>
                      <w:rFonts w:hint="eastAsia" w:eastAsia="宋体"/>
                      <w:color w:val="auto"/>
                      <w:sz w:val="21"/>
                      <w:szCs w:val="21"/>
                      <w:lang w:eastAsia="zh-CN"/>
                    </w:rPr>
                  </w:pPr>
                  <w:r>
                    <w:rPr>
                      <w:rFonts w:hint="eastAsia"/>
                      <w:color w:val="auto"/>
                      <w:sz w:val="21"/>
                      <w:szCs w:val="21"/>
                      <w:lang w:eastAsia="zh-CN"/>
                    </w:rPr>
                    <w:t>本项目不属于页岩气勘探开发项目。</w:t>
                  </w:r>
                </w:p>
              </w:tc>
              <w:tc>
                <w:tcPr>
                  <w:tcW w:w="742" w:type="pct"/>
                  <w:tcBorders>
                    <w:tl2br w:val="nil"/>
                    <w:tr2bl w:val="nil"/>
                  </w:tcBorders>
                  <w:noWrap w:val="0"/>
                  <w:vAlign w:val="center"/>
                </w:tcPr>
                <w:p w14:paraId="4B4149A1">
                  <w:pPr>
                    <w:pStyle w:val="3"/>
                    <w:bidi w:val="0"/>
                    <w:rPr>
                      <w:rFonts w:hint="eastAsia"/>
                      <w:color w:val="auto"/>
                      <w:sz w:val="21"/>
                      <w:szCs w:val="21"/>
                      <w:lang w:eastAsia="zh-CN"/>
                    </w:rPr>
                  </w:pPr>
                  <w:r>
                    <w:rPr>
                      <w:rFonts w:hint="eastAsia"/>
                      <w:color w:val="auto"/>
                      <w:sz w:val="21"/>
                      <w:szCs w:val="21"/>
                      <w:lang w:eastAsia="zh-CN"/>
                    </w:rPr>
                    <w:t>符合</w:t>
                  </w:r>
                </w:p>
              </w:tc>
            </w:tr>
            <w:tr w14:paraId="44235F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vMerge w:val="continue"/>
                  <w:tcBorders>
                    <w:tl2br w:val="nil"/>
                    <w:tr2bl w:val="nil"/>
                  </w:tcBorders>
                  <w:noWrap w:val="0"/>
                  <w:vAlign w:val="center"/>
                </w:tcPr>
                <w:p w14:paraId="331D1112">
                  <w:pPr>
                    <w:pStyle w:val="3"/>
                    <w:bidi w:val="0"/>
                    <w:rPr>
                      <w:rFonts w:hint="default"/>
                      <w:color w:val="auto"/>
                      <w:sz w:val="21"/>
                      <w:szCs w:val="21"/>
                    </w:rPr>
                  </w:pPr>
                </w:p>
              </w:tc>
              <w:tc>
                <w:tcPr>
                  <w:tcW w:w="513" w:type="pct"/>
                  <w:vMerge w:val="continue"/>
                  <w:tcBorders>
                    <w:tl2br w:val="nil"/>
                    <w:tr2bl w:val="nil"/>
                  </w:tcBorders>
                  <w:noWrap w:val="0"/>
                  <w:vAlign w:val="center"/>
                </w:tcPr>
                <w:p w14:paraId="094A814F">
                  <w:pPr>
                    <w:pStyle w:val="3"/>
                    <w:bidi w:val="0"/>
                    <w:rPr>
                      <w:rFonts w:hint="default"/>
                      <w:color w:val="auto"/>
                      <w:sz w:val="21"/>
                      <w:szCs w:val="21"/>
                    </w:rPr>
                  </w:pPr>
                </w:p>
              </w:tc>
              <w:tc>
                <w:tcPr>
                  <w:tcW w:w="2137" w:type="pct"/>
                  <w:gridSpan w:val="2"/>
                  <w:tcBorders>
                    <w:tl2br w:val="nil"/>
                    <w:tr2bl w:val="nil"/>
                  </w:tcBorders>
                  <w:noWrap w:val="0"/>
                  <w:vAlign w:val="top"/>
                </w:tcPr>
                <w:p w14:paraId="77586A64">
                  <w:pPr>
                    <w:pStyle w:val="3"/>
                    <w:bidi w:val="0"/>
                    <w:jc w:val="both"/>
                    <w:rPr>
                      <w:color w:val="auto"/>
                      <w:sz w:val="21"/>
                      <w:szCs w:val="21"/>
                    </w:rPr>
                  </w:pPr>
                  <w:r>
                    <w:rPr>
                      <w:color w:val="auto"/>
                      <w:sz w:val="21"/>
                      <w:szCs w:val="21"/>
                    </w:rPr>
                    <w:t>白涛化工新材料产业园：不规划食品加工企业等与园区主导产业环境相冲突的项目；禁止新建或扩建以化肥为产品的合成氨项目（区域规划搬迁、综合利用项目除外）； 可能造成地下水污染的企业应规避岩溶强发育、存在较多落水洞和岩溶漏斗的区域布置。</w:t>
                  </w:r>
                </w:p>
                <w:p w14:paraId="45AE4EED">
                  <w:pPr>
                    <w:pStyle w:val="3"/>
                    <w:bidi w:val="0"/>
                    <w:jc w:val="both"/>
                    <w:rPr>
                      <w:rFonts w:hint="default"/>
                      <w:color w:val="auto"/>
                      <w:sz w:val="21"/>
                      <w:szCs w:val="21"/>
                    </w:rPr>
                  </w:pPr>
                  <w:r>
                    <w:rPr>
                      <w:color w:val="auto"/>
                      <w:sz w:val="21"/>
                      <w:szCs w:val="21"/>
                    </w:rPr>
                    <w:t>涪陵高新区李渡组团：禁止入驻化学原料药产业；禁止新建化工项目，现有化工项目禁止 改扩建（安全、环保、节能和智能化改造项目除外）。涪陵临港经济区：禁止在化工产业 园外新建、扩建化工项目。清溪金属新材料产业园：长江岸线1公里范围内禁止入驻危险 化学品仓储企业。</w:t>
                  </w:r>
                </w:p>
              </w:tc>
              <w:tc>
                <w:tcPr>
                  <w:tcW w:w="1082" w:type="pct"/>
                  <w:tcBorders>
                    <w:tl2br w:val="nil"/>
                    <w:tr2bl w:val="nil"/>
                  </w:tcBorders>
                  <w:noWrap w:val="0"/>
                  <w:vAlign w:val="center"/>
                </w:tcPr>
                <w:p w14:paraId="65878A2C">
                  <w:pPr>
                    <w:pStyle w:val="3"/>
                    <w:bidi w:val="0"/>
                    <w:jc w:val="both"/>
                    <w:rPr>
                      <w:rFonts w:hint="eastAsia" w:eastAsia="宋体"/>
                      <w:color w:val="auto"/>
                      <w:sz w:val="21"/>
                      <w:szCs w:val="21"/>
                      <w:lang w:eastAsia="zh-CN"/>
                    </w:rPr>
                  </w:pPr>
                  <w:r>
                    <w:rPr>
                      <w:rFonts w:hint="eastAsia"/>
                      <w:color w:val="auto"/>
                      <w:sz w:val="21"/>
                      <w:szCs w:val="21"/>
                      <w:lang w:eastAsia="zh-CN"/>
                    </w:rPr>
                    <w:t>本项目不属于白涛化工新材料产业园；本项目不属于</w:t>
                  </w:r>
                  <w:r>
                    <w:rPr>
                      <w:color w:val="auto"/>
                      <w:sz w:val="21"/>
                      <w:szCs w:val="21"/>
                    </w:rPr>
                    <w:t>化肥为产品的合成氨项目</w:t>
                  </w:r>
                  <w:r>
                    <w:rPr>
                      <w:rFonts w:hint="eastAsia" w:eastAsia="宋体"/>
                      <w:color w:val="auto"/>
                      <w:sz w:val="21"/>
                      <w:szCs w:val="21"/>
                      <w:lang w:eastAsia="zh-CN"/>
                    </w:rPr>
                    <w:t>；本项目采取了地下水污染防治措施，能有效防止地下水污染；本项目不属于</w:t>
                  </w:r>
                  <w:r>
                    <w:rPr>
                      <w:color w:val="auto"/>
                      <w:sz w:val="21"/>
                      <w:szCs w:val="21"/>
                    </w:rPr>
                    <w:t>涪陵高新区李渡组团</w:t>
                  </w:r>
                  <w:r>
                    <w:rPr>
                      <w:rFonts w:hint="eastAsia" w:eastAsia="宋体"/>
                      <w:color w:val="auto"/>
                      <w:sz w:val="21"/>
                      <w:szCs w:val="21"/>
                      <w:lang w:eastAsia="zh-CN"/>
                    </w:rPr>
                    <w:t>，不属于</w:t>
                  </w:r>
                  <w:r>
                    <w:rPr>
                      <w:color w:val="auto"/>
                      <w:sz w:val="21"/>
                      <w:szCs w:val="21"/>
                    </w:rPr>
                    <w:t>化学原料药产业</w:t>
                  </w:r>
                  <w:r>
                    <w:rPr>
                      <w:rFonts w:hint="eastAsia" w:eastAsia="宋体"/>
                      <w:color w:val="auto"/>
                      <w:sz w:val="21"/>
                      <w:szCs w:val="21"/>
                      <w:lang w:eastAsia="zh-CN"/>
                    </w:rPr>
                    <w:t>项目，不属于化工项目，不属于危险化学品仓储企业。</w:t>
                  </w:r>
                </w:p>
              </w:tc>
              <w:tc>
                <w:tcPr>
                  <w:tcW w:w="742" w:type="pct"/>
                  <w:tcBorders>
                    <w:tl2br w:val="nil"/>
                    <w:tr2bl w:val="nil"/>
                  </w:tcBorders>
                  <w:noWrap w:val="0"/>
                  <w:vAlign w:val="center"/>
                </w:tcPr>
                <w:p w14:paraId="3828A0E8">
                  <w:pPr>
                    <w:pStyle w:val="3"/>
                    <w:bidi w:val="0"/>
                    <w:rPr>
                      <w:rFonts w:hint="eastAsia" w:eastAsia="宋体"/>
                      <w:color w:val="auto"/>
                      <w:sz w:val="21"/>
                      <w:szCs w:val="21"/>
                      <w:lang w:eastAsia="zh-CN"/>
                    </w:rPr>
                  </w:pPr>
                  <w:r>
                    <w:rPr>
                      <w:rFonts w:hint="eastAsia" w:eastAsia="宋体"/>
                      <w:color w:val="auto"/>
                      <w:sz w:val="21"/>
                      <w:szCs w:val="21"/>
                      <w:lang w:eastAsia="zh-CN"/>
                    </w:rPr>
                    <w:t>符合</w:t>
                  </w:r>
                </w:p>
              </w:tc>
            </w:tr>
            <w:tr w14:paraId="2F92F5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DEB2CD8">
                  <w:pPr>
                    <w:pStyle w:val="3"/>
                    <w:bidi w:val="0"/>
                    <w:rPr>
                      <w:rFonts w:hint="default"/>
                      <w:color w:val="auto"/>
                      <w:sz w:val="21"/>
                      <w:szCs w:val="21"/>
                    </w:rPr>
                  </w:pPr>
                </w:p>
              </w:tc>
              <w:tc>
                <w:tcPr>
                  <w:tcW w:w="513" w:type="pct"/>
                  <w:vMerge w:val="restart"/>
                  <w:tcBorders>
                    <w:tl2br w:val="nil"/>
                    <w:tr2bl w:val="nil"/>
                  </w:tcBorders>
                  <w:noWrap w:val="0"/>
                  <w:vAlign w:val="center"/>
                </w:tcPr>
                <w:p w14:paraId="4F332494">
                  <w:pPr>
                    <w:pStyle w:val="3"/>
                    <w:bidi w:val="0"/>
                    <w:rPr>
                      <w:rFonts w:hint="default"/>
                      <w:color w:val="auto"/>
                      <w:sz w:val="21"/>
                      <w:szCs w:val="21"/>
                    </w:rPr>
                  </w:pPr>
                  <w:r>
                    <w:rPr>
                      <w:rFonts w:hint="default"/>
                      <w:color w:val="auto"/>
                      <w:sz w:val="21"/>
                      <w:szCs w:val="21"/>
                    </w:rPr>
                    <w:t>污染物排放管控</w:t>
                  </w:r>
                </w:p>
              </w:tc>
              <w:tc>
                <w:tcPr>
                  <w:tcW w:w="2137" w:type="pct"/>
                  <w:gridSpan w:val="2"/>
                  <w:tcBorders>
                    <w:tl2br w:val="nil"/>
                    <w:tr2bl w:val="nil"/>
                  </w:tcBorders>
                  <w:noWrap w:val="0"/>
                  <w:vAlign w:val="center"/>
                </w:tcPr>
                <w:p w14:paraId="6299134F">
                  <w:pPr>
                    <w:pStyle w:val="3"/>
                    <w:bidi w:val="0"/>
                    <w:jc w:val="left"/>
                    <w:rPr>
                      <w:rFonts w:hint="default"/>
                      <w:color w:val="auto"/>
                      <w:sz w:val="21"/>
                      <w:szCs w:val="21"/>
                    </w:rPr>
                  </w:pPr>
                  <w:r>
                    <w:rPr>
                      <w:color w:val="auto"/>
                      <w:spacing w:val="10"/>
                      <w:sz w:val="21"/>
                      <w:szCs w:val="21"/>
                    </w:rPr>
                    <w:t>执行重点管控单元市级总</w:t>
                  </w:r>
                  <w:r>
                    <w:rPr>
                      <w:color w:val="auto"/>
                      <w:spacing w:val="9"/>
                      <w:sz w:val="21"/>
                      <w:szCs w:val="21"/>
                    </w:rPr>
                    <w:t>体要求第八条、第九条、第十条、第十一条、第</w:t>
                  </w:r>
                  <w:r>
                    <w:rPr>
                      <w:color w:val="auto"/>
                      <w:sz w:val="21"/>
                      <w:szCs w:val="21"/>
                    </w:rPr>
                    <w:t xml:space="preserve"> </w:t>
                  </w:r>
                  <w:r>
                    <w:rPr>
                      <w:color w:val="auto"/>
                      <w:spacing w:val="8"/>
                      <w:sz w:val="21"/>
                      <w:szCs w:val="21"/>
                    </w:rPr>
                    <w:t>十二条、第十三条、第十四条和第十五条。</w:t>
                  </w:r>
                </w:p>
              </w:tc>
              <w:tc>
                <w:tcPr>
                  <w:tcW w:w="1082" w:type="pct"/>
                  <w:tcBorders>
                    <w:tl2br w:val="nil"/>
                    <w:tr2bl w:val="nil"/>
                  </w:tcBorders>
                  <w:noWrap w:val="0"/>
                  <w:vAlign w:val="top"/>
                </w:tcPr>
                <w:p w14:paraId="2A7FB065">
                  <w:pPr>
                    <w:pStyle w:val="3"/>
                    <w:bidi w:val="0"/>
                    <w:jc w:val="both"/>
                    <w:rPr>
                      <w:rFonts w:hint="eastAsia" w:eastAsia="宋体"/>
                      <w:color w:val="auto"/>
                      <w:sz w:val="21"/>
                      <w:szCs w:val="21"/>
                      <w:lang w:eastAsia="zh-CN"/>
                    </w:rPr>
                  </w:pPr>
                  <w:r>
                    <w:rPr>
                      <w:rFonts w:hint="eastAsia"/>
                      <w:color w:val="auto"/>
                      <w:sz w:val="21"/>
                      <w:szCs w:val="21"/>
                      <w:lang w:eastAsia="zh-CN"/>
                    </w:rPr>
                    <w:t>本项目满足</w:t>
                  </w:r>
                  <w:r>
                    <w:rPr>
                      <w:color w:val="auto"/>
                      <w:sz w:val="21"/>
                      <w:szCs w:val="21"/>
                    </w:rPr>
                    <w:t>市级总体要求</w:t>
                  </w:r>
                  <w:r>
                    <w:rPr>
                      <w:color w:val="auto"/>
                      <w:spacing w:val="9"/>
                      <w:sz w:val="21"/>
                      <w:szCs w:val="21"/>
                    </w:rPr>
                    <w:t>第八条、第九条、第十条、第十一条、第</w:t>
                  </w:r>
                  <w:r>
                    <w:rPr>
                      <w:color w:val="auto"/>
                      <w:sz w:val="21"/>
                      <w:szCs w:val="21"/>
                    </w:rPr>
                    <w:t xml:space="preserve"> </w:t>
                  </w:r>
                  <w:r>
                    <w:rPr>
                      <w:color w:val="auto"/>
                      <w:spacing w:val="8"/>
                      <w:sz w:val="21"/>
                      <w:szCs w:val="21"/>
                    </w:rPr>
                    <w:t>十二条、第十三条、第十四条和第十五条</w:t>
                  </w:r>
                  <w:r>
                    <w:rPr>
                      <w:rFonts w:hint="eastAsia" w:eastAsia="宋体"/>
                      <w:color w:val="auto"/>
                      <w:spacing w:val="8"/>
                      <w:sz w:val="21"/>
                      <w:szCs w:val="21"/>
                      <w:lang w:eastAsia="zh-CN"/>
                    </w:rPr>
                    <w:t>。</w:t>
                  </w:r>
                </w:p>
              </w:tc>
              <w:tc>
                <w:tcPr>
                  <w:tcW w:w="742" w:type="pct"/>
                  <w:tcBorders>
                    <w:tl2br w:val="nil"/>
                    <w:tr2bl w:val="nil"/>
                  </w:tcBorders>
                  <w:noWrap w:val="0"/>
                  <w:vAlign w:val="center"/>
                </w:tcPr>
                <w:p w14:paraId="58732C93">
                  <w:pPr>
                    <w:pStyle w:val="3"/>
                    <w:bidi w:val="0"/>
                    <w:rPr>
                      <w:rFonts w:hint="eastAsia"/>
                      <w:color w:val="auto"/>
                      <w:sz w:val="21"/>
                      <w:szCs w:val="21"/>
                      <w:lang w:eastAsia="zh-CN"/>
                    </w:rPr>
                  </w:pPr>
                  <w:r>
                    <w:rPr>
                      <w:rFonts w:hint="eastAsia"/>
                      <w:color w:val="auto"/>
                      <w:sz w:val="21"/>
                      <w:szCs w:val="21"/>
                      <w:lang w:eastAsia="zh-CN"/>
                    </w:rPr>
                    <w:t>符合</w:t>
                  </w:r>
                </w:p>
              </w:tc>
            </w:tr>
            <w:tr w14:paraId="7E4361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8C93B4B">
                  <w:pPr>
                    <w:pStyle w:val="3"/>
                    <w:bidi w:val="0"/>
                    <w:rPr>
                      <w:rFonts w:hint="default"/>
                      <w:color w:val="auto"/>
                      <w:sz w:val="21"/>
                      <w:szCs w:val="21"/>
                    </w:rPr>
                  </w:pPr>
                </w:p>
              </w:tc>
              <w:tc>
                <w:tcPr>
                  <w:tcW w:w="513" w:type="pct"/>
                  <w:vMerge w:val="continue"/>
                  <w:tcBorders>
                    <w:tl2br w:val="nil"/>
                    <w:tr2bl w:val="nil"/>
                  </w:tcBorders>
                  <w:noWrap w:val="0"/>
                  <w:vAlign w:val="center"/>
                </w:tcPr>
                <w:p w14:paraId="0D4E8F9B">
                  <w:pPr>
                    <w:pStyle w:val="3"/>
                    <w:bidi w:val="0"/>
                    <w:rPr>
                      <w:rFonts w:hint="default"/>
                      <w:color w:val="auto"/>
                      <w:sz w:val="21"/>
                      <w:szCs w:val="21"/>
                    </w:rPr>
                  </w:pPr>
                </w:p>
              </w:tc>
              <w:tc>
                <w:tcPr>
                  <w:tcW w:w="2137" w:type="pct"/>
                  <w:gridSpan w:val="2"/>
                  <w:tcBorders>
                    <w:tl2br w:val="nil"/>
                    <w:tr2bl w:val="nil"/>
                  </w:tcBorders>
                  <w:noWrap w:val="0"/>
                  <w:vAlign w:val="center"/>
                </w:tcPr>
                <w:p w14:paraId="7D3DC705">
                  <w:pPr>
                    <w:pStyle w:val="3"/>
                    <w:bidi w:val="0"/>
                    <w:jc w:val="both"/>
                    <w:rPr>
                      <w:rFonts w:hint="default"/>
                      <w:color w:val="auto"/>
                      <w:sz w:val="21"/>
                      <w:szCs w:val="21"/>
                    </w:rPr>
                  </w:pPr>
                  <w:r>
                    <w:rPr>
                      <w:color w:val="auto"/>
                      <w:spacing w:val="10"/>
                      <w:sz w:val="21"/>
                      <w:szCs w:val="21"/>
                    </w:rPr>
                    <w:t>新建燃煤机组实施超低排放</w:t>
                  </w:r>
                  <w:r>
                    <w:rPr>
                      <w:rFonts w:hint="eastAsia" w:eastAsia="宋体"/>
                      <w:color w:val="auto"/>
                      <w:spacing w:val="10"/>
                      <w:sz w:val="21"/>
                      <w:szCs w:val="21"/>
                      <w:lang w:eastAsia="zh-CN"/>
                    </w:rPr>
                    <w:t>；</w:t>
                  </w:r>
                  <w:r>
                    <w:rPr>
                      <w:color w:val="auto"/>
                      <w:spacing w:val="10"/>
                      <w:sz w:val="21"/>
                      <w:szCs w:val="21"/>
                    </w:rPr>
                    <w:t>全</w:t>
                  </w:r>
                  <w:r>
                    <w:rPr>
                      <w:color w:val="auto"/>
                      <w:spacing w:val="9"/>
                      <w:sz w:val="21"/>
                      <w:szCs w:val="21"/>
                    </w:rPr>
                    <w:t>面实施分散燃气锅炉低氮排放改造；重点推进挥</w:t>
                  </w:r>
                  <w:r>
                    <w:rPr>
                      <w:color w:val="auto"/>
                      <w:spacing w:val="10"/>
                      <w:sz w:val="21"/>
                      <w:szCs w:val="21"/>
                    </w:rPr>
                    <w:t>发性有机物和氮氧化物协同减排，加强细颗粒物和臭氧协</w:t>
                  </w:r>
                  <w:r>
                    <w:rPr>
                      <w:color w:val="auto"/>
                      <w:spacing w:val="9"/>
                      <w:sz w:val="21"/>
                      <w:szCs w:val="21"/>
                    </w:rPr>
                    <w:t>同控制。严格控制煤炭消耗，大力推动煤改气工程。高污染燃料禁燃区内禁止销售、燃用高污染燃料。</w:t>
                  </w:r>
                </w:p>
              </w:tc>
              <w:tc>
                <w:tcPr>
                  <w:tcW w:w="1082" w:type="pct"/>
                  <w:tcBorders>
                    <w:tl2br w:val="nil"/>
                    <w:tr2bl w:val="nil"/>
                  </w:tcBorders>
                  <w:noWrap w:val="0"/>
                  <w:vAlign w:val="center"/>
                </w:tcPr>
                <w:p w14:paraId="21B5C667">
                  <w:pPr>
                    <w:pStyle w:val="3"/>
                    <w:bidi w:val="0"/>
                    <w:jc w:val="both"/>
                    <w:rPr>
                      <w:rFonts w:hint="eastAsia" w:eastAsia="宋体"/>
                      <w:color w:val="auto"/>
                      <w:sz w:val="21"/>
                      <w:szCs w:val="21"/>
                      <w:lang w:val="en-US" w:eastAsia="zh-CN"/>
                    </w:rPr>
                  </w:pPr>
                  <w:r>
                    <w:rPr>
                      <w:rFonts w:hint="eastAsia" w:eastAsia="宋体"/>
                      <w:color w:val="auto"/>
                      <w:sz w:val="21"/>
                      <w:szCs w:val="21"/>
                      <w:lang w:val="en-US" w:eastAsia="zh-CN"/>
                    </w:rPr>
                    <w:t>本项目不涉及燃煤机组，燃煤锅炉；</w:t>
                  </w:r>
                  <w:r>
                    <w:rPr>
                      <w:rFonts w:hint="eastAsia" w:eastAsia="宋体"/>
                      <w:color w:val="auto"/>
                      <w:sz w:val="21"/>
                      <w:szCs w:val="21"/>
                      <w:highlight w:val="none"/>
                      <w:lang w:val="en-US" w:eastAsia="zh-CN"/>
                    </w:rPr>
                    <w:t>本项目挥发性有机物排放量少；颗</w:t>
                  </w:r>
                  <w:r>
                    <w:rPr>
                      <w:rFonts w:hint="eastAsia" w:eastAsia="宋体"/>
                      <w:color w:val="auto"/>
                      <w:sz w:val="21"/>
                      <w:szCs w:val="21"/>
                      <w:lang w:val="en-US" w:eastAsia="zh-CN"/>
                    </w:rPr>
                    <w:t>粒物经收集处理能够实现达标排放；本项目不使用燃煤及高污染燃料。</w:t>
                  </w:r>
                </w:p>
              </w:tc>
              <w:tc>
                <w:tcPr>
                  <w:tcW w:w="742" w:type="pct"/>
                  <w:tcBorders>
                    <w:tl2br w:val="nil"/>
                    <w:tr2bl w:val="nil"/>
                  </w:tcBorders>
                  <w:noWrap w:val="0"/>
                  <w:vAlign w:val="center"/>
                </w:tcPr>
                <w:p w14:paraId="1036238A">
                  <w:pPr>
                    <w:pStyle w:val="3"/>
                    <w:bidi w:val="0"/>
                    <w:rPr>
                      <w:rFonts w:hint="eastAsia"/>
                      <w:color w:val="auto"/>
                      <w:sz w:val="21"/>
                      <w:szCs w:val="21"/>
                      <w:lang w:eastAsia="zh-CN"/>
                    </w:rPr>
                  </w:pPr>
                  <w:r>
                    <w:rPr>
                      <w:rFonts w:hint="eastAsia"/>
                      <w:color w:val="auto"/>
                      <w:sz w:val="21"/>
                      <w:szCs w:val="21"/>
                      <w:lang w:eastAsia="zh-CN"/>
                    </w:rPr>
                    <w:t>符合</w:t>
                  </w:r>
                </w:p>
              </w:tc>
            </w:tr>
            <w:tr w14:paraId="1F36D5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618A5235">
                  <w:pPr>
                    <w:pStyle w:val="3"/>
                    <w:bidi w:val="0"/>
                    <w:rPr>
                      <w:rFonts w:hint="default"/>
                      <w:color w:val="auto"/>
                      <w:sz w:val="21"/>
                      <w:szCs w:val="21"/>
                    </w:rPr>
                  </w:pPr>
                </w:p>
              </w:tc>
              <w:tc>
                <w:tcPr>
                  <w:tcW w:w="513" w:type="pct"/>
                  <w:vMerge w:val="continue"/>
                  <w:tcBorders>
                    <w:tl2br w:val="nil"/>
                    <w:tr2bl w:val="nil"/>
                  </w:tcBorders>
                  <w:noWrap w:val="0"/>
                  <w:vAlign w:val="center"/>
                </w:tcPr>
                <w:p w14:paraId="23149208">
                  <w:pPr>
                    <w:pStyle w:val="3"/>
                    <w:bidi w:val="0"/>
                    <w:rPr>
                      <w:rFonts w:hint="default"/>
                      <w:color w:val="auto"/>
                      <w:sz w:val="21"/>
                      <w:szCs w:val="21"/>
                    </w:rPr>
                  </w:pPr>
                </w:p>
              </w:tc>
              <w:tc>
                <w:tcPr>
                  <w:tcW w:w="2137" w:type="pct"/>
                  <w:gridSpan w:val="2"/>
                  <w:tcBorders>
                    <w:tl2br w:val="nil"/>
                    <w:tr2bl w:val="nil"/>
                  </w:tcBorders>
                  <w:noWrap w:val="0"/>
                  <w:vAlign w:val="center"/>
                </w:tcPr>
                <w:p w14:paraId="68F2EEFE">
                  <w:pPr>
                    <w:pStyle w:val="3"/>
                    <w:bidi w:val="0"/>
                    <w:jc w:val="both"/>
                    <w:rPr>
                      <w:rFonts w:hint="default"/>
                      <w:color w:val="auto"/>
                      <w:sz w:val="21"/>
                      <w:szCs w:val="21"/>
                    </w:rPr>
                  </w:pPr>
                  <w:r>
                    <w:rPr>
                      <w:color w:val="auto"/>
                      <w:spacing w:val="10"/>
                      <w:sz w:val="21"/>
                      <w:szCs w:val="21"/>
                    </w:rPr>
                    <w:t>协同提升电力、水泥、工业炉窑</w:t>
                  </w:r>
                  <w:r>
                    <w:rPr>
                      <w:color w:val="auto"/>
                      <w:spacing w:val="9"/>
                      <w:sz w:val="21"/>
                      <w:szCs w:val="21"/>
                    </w:rPr>
                    <w:t>、大型锅炉、工业涂装、化工</w:t>
                  </w:r>
                  <w:r>
                    <w:rPr>
                      <w:rFonts w:hint="eastAsia" w:eastAsia="宋体"/>
                      <w:color w:val="auto"/>
                      <w:spacing w:val="9"/>
                      <w:sz w:val="21"/>
                      <w:szCs w:val="21"/>
                      <w:lang w:eastAsia="zh-CN"/>
                    </w:rPr>
                    <w:t>、</w:t>
                  </w:r>
                  <w:r>
                    <w:rPr>
                      <w:color w:val="auto"/>
                      <w:spacing w:val="9"/>
                      <w:sz w:val="21"/>
                      <w:szCs w:val="21"/>
                    </w:rPr>
                    <w:t>包装印刷、家具制造和汽车制造等重点行业</w:t>
                  </w:r>
                  <w:r>
                    <w:rPr>
                      <w:color w:val="auto"/>
                      <w:spacing w:val="-47"/>
                      <w:sz w:val="21"/>
                      <w:szCs w:val="21"/>
                    </w:rPr>
                    <w:t xml:space="preserve"> </w:t>
                  </w:r>
                  <w:r>
                    <w:rPr>
                      <w:rFonts w:ascii="Times New Roman" w:hAnsi="Times New Roman" w:eastAsia="Times New Roman" w:cs="Times New Roman"/>
                      <w:color w:val="auto"/>
                      <w:sz w:val="21"/>
                      <w:szCs w:val="21"/>
                    </w:rPr>
                    <w:t>NOx</w:t>
                  </w:r>
                  <w:r>
                    <w:rPr>
                      <w:color w:val="auto"/>
                      <w:spacing w:val="9"/>
                      <w:sz w:val="21"/>
                      <w:szCs w:val="21"/>
                    </w:rPr>
                    <w:t>去除效率。推进石油化工、有机化工、包装印刷</w:t>
                  </w:r>
                  <w:r>
                    <w:rPr>
                      <w:color w:val="auto"/>
                      <w:spacing w:val="8"/>
                      <w:sz w:val="21"/>
                      <w:szCs w:val="21"/>
                    </w:rPr>
                    <w:t>、家具制</w:t>
                  </w:r>
                  <w:r>
                    <w:rPr>
                      <w:color w:val="auto"/>
                      <w:spacing w:val="7"/>
                      <w:sz w:val="21"/>
                      <w:szCs w:val="21"/>
                    </w:rPr>
                    <w:t>造、表面涂装和油品储运销等重点行业、重点企业</w:t>
                  </w:r>
                  <w:r>
                    <w:rPr>
                      <w:color w:val="auto"/>
                      <w:spacing w:val="-27"/>
                      <w:sz w:val="21"/>
                      <w:szCs w:val="21"/>
                    </w:rPr>
                    <w:t xml:space="preserve"> </w:t>
                  </w:r>
                  <w:r>
                    <w:rPr>
                      <w:rFonts w:ascii="Times New Roman" w:hAnsi="Times New Roman" w:eastAsia="Times New Roman" w:cs="Times New Roman"/>
                      <w:color w:val="auto"/>
                      <w:sz w:val="21"/>
                      <w:szCs w:val="21"/>
                    </w:rPr>
                    <w:t>VOCs</w:t>
                  </w:r>
                  <w:r>
                    <w:rPr>
                      <w:rFonts w:hint="eastAsia" w:ascii="Times New Roman" w:hAnsi="Times New Roman" w:eastAsia="宋体" w:cs="Times New Roman"/>
                      <w:color w:val="auto"/>
                      <w:spacing w:val="7"/>
                      <w:sz w:val="21"/>
                      <w:szCs w:val="21"/>
                      <w:lang w:eastAsia="zh-CN"/>
                    </w:rPr>
                    <w:t>“</w:t>
                  </w:r>
                  <w:r>
                    <w:rPr>
                      <w:color w:val="auto"/>
                      <w:spacing w:val="7"/>
                      <w:sz w:val="21"/>
                      <w:szCs w:val="21"/>
                    </w:rPr>
                    <w:t>一企一策</w:t>
                  </w:r>
                  <w:r>
                    <w:rPr>
                      <w:rFonts w:hint="eastAsia" w:eastAsia="宋体"/>
                      <w:color w:val="auto"/>
                      <w:spacing w:val="7"/>
                      <w:sz w:val="21"/>
                      <w:szCs w:val="21"/>
                      <w:lang w:eastAsia="zh-CN"/>
                    </w:rPr>
                    <w:t>”</w:t>
                  </w:r>
                  <w:r>
                    <w:rPr>
                      <w:rFonts w:hint="eastAsia" w:ascii="Times New Roman" w:hAnsi="Times New Roman" w:eastAsia="宋体" w:cs="Times New Roman"/>
                      <w:color w:val="auto"/>
                      <w:spacing w:val="-28"/>
                      <w:sz w:val="21"/>
                      <w:szCs w:val="21"/>
                      <w:lang w:eastAsia="zh-CN"/>
                    </w:rPr>
                    <w:t>，</w:t>
                  </w:r>
                  <w:r>
                    <w:rPr>
                      <w:color w:val="auto"/>
                      <w:spacing w:val="7"/>
                      <w:sz w:val="21"/>
                      <w:szCs w:val="21"/>
                    </w:rPr>
                    <w:t>加快推进中小微企业</w:t>
                  </w:r>
                  <w:r>
                    <w:rPr>
                      <w:color w:val="auto"/>
                      <w:sz w:val="21"/>
                      <w:szCs w:val="21"/>
                    </w:rPr>
                    <w:t xml:space="preserve"> </w:t>
                  </w:r>
                  <w:r>
                    <w:rPr>
                      <w:rFonts w:ascii="Times New Roman" w:hAnsi="Times New Roman" w:eastAsia="Times New Roman" w:cs="Times New Roman"/>
                      <w:color w:val="auto"/>
                      <w:sz w:val="21"/>
                      <w:szCs w:val="21"/>
                    </w:rPr>
                    <w:t>VOCs</w:t>
                  </w:r>
                  <w:r>
                    <w:rPr>
                      <w:color w:val="auto"/>
                      <w:spacing w:val="8"/>
                      <w:sz w:val="21"/>
                      <w:szCs w:val="21"/>
                    </w:rPr>
                    <w:t>治理。</w:t>
                  </w:r>
                </w:p>
              </w:tc>
              <w:tc>
                <w:tcPr>
                  <w:tcW w:w="1082" w:type="pct"/>
                  <w:tcBorders>
                    <w:tl2br w:val="nil"/>
                    <w:tr2bl w:val="nil"/>
                  </w:tcBorders>
                  <w:noWrap w:val="0"/>
                  <w:vAlign w:val="center"/>
                </w:tcPr>
                <w:p w14:paraId="130C0BF2">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本项目不属于</w:t>
                  </w:r>
                  <w:r>
                    <w:rPr>
                      <w:color w:val="auto"/>
                      <w:spacing w:val="10"/>
                      <w:sz w:val="21"/>
                      <w:szCs w:val="21"/>
                    </w:rPr>
                    <w:t>电力、水泥、工业炉窑</w:t>
                  </w:r>
                  <w:r>
                    <w:rPr>
                      <w:color w:val="auto"/>
                      <w:spacing w:val="9"/>
                      <w:sz w:val="21"/>
                      <w:szCs w:val="21"/>
                    </w:rPr>
                    <w:t>、大型锅炉、工业涂装、化工</w:t>
                  </w:r>
                  <w:r>
                    <w:rPr>
                      <w:rFonts w:hint="eastAsia" w:eastAsia="宋体"/>
                      <w:color w:val="auto"/>
                      <w:spacing w:val="9"/>
                      <w:sz w:val="21"/>
                      <w:szCs w:val="21"/>
                      <w:lang w:eastAsia="zh-CN"/>
                    </w:rPr>
                    <w:t>、</w:t>
                  </w:r>
                  <w:r>
                    <w:rPr>
                      <w:color w:val="auto"/>
                      <w:spacing w:val="9"/>
                      <w:sz w:val="21"/>
                      <w:szCs w:val="21"/>
                    </w:rPr>
                    <w:t>包装印刷、家具制造和汽车制造</w:t>
                  </w:r>
                  <w:r>
                    <w:rPr>
                      <w:rFonts w:hint="eastAsia" w:eastAsia="宋体"/>
                      <w:color w:val="auto"/>
                      <w:spacing w:val="9"/>
                      <w:sz w:val="21"/>
                      <w:szCs w:val="21"/>
                      <w:lang w:eastAsia="zh-CN"/>
                    </w:rPr>
                    <w:t>等重大行业项目；不属于</w:t>
                  </w:r>
                  <w:r>
                    <w:rPr>
                      <w:color w:val="auto"/>
                      <w:spacing w:val="9"/>
                      <w:sz w:val="21"/>
                      <w:szCs w:val="21"/>
                    </w:rPr>
                    <w:t>石油化工、有机化工、包装印刷</w:t>
                  </w:r>
                  <w:r>
                    <w:rPr>
                      <w:color w:val="auto"/>
                      <w:spacing w:val="8"/>
                      <w:sz w:val="21"/>
                      <w:szCs w:val="21"/>
                    </w:rPr>
                    <w:t>、家具制</w:t>
                  </w:r>
                  <w:r>
                    <w:rPr>
                      <w:color w:val="auto"/>
                      <w:spacing w:val="7"/>
                      <w:sz w:val="21"/>
                      <w:szCs w:val="21"/>
                    </w:rPr>
                    <w:t>造、表面涂装和油品储运销等重点行业</w:t>
                  </w:r>
                  <w:r>
                    <w:rPr>
                      <w:rFonts w:hint="eastAsia" w:eastAsia="宋体"/>
                      <w:color w:val="auto"/>
                      <w:spacing w:val="7"/>
                      <w:sz w:val="21"/>
                      <w:szCs w:val="21"/>
                      <w:lang w:eastAsia="zh-CN"/>
                    </w:rPr>
                    <w:t>项目。</w:t>
                  </w:r>
                </w:p>
              </w:tc>
              <w:tc>
                <w:tcPr>
                  <w:tcW w:w="742" w:type="pct"/>
                  <w:tcBorders>
                    <w:tl2br w:val="nil"/>
                    <w:tr2bl w:val="nil"/>
                  </w:tcBorders>
                  <w:noWrap w:val="0"/>
                  <w:vAlign w:val="center"/>
                </w:tcPr>
                <w:p w14:paraId="1B1A429D">
                  <w:pPr>
                    <w:pStyle w:val="3"/>
                    <w:bidi w:val="0"/>
                    <w:rPr>
                      <w:rFonts w:hint="eastAsia"/>
                      <w:color w:val="auto"/>
                      <w:sz w:val="21"/>
                      <w:szCs w:val="21"/>
                      <w:lang w:eastAsia="zh-CN"/>
                    </w:rPr>
                  </w:pPr>
                  <w:r>
                    <w:rPr>
                      <w:rFonts w:hint="eastAsia"/>
                      <w:color w:val="auto"/>
                      <w:sz w:val="21"/>
                      <w:szCs w:val="21"/>
                      <w:lang w:eastAsia="zh-CN"/>
                    </w:rPr>
                    <w:t>符合</w:t>
                  </w:r>
                </w:p>
              </w:tc>
            </w:tr>
            <w:tr w14:paraId="1C300C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44F55599">
                  <w:pPr>
                    <w:pStyle w:val="3"/>
                    <w:bidi w:val="0"/>
                    <w:rPr>
                      <w:rFonts w:hint="default"/>
                      <w:color w:val="auto"/>
                      <w:sz w:val="21"/>
                      <w:szCs w:val="21"/>
                    </w:rPr>
                  </w:pPr>
                </w:p>
              </w:tc>
              <w:tc>
                <w:tcPr>
                  <w:tcW w:w="513" w:type="pct"/>
                  <w:vMerge w:val="continue"/>
                  <w:tcBorders>
                    <w:tl2br w:val="nil"/>
                    <w:tr2bl w:val="nil"/>
                  </w:tcBorders>
                  <w:noWrap w:val="0"/>
                  <w:vAlign w:val="center"/>
                </w:tcPr>
                <w:p w14:paraId="294E3247">
                  <w:pPr>
                    <w:pStyle w:val="3"/>
                    <w:bidi w:val="0"/>
                    <w:rPr>
                      <w:rFonts w:hint="default"/>
                      <w:color w:val="auto"/>
                      <w:sz w:val="21"/>
                      <w:szCs w:val="21"/>
                    </w:rPr>
                  </w:pPr>
                </w:p>
              </w:tc>
              <w:tc>
                <w:tcPr>
                  <w:tcW w:w="2137" w:type="pct"/>
                  <w:gridSpan w:val="2"/>
                  <w:tcBorders>
                    <w:tl2br w:val="nil"/>
                    <w:tr2bl w:val="nil"/>
                  </w:tcBorders>
                  <w:noWrap w:val="0"/>
                  <w:vAlign w:val="center"/>
                </w:tcPr>
                <w:p w14:paraId="7B1F37D6">
                  <w:pPr>
                    <w:pStyle w:val="3"/>
                    <w:bidi w:val="0"/>
                    <w:jc w:val="both"/>
                    <w:rPr>
                      <w:rFonts w:hint="default"/>
                      <w:color w:val="auto"/>
                      <w:sz w:val="21"/>
                      <w:szCs w:val="21"/>
                    </w:rPr>
                  </w:pPr>
                  <w:r>
                    <w:rPr>
                      <w:color w:val="auto"/>
                      <w:spacing w:val="9"/>
                      <w:sz w:val="21"/>
                      <w:szCs w:val="21"/>
                    </w:rPr>
                    <w:t>持续提高城镇污水管网覆盖率，完善二、三级污水管网建设。</w:t>
                  </w:r>
                </w:p>
              </w:tc>
              <w:tc>
                <w:tcPr>
                  <w:tcW w:w="1082" w:type="pct"/>
                  <w:tcBorders>
                    <w:tl2br w:val="nil"/>
                    <w:tr2bl w:val="nil"/>
                  </w:tcBorders>
                  <w:noWrap w:val="0"/>
                  <w:vAlign w:val="center"/>
                </w:tcPr>
                <w:p w14:paraId="1DA6361D">
                  <w:pPr>
                    <w:pStyle w:val="3"/>
                    <w:bidi w:val="0"/>
                    <w:jc w:val="both"/>
                    <w:rPr>
                      <w:rFonts w:hint="eastAsia"/>
                      <w:color w:val="auto"/>
                      <w:sz w:val="21"/>
                      <w:szCs w:val="21"/>
                      <w:lang w:eastAsia="zh-CN"/>
                    </w:rPr>
                  </w:pPr>
                  <w:r>
                    <w:rPr>
                      <w:rFonts w:hint="eastAsia"/>
                      <w:color w:val="auto"/>
                      <w:sz w:val="21"/>
                      <w:szCs w:val="21"/>
                      <w:lang w:eastAsia="zh-CN"/>
                    </w:rPr>
                    <w:t>本项目不涉及污水管网建设。</w:t>
                  </w:r>
                </w:p>
              </w:tc>
              <w:tc>
                <w:tcPr>
                  <w:tcW w:w="742" w:type="pct"/>
                  <w:tcBorders>
                    <w:tl2br w:val="nil"/>
                    <w:tr2bl w:val="nil"/>
                  </w:tcBorders>
                  <w:noWrap w:val="0"/>
                  <w:vAlign w:val="center"/>
                </w:tcPr>
                <w:p w14:paraId="533F0AA8">
                  <w:pPr>
                    <w:pStyle w:val="3"/>
                    <w:bidi w:val="0"/>
                    <w:rPr>
                      <w:rFonts w:hint="eastAsia"/>
                      <w:color w:val="auto"/>
                      <w:sz w:val="21"/>
                      <w:szCs w:val="21"/>
                      <w:lang w:eastAsia="zh-CN"/>
                    </w:rPr>
                  </w:pPr>
                  <w:r>
                    <w:rPr>
                      <w:rFonts w:hint="eastAsia"/>
                      <w:color w:val="auto"/>
                      <w:sz w:val="21"/>
                      <w:szCs w:val="21"/>
                      <w:lang w:eastAsia="zh-CN"/>
                    </w:rPr>
                    <w:t>符合</w:t>
                  </w:r>
                </w:p>
              </w:tc>
            </w:tr>
            <w:tr w14:paraId="378558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123F0384">
                  <w:pPr>
                    <w:pStyle w:val="3"/>
                    <w:bidi w:val="0"/>
                    <w:rPr>
                      <w:rFonts w:hint="default"/>
                      <w:color w:val="auto"/>
                      <w:sz w:val="21"/>
                      <w:szCs w:val="21"/>
                    </w:rPr>
                  </w:pPr>
                </w:p>
              </w:tc>
              <w:tc>
                <w:tcPr>
                  <w:tcW w:w="513" w:type="pct"/>
                  <w:vMerge w:val="continue"/>
                  <w:tcBorders>
                    <w:tl2br w:val="nil"/>
                    <w:tr2bl w:val="nil"/>
                  </w:tcBorders>
                  <w:noWrap w:val="0"/>
                  <w:vAlign w:val="center"/>
                </w:tcPr>
                <w:p w14:paraId="2F85E476">
                  <w:pPr>
                    <w:pStyle w:val="3"/>
                    <w:bidi w:val="0"/>
                    <w:rPr>
                      <w:rFonts w:hint="default"/>
                      <w:color w:val="auto"/>
                      <w:sz w:val="21"/>
                      <w:szCs w:val="21"/>
                    </w:rPr>
                  </w:pPr>
                </w:p>
              </w:tc>
              <w:tc>
                <w:tcPr>
                  <w:tcW w:w="2137" w:type="pct"/>
                  <w:gridSpan w:val="2"/>
                  <w:tcBorders>
                    <w:tl2br w:val="nil"/>
                    <w:tr2bl w:val="nil"/>
                  </w:tcBorders>
                  <w:noWrap w:val="0"/>
                  <w:vAlign w:val="top"/>
                </w:tcPr>
                <w:p w14:paraId="2FEC6E97">
                  <w:pPr>
                    <w:pStyle w:val="3"/>
                    <w:bidi w:val="0"/>
                    <w:jc w:val="both"/>
                    <w:rPr>
                      <w:rFonts w:hint="default"/>
                      <w:color w:val="auto"/>
                      <w:sz w:val="21"/>
                      <w:szCs w:val="21"/>
                    </w:rPr>
                  </w:pPr>
                  <w:r>
                    <w:rPr>
                      <w:color w:val="auto"/>
                      <w:spacing w:val="9"/>
                      <w:sz w:val="21"/>
                      <w:szCs w:val="21"/>
                    </w:rPr>
                    <w:t>页岩气开发应节约集约用地，采用</w:t>
                  </w:r>
                  <w:r>
                    <w:rPr>
                      <w:rFonts w:ascii="Times New Roman" w:hAnsi="Times New Roman" w:eastAsia="Times New Roman" w:cs="Times New Roman"/>
                      <w:color w:val="auto"/>
                      <w:spacing w:val="9"/>
                      <w:sz w:val="21"/>
                      <w:szCs w:val="21"/>
                    </w:rPr>
                    <w:t>“</w:t>
                  </w:r>
                  <w:r>
                    <w:rPr>
                      <w:color w:val="auto"/>
                      <w:spacing w:val="9"/>
                      <w:sz w:val="21"/>
                      <w:szCs w:val="21"/>
                    </w:rPr>
                    <w:t>丛式井</w:t>
                  </w:r>
                  <w:r>
                    <w:rPr>
                      <w:rFonts w:ascii="Times New Roman" w:hAnsi="Times New Roman" w:eastAsia="Times New Roman" w:cs="Times New Roman"/>
                      <w:color w:val="auto"/>
                      <w:spacing w:val="9"/>
                      <w:sz w:val="21"/>
                      <w:szCs w:val="21"/>
                    </w:rPr>
                    <w:t>”</w:t>
                  </w:r>
                  <w:r>
                    <w:rPr>
                      <w:color w:val="auto"/>
                      <w:spacing w:val="9"/>
                      <w:sz w:val="21"/>
                      <w:szCs w:val="21"/>
                    </w:rPr>
                    <w:t>开发模式</w:t>
                  </w:r>
                  <w:r>
                    <w:rPr>
                      <w:rFonts w:hint="eastAsia" w:eastAsia="宋体"/>
                      <w:color w:val="auto"/>
                      <w:spacing w:val="9"/>
                      <w:sz w:val="21"/>
                      <w:szCs w:val="21"/>
                      <w:lang w:eastAsia="zh-CN"/>
                    </w:rPr>
                    <w:t>。</w:t>
                  </w:r>
                  <w:r>
                    <w:rPr>
                      <w:color w:val="auto"/>
                      <w:spacing w:val="9"/>
                      <w:sz w:val="21"/>
                      <w:szCs w:val="21"/>
                    </w:rPr>
                    <w:t>通过岩溶地层防污钻井技术、基于源头减排的井身结构优化技术、山地</w:t>
                  </w:r>
                  <w:r>
                    <w:rPr>
                      <w:rFonts w:ascii="Times New Roman" w:hAnsi="Times New Roman" w:eastAsia="Times New Roman" w:cs="Times New Roman"/>
                      <w:color w:val="auto"/>
                      <w:spacing w:val="9"/>
                      <w:sz w:val="21"/>
                      <w:szCs w:val="21"/>
                    </w:rPr>
                    <w:t>“</w:t>
                  </w:r>
                  <w:r>
                    <w:rPr>
                      <w:color w:val="auto"/>
                      <w:spacing w:val="9"/>
                      <w:sz w:val="21"/>
                      <w:szCs w:val="21"/>
                    </w:rPr>
                    <w:t>井工厂</w:t>
                  </w:r>
                  <w:r>
                    <w:rPr>
                      <w:rFonts w:ascii="Times New Roman" w:hAnsi="Times New Roman" w:eastAsia="Times New Roman" w:cs="Times New Roman"/>
                      <w:color w:val="auto"/>
                      <w:spacing w:val="9"/>
                      <w:sz w:val="21"/>
                      <w:szCs w:val="21"/>
                    </w:rPr>
                    <w:t>”</w:t>
                  </w:r>
                  <w:r>
                    <w:rPr>
                      <w:color w:val="auto"/>
                      <w:spacing w:val="9"/>
                      <w:sz w:val="21"/>
                      <w:szCs w:val="21"/>
                    </w:rPr>
                    <w:t>钻井技术、废气减排与降噪的电</w:t>
                  </w:r>
                  <w:r>
                    <w:rPr>
                      <w:color w:val="auto"/>
                      <w:spacing w:val="10"/>
                      <w:sz w:val="21"/>
                      <w:szCs w:val="21"/>
                    </w:rPr>
                    <w:t>钻井技术，避免对浅层溶洞、暗河造成影响，减少钻井岩屑、废</w:t>
                  </w:r>
                  <w:r>
                    <w:rPr>
                      <w:color w:val="auto"/>
                      <w:spacing w:val="9"/>
                      <w:sz w:val="21"/>
                      <w:szCs w:val="21"/>
                    </w:rPr>
                    <w:t>弃钻井泥浆、废气和</w:t>
                  </w:r>
                  <w:r>
                    <w:rPr>
                      <w:rFonts w:hint="eastAsia" w:eastAsia="宋体"/>
                      <w:color w:val="auto"/>
                      <w:spacing w:val="9"/>
                      <w:sz w:val="21"/>
                      <w:szCs w:val="21"/>
                      <w:lang w:eastAsia="zh-CN"/>
                    </w:rPr>
                    <w:t>噪声</w:t>
                  </w:r>
                  <w:r>
                    <w:rPr>
                      <w:color w:val="auto"/>
                      <w:sz w:val="21"/>
                      <w:szCs w:val="21"/>
                    </w:rPr>
                    <w:t xml:space="preserve"> </w:t>
                  </w:r>
                  <w:r>
                    <w:rPr>
                      <w:color w:val="auto"/>
                      <w:spacing w:val="10"/>
                      <w:sz w:val="21"/>
                      <w:szCs w:val="21"/>
                    </w:rPr>
                    <w:t>等产生，实现页岩气田绿色开发。采用环境友好型储层改造技术</w:t>
                  </w:r>
                  <w:r>
                    <w:rPr>
                      <w:color w:val="auto"/>
                      <w:spacing w:val="9"/>
                      <w:sz w:val="21"/>
                      <w:szCs w:val="21"/>
                    </w:rPr>
                    <w:t>，避免压裂液对环境产生</w:t>
                  </w:r>
                  <w:r>
                    <w:rPr>
                      <w:color w:val="auto"/>
                      <w:spacing w:val="10"/>
                      <w:sz w:val="21"/>
                      <w:szCs w:val="21"/>
                    </w:rPr>
                    <w:t>影响。页岩气勘探开发产出水应优先进行回用，强化页岩气开采</w:t>
                  </w:r>
                  <w:r>
                    <w:rPr>
                      <w:color w:val="auto"/>
                      <w:spacing w:val="9"/>
                      <w:sz w:val="21"/>
                      <w:szCs w:val="21"/>
                    </w:rPr>
                    <w:t>中的水环境保护和环境监</w:t>
                  </w:r>
                  <w:r>
                    <w:rPr>
                      <w:color w:val="auto"/>
                      <w:sz w:val="21"/>
                      <w:szCs w:val="21"/>
                    </w:rPr>
                    <w:t>测。</w:t>
                  </w:r>
                </w:p>
              </w:tc>
              <w:tc>
                <w:tcPr>
                  <w:tcW w:w="1082" w:type="pct"/>
                  <w:tcBorders>
                    <w:tl2br w:val="nil"/>
                    <w:tr2bl w:val="nil"/>
                  </w:tcBorders>
                  <w:noWrap w:val="0"/>
                  <w:vAlign w:val="center"/>
                </w:tcPr>
                <w:p w14:paraId="7DBB2D99">
                  <w:pPr>
                    <w:pStyle w:val="3"/>
                    <w:bidi w:val="0"/>
                    <w:jc w:val="both"/>
                    <w:rPr>
                      <w:rFonts w:hint="eastAsia"/>
                      <w:color w:val="auto"/>
                      <w:sz w:val="21"/>
                      <w:szCs w:val="21"/>
                      <w:lang w:eastAsia="zh-CN"/>
                    </w:rPr>
                  </w:pPr>
                  <w:r>
                    <w:rPr>
                      <w:rFonts w:hint="eastAsia"/>
                      <w:color w:val="auto"/>
                      <w:sz w:val="21"/>
                      <w:szCs w:val="21"/>
                      <w:lang w:eastAsia="zh-CN"/>
                    </w:rPr>
                    <w:t>本项目不涉及页岩气的开采。</w:t>
                  </w:r>
                </w:p>
              </w:tc>
              <w:tc>
                <w:tcPr>
                  <w:tcW w:w="742" w:type="pct"/>
                  <w:tcBorders>
                    <w:tl2br w:val="nil"/>
                    <w:tr2bl w:val="nil"/>
                  </w:tcBorders>
                  <w:noWrap w:val="0"/>
                  <w:vAlign w:val="center"/>
                </w:tcPr>
                <w:p w14:paraId="657B25FD">
                  <w:pPr>
                    <w:pStyle w:val="3"/>
                    <w:bidi w:val="0"/>
                    <w:rPr>
                      <w:rFonts w:hint="eastAsia"/>
                      <w:color w:val="auto"/>
                      <w:sz w:val="21"/>
                      <w:szCs w:val="21"/>
                      <w:lang w:eastAsia="zh-CN"/>
                    </w:rPr>
                  </w:pPr>
                  <w:r>
                    <w:rPr>
                      <w:rFonts w:hint="eastAsia"/>
                      <w:color w:val="auto"/>
                      <w:sz w:val="21"/>
                      <w:szCs w:val="21"/>
                      <w:lang w:eastAsia="zh-CN"/>
                    </w:rPr>
                    <w:t>符合</w:t>
                  </w:r>
                </w:p>
              </w:tc>
            </w:tr>
            <w:tr w14:paraId="11F92A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25" w:type="pct"/>
                  <w:vMerge w:val="continue"/>
                  <w:tcBorders>
                    <w:tl2br w:val="nil"/>
                    <w:tr2bl w:val="nil"/>
                  </w:tcBorders>
                  <w:noWrap w:val="0"/>
                  <w:vAlign w:val="center"/>
                </w:tcPr>
                <w:p w14:paraId="7681748F">
                  <w:pPr>
                    <w:pStyle w:val="3"/>
                    <w:bidi w:val="0"/>
                    <w:rPr>
                      <w:rFonts w:hint="default"/>
                      <w:color w:val="auto"/>
                      <w:sz w:val="21"/>
                      <w:szCs w:val="21"/>
                    </w:rPr>
                  </w:pPr>
                </w:p>
              </w:tc>
              <w:tc>
                <w:tcPr>
                  <w:tcW w:w="513" w:type="pct"/>
                  <w:vMerge w:val="continue"/>
                  <w:tcBorders>
                    <w:tl2br w:val="nil"/>
                    <w:tr2bl w:val="nil"/>
                  </w:tcBorders>
                  <w:noWrap w:val="0"/>
                  <w:vAlign w:val="center"/>
                </w:tcPr>
                <w:p w14:paraId="12E3A675">
                  <w:pPr>
                    <w:pStyle w:val="3"/>
                    <w:bidi w:val="0"/>
                    <w:rPr>
                      <w:rFonts w:hint="default"/>
                      <w:color w:val="auto"/>
                      <w:sz w:val="21"/>
                      <w:szCs w:val="21"/>
                    </w:rPr>
                  </w:pPr>
                </w:p>
              </w:tc>
              <w:tc>
                <w:tcPr>
                  <w:tcW w:w="2137" w:type="pct"/>
                  <w:gridSpan w:val="2"/>
                  <w:tcBorders>
                    <w:tl2br w:val="nil"/>
                    <w:tr2bl w:val="nil"/>
                  </w:tcBorders>
                  <w:noWrap w:val="0"/>
                  <w:vAlign w:val="top"/>
                </w:tcPr>
                <w:p w14:paraId="516FE635">
                  <w:pPr>
                    <w:pStyle w:val="47"/>
                    <w:spacing w:before="64" w:line="228" w:lineRule="auto"/>
                    <w:ind w:left="0" w:leftChars="0" w:firstLine="0" w:firstLineChars="0"/>
                    <w:rPr>
                      <w:rFonts w:hint="default"/>
                      <w:color w:val="auto"/>
                      <w:sz w:val="21"/>
                      <w:szCs w:val="21"/>
                    </w:rPr>
                  </w:pPr>
                  <w:r>
                    <w:rPr>
                      <w:color w:val="auto"/>
                      <w:spacing w:val="10"/>
                      <w:sz w:val="21"/>
                      <w:szCs w:val="21"/>
                    </w:rPr>
                    <w:t>加强全区榨菜生产企业污水处理</w:t>
                  </w:r>
                  <w:r>
                    <w:rPr>
                      <w:color w:val="auto"/>
                      <w:spacing w:val="9"/>
                      <w:sz w:val="21"/>
                      <w:szCs w:val="21"/>
                    </w:rPr>
                    <w:t>设施管理，持续推动榨菜企业污水处理设施升级</w:t>
                  </w:r>
                  <w:r>
                    <w:rPr>
                      <w:color w:val="auto"/>
                      <w:sz w:val="21"/>
                      <w:szCs w:val="21"/>
                    </w:rPr>
                    <w:t>改造。</w:t>
                  </w:r>
                </w:p>
              </w:tc>
              <w:tc>
                <w:tcPr>
                  <w:tcW w:w="1082" w:type="pct"/>
                  <w:tcBorders>
                    <w:tl2br w:val="nil"/>
                    <w:tr2bl w:val="nil"/>
                  </w:tcBorders>
                  <w:noWrap w:val="0"/>
                  <w:vAlign w:val="center"/>
                </w:tcPr>
                <w:p w14:paraId="0182BE1E">
                  <w:pPr>
                    <w:pStyle w:val="3"/>
                    <w:bidi w:val="0"/>
                    <w:jc w:val="both"/>
                    <w:rPr>
                      <w:rFonts w:hint="eastAsia"/>
                      <w:color w:val="auto"/>
                      <w:sz w:val="21"/>
                      <w:szCs w:val="21"/>
                      <w:lang w:eastAsia="zh-CN"/>
                    </w:rPr>
                  </w:pPr>
                  <w:r>
                    <w:rPr>
                      <w:rFonts w:hint="eastAsia"/>
                      <w:color w:val="auto"/>
                      <w:sz w:val="21"/>
                      <w:szCs w:val="21"/>
                      <w:lang w:eastAsia="zh-CN"/>
                    </w:rPr>
                    <w:t>本项目不属于榨菜生产项目。</w:t>
                  </w:r>
                </w:p>
              </w:tc>
              <w:tc>
                <w:tcPr>
                  <w:tcW w:w="742" w:type="pct"/>
                  <w:tcBorders>
                    <w:tl2br w:val="nil"/>
                    <w:tr2bl w:val="nil"/>
                  </w:tcBorders>
                  <w:noWrap w:val="0"/>
                  <w:vAlign w:val="center"/>
                </w:tcPr>
                <w:p w14:paraId="7C17259E">
                  <w:pPr>
                    <w:pStyle w:val="3"/>
                    <w:bidi w:val="0"/>
                    <w:rPr>
                      <w:rFonts w:hint="eastAsia"/>
                      <w:color w:val="auto"/>
                      <w:sz w:val="21"/>
                      <w:szCs w:val="21"/>
                      <w:lang w:eastAsia="zh-CN"/>
                    </w:rPr>
                  </w:pPr>
                  <w:r>
                    <w:rPr>
                      <w:rFonts w:hint="eastAsia"/>
                      <w:color w:val="auto"/>
                      <w:sz w:val="21"/>
                      <w:szCs w:val="21"/>
                      <w:lang w:eastAsia="zh-CN"/>
                    </w:rPr>
                    <w:t>符合</w:t>
                  </w:r>
                </w:p>
              </w:tc>
            </w:tr>
            <w:tr w14:paraId="3995A3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23B00907">
                  <w:pPr>
                    <w:pStyle w:val="3"/>
                    <w:bidi w:val="0"/>
                    <w:rPr>
                      <w:rFonts w:hint="default"/>
                      <w:color w:val="auto"/>
                      <w:sz w:val="21"/>
                      <w:szCs w:val="21"/>
                    </w:rPr>
                  </w:pPr>
                </w:p>
              </w:tc>
              <w:tc>
                <w:tcPr>
                  <w:tcW w:w="513" w:type="pct"/>
                  <w:vMerge w:val="continue"/>
                  <w:tcBorders>
                    <w:tl2br w:val="nil"/>
                    <w:tr2bl w:val="nil"/>
                  </w:tcBorders>
                  <w:noWrap w:val="0"/>
                  <w:vAlign w:val="center"/>
                </w:tcPr>
                <w:p w14:paraId="4ACDDD52">
                  <w:pPr>
                    <w:pStyle w:val="3"/>
                    <w:bidi w:val="0"/>
                    <w:rPr>
                      <w:rFonts w:hint="default"/>
                      <w:color w:val="auto"/>
                      <w:sz w:val="21"/>
                      <w:szCs w:val="21"/>
                    </w:rPr>
                  </w:pPr>
                </w:p>
              </w:tc>
              <w:tc>
                <w:tcPr>
                  <w:tcW w:w="2137" w:type="pct"/>
                  <w:gridSpan w:val="2"/>
                  <w:tcBorders>
                    <w:tl2br w:val="nil"/>
                    <w:tr2bl w:val="nil"/>
                  </w:tcBorders>
                  <w:noWrap w:val="0"/>
                  <w:vAlign w:val="top"/>
                </w:tcPr>
                <w:p w14:paraId="0C6118B2">
                  <w:pPr>
                    <w:pStyle w:val="3"/>
                    <w:bidi w:val="0"/>
                    <w:jc w:val="both"/>
                    <w:rPr>
                      <w:rFonts w:hint="default"/>
                      <w:color w:val="auto"/>
                      <w:sz w:val="21"/>
                      <w:szCs w:val="21"/>
                    </w:rPr>
                  </w:pPr>
                  <w:r>
                    <w:rPr>
                      <w:color w:val="auto"/>
                      <w:spacing w:val="9"/>
                      <w:sz w:val="21"/>
                      <w:szCs w:val="21"/>
                    </w:rPr>
                    <w:t>大宗物料优先采用铁路、管道或水路运输，短途接驳优先使用新能源车辆运输</w:t>
                  </w:r>
                  <w:r>
                    <w:rPr>
                      <w:rFonts w:hint="eastAsia" w:eastAsia="宋体"/>
                      <w:color w:val="auto"/>
                      <w:spacing w:val="9"/>
                      <w:sz w:val="21"/>
                      <w:szCs w:val="21"/>
                      <w:lang w:eastAsia="zh-CN"/>
                    </w:rPr>
                    <w:t>；</w:t>
                  </w:r>
                  <w:r>
                    <w:rPr>
                      <w:color w:val="auto"/>
                      <w:spacing w:val="10"/>
                      <w:sz w:val="21"/>
                      <w:szCs w:val="21"/>
                    </w:rPr>
                    <w:t>提高燃油车船能效标准</w:t>
                  </w:r>
                  <w:r>
                    <w:rPr>
                      <w:rFonts w:hint="eastAsia" w:eastAsia="宋体"/>
                      <w:color w:val="auto"/>
                      <w:spacing w:val="10"/>
                      <w:sz w:val="21"/>
                      <w:szCs w:val="21"/>
                      <w:lang w:eastAsia="zh-CN"/>
                    </w:rPr>
                    <w:t>，</w:t>
                  </w:r>
                  <w:r>
                    <w:rPr>
                      <w:color w:val="auto"/>
                      <w:spacing w:val="10"/>
                      <w:sz w:val="21"/>
                      <w:szCs w:val="21"/>
                    </w:rPr>
                    <w:t>健全交通运输装备能效标识制度</w:t>
                  </w:r>
                  <w:r>
                    <w:rPr>
                      <w:rFonts w:hint="eastAsia" w:eastAsia="宋体"/>
                      <w:color w:val="auto"/>
                      <w:spacing w:val="10"/>
                      <w:sz w:val="21"/>
                      <w:szCs w:val="21"/>
                      <w:lang w:eastAsia="zh-CN"/>
                    </w:rPr>
                    <w:t>，</w:t>
                  </w:r>
                  <w:r>
                    <w:rPr>
                      <w:color w:val="auto"/>
                      <w:spacing w:val="10"/>
                      <w:sz w:val="21"/>
                      <w:szCs w:val="21"/>
                    </w:rPr>
                    <w:t>加快淘</w:t>
                  </w:r>
                  <w:r>
                    <w:rPr>
                      <w:color w:val="auto"/>
                      <w:spacing w:val="9"/>
                      <w:sz w:val="21"/>
                      <w:szCs w:val="21"/>
                    </w:rPr>
                    <w:t>汰高耗能高排放老旧车</w:t>
                  </w:r>
                  <w:r>
                    <w:rPr>
                      <w:color w:val="auto"/>
                      <w:spacing w:val="10"/>
                      <w:sz w:val="21"/>
                      <w:szCs w:val="21"/>
                    </w:rPr>
                    <w:t>船。全面实施汽车国六排放标准和非道路移动柴油机械国四排放标</w:t>
                  </w:r>
                  <w:r>
                    <w:rPr>
                      <w:color w:val="auto"/>
                      <w:spacing w:val="9"/>
                      <w:sz w:val="21"/>
                      <w:szCs w:val="21"/>
                    </w:rPr>
                    <w:t>准</w:t>
                  </w:r>
                  <w:r>
                    <w:rPr>
                      <w:rFonts w:hint="eastAsia" w:eastAsia="宋体"/>
                      <w:color w:val="auto"/>
                      <w:spacing w:val="9"/>
                      <w:sz w:val="21"/>
                      <w:szCs w:val="21"/>
                      <w:lang w:eastAsia="zh-CN"/>
                    </w:rPr>
                    <w:t>。</w:t>
                  </w:r>
                  <w:r>
                    <w:rPr>
                      <w:color w:val="auto"/>
                      <w:spacing w:val="9"/>
                      <w:sz w:val="21"/>
                      <w:szCs w:val="21"/>
                    </w:rPr>
                    <w:t>深入实施清洁柴油</w:t>
                  </w:r>
                  <w:r>
                    <w:rPr>
                      <w:color w:val="auto"/>
                      <w:sz w:val="21"/>
                      <w:szCs w:val="21"/>
                    </w:rPr>
                    <w:t xml:space="preserve"> </w:t>
                  </w:r>
                  <w:r>
                    <w:rPr>
                      <w:color w:val="auto"/>
                      <w:spacing w:val="8"/>
                      <w:sz w:val="21"/>
                      <w:szCs w:val="21"/>
                    </w:rPr>
                    <w:t>机行动，鼓励重型柴油货车更新替代。</w:t>
                  </w:r>
                </w:p>
              </w:tc>
              <w:tc>
                <w:tcPr>
                  <w:tcW w:w="1082" w:type="pct"/>
                  <w:tcBorders>
                    <w:tl2br w:val="nil"/>
                    <w:tr2bl w:val="nil"/>
                  </w:tcBorders>
                  <w:noWrap w:val="0"/>
                  <w:vAlign w:val="center"/>
                </w:tcPr>
                <w:p w14:paraId="6F4DC501">
                  <w:pPr>
                    <w:pStyle w:val="3"/>
                    <w:bidi w:val="0"/>
                    <w:jc w:val="both"/>
                    <w:rPr>
                      <w:rFonts w:hint="eastAsia"/>
                      <w:color w:val="auto"/>
                      <w:sz w:val="21"/>
                      <w:szCs w:val="21"/>
                      <w:lang w:eastAsia="zh-CN"/>
                    </w:rPr>
                  </w:pPr>
                  <w:r>
                    <w:rPr>
                      <w:rFonts w:hint="eastAsia"/>
                      <w:color w:val="auto"/>
                      <w:sz w:val="21"/>
                      <w:szCs w:val="21"/>
                      <w:lang w:eastAsia="zh-CN"/>
                    </w:rPr>
                    <w:t>本项目不涉及上述内容。</w:t>
                  </w:r>
                </w:p>
              </w:tc>
              <w:tc>
                <w:tcPr>
                  <w:tcW w:w="742" w:type="pct"/>
                  <w:tcBorders>
                    <w:tl2br w:val="nil"/>
                    <w:tr2bl w:val="nil"/>
                  </w:tcBorders>
                  <w:noWrap w:val="0"/>
                  <w:vAlign w:val="center"/>
                </w:tcPr>
                <w:p w14:paraId="6982FB10">
                  <w:pPr>
                    <w:pStyle w:val="3"/>
                    <w:bidi w:val="0"/>
                    <w:rPr>
                      <w:rFonts w:hint="eastAsia"/>
                      <w:color w:val="auto"/>
                      <w:sz w:val="21"/>
                      <w:szCs w:val="21"/>
                      <w:lang w:eastAsia="zh-CN"/>
                    </w:rPr>
                  </w:pPr>
                  <w:r>
                    <w:rPr>
                      <w:rFonts w:hint="eastAsia"/>
                      <w:color w:val="auto"/>
                      <w:sz w:val="21"/>
                      <w:szCs w:val="21"/>
                      <w:lang w:eastAsia="zh-CN"/>
                    </w:rPr>
                    <w:t>符合</w:t>
                  </w:r>
                </w:p>
              </w:tc>
            </w:tr>
            <w:tr w14:paraId="0EB334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5B99D39D">
                  <w:pPr>
                    <w:pStyle w:val="3"/>
                    <w:bidi w:val="0"/>
                    <w:rPr>
                      <w:rFonts w:hint="default"/>
                      <w:color w:val="auto"/>
                      <w:sz w:val="21"/>
                      <w:szCs w:val="21"/>
                    </w:rPr>
                  </w:pPr>
                </w:p>
              </w:tc>
              <w:tc>
                <w:tcPr>
                  <w:tcW w:w="513" w:type="pct"/>
                  <w:vMerge w:val="continue"/>
                  <w:tcBorders>
                    <w:tl2br w:val="nil"/>
                    <w:tr2bl w:val="nil"/>
                  </w:tcBorders>
                  <w:noWrap w:val="0"/>
                  <w:vAlign w:val="center"/>
                </w:tcPr>
                <w:p w14:paraId="2A2CA7AA">
                  <w:pPr>
                    <w:pStyle w:val="3"/>
                    <w:bidi w:val="0"/>
                    <w:rPr>
                      <w:rFonts w:hint="default"/>
                      <w:color w:val="auto"/>
                      <w:sz w:val="21"/>
                      <w:szCs w:val="21"/>
                    </w:rPr>
                  </w:pPr>
                </w:p>
              </w:tc>
              <w:tc>
                <w:tcPr>
                  <w:tcW w:w="2137" w:type="pct"/>
                  <w:gridSpan w:val="2"/>
                  <w:tcBorders>
                    <w:tl2br w:val="nil"/>
                    <w:tr2bl w:val="nil"/>
                  </w:tcBorders>
                  <w:noWrap w:val="0"/>
                  <w:vAlign w:val="top"/>
                </w:tcPr>
                <w:p w14:paraId="563A0735">
                  <w:pPr>
                    <w:pStyle w:val="47"/>
                    <w:spacing w:before="65" w:line="267" w:lineRule="auto"/>
                    <w:ind w:left="0" w:leftChars="0" w:right="103" w:firstLine="0" w:firstLineChars="0"/>
                    <w:rPr>
                      <w:color w:val="auto"/>
                      <w:sz w:val="21"/>
                      <w:szCs w:val="21"/>
                    </w:rPr>
                  </w:pPr>
                  <w:r>
                    <w:rPr>
                      <w:color w:val="auto"/>
                      <w:spacing w:val="10"/>
                      <w:sz w:val="21"/>
                      <w:szCs w:val="21"/>
                    </w:rPr>
                    <w:t>加强农业面源污染治理。在长</w:t>
                  </w:r>
                  <w:r>
                    <w:rPr>
                      <w:color w:val="auto"/>
                      <w:spacing w:val="9"/>
                      <w:sz w:val="21"/>
                      <w:szCs w:val="21"/>
                    </w:rPr>
                    <w:t>江、乌江等重点河流沿线做好化肥农药减量示范</w:t>
                  </w:r>
                  <w:r>
                    <w:rPr>
                      <w:color w:val="auto"/>
                      <w:spacing w:val="10"/>
                      <w:sz w:val="21"/>
                      <w:szCs w:val="21"/>
                    </w:rPr>
                    <w:t>建设，加强对榨菜企业、加工大户的固体废物处置监管，榨菜</w:t>
                  </w:r>
                  <w:r>
                    <w:rPr>
                      <w:color w:val="auto"/>
                      <w:spacing w:val="9"/>
                      <w:sz w:val="21"/>
                      <w:szCs w:val="21"/>
                    </w:rPr>
                    <w:t>固废堆放点应采取防雨、防渗和防流失措施。开展水产养殖尾水处理和资源化利用，大力推进直排尾水养殖场整改，</w:t>
                  </w:r>
                  <w:r>
                    <w:rPr>
                      <w:color w:val="auto"/>
                      <w:spacing w:val="10"/>
                      <w:sz w:val="21"/>
                      <w:szCs w:val="21"/>
                    </w:rPr>
                    <w:t>禁止未经处理的养殖尾水直排江河湖库。推进农村污水治理与配</w:t>
                  </w:r>
                  <w:r>
                    <w:rPr>
                      <w:color w:val="auto"/>
                      <w:spacing w:val="9"/>
                      <w:sz w:val="21"/>
                      <w:szCs w:val="21"/>
                    </w:rPr>
                    <w:t>套管网建设，全面完成农</w:t>
                  </w:r>
                  <w:r>
                    <w:rPr>
                      <w:color w:val="auto"/>
                      <w:sz w:val="21"/>
                      <w:szCs w:val="21"/>
                    </w:rPr>
                    <w:t xml:space="preserve"> </w:t>
                  </w:r>
                  <w:r>
                    <w:rPr>
                      <w:color w:val="auto"/>
                      <w:spacing w:val="8"/>
                      <w:sz w:val="21"/>
                      <w:szCs w:val="21"/>
                    </w:rPr>
                    <w:t>村常住人口</w:t>
                  </w:r>
                  <w:r>
                    <w:rPr>
                      <w:rFonts w:ascii="Times New Roman" w:hAnsi="Times New Roman" w:eastAsia="Times New Roman" w:cs="Times New Roman"/>
                      <w:color w:val="auto"/>
                      <w:spacing w:val="8"/>
                      <w:sz w:val="21"/>
                      <w:szCs w:val="21"/>
                    </w:rPr>
                    <w:t>200</w:t>
                  </w:r>
                  <w:r>
                    <w:rPr>
                      <w:color w:val="auto"/>
                      <w:spacing w:val="8"/>
                      <w:sz w:val="21"/>
                      <w:szCs w:val="21"/>
                    </w:rPr>
                    <w:t>户</w:t>
                  </w:r>
                  <w:r>
                    <w:rPr>
                      <w:rFonts w:ascii="Times New Roman" w:hAnsi="Times New Roman" w:eastAsia="Times New Roman" w:cs="Times New Roman"/>
                      <w:color w:val="auto"/>
                      <w:spacing w:val="8"/>
                      <w:sz w:val="21"/>
                      <w:szCs w:val="21"/>
                    </w:rPr>
                    <w:t>(</w:t>
                  </w:r>
                  <w:r>
                    <w:rPr>
                      <w:color w:val="auto"/>
                      <w:spacing w:val="8"/>
                      <w:sz w:val="21"/>
                      <w:szCs w:val="21"/>
                    </w:rPr>
                    <w:t>或</w:t>
                  </w:r>
                  <w:r>
                    <w:rPr>
                      <w:color w:val="auto"/>
                      <w:spacing w:val="-35"/>
                      <w:sz w:val="21"/>
                      <w:szCs w:val="21"/>
                    </w:rPr>
                    <w:t xml:space="preserve"> </w:t>
                  </w:r>
                  <w:r>
                    <w:rPr>
                      <w:rFonts w:ascii="Times New Roman" w:hAnsi="Times New Roman" w:eastAsia="Times New Roman" w:cs="Times New Roman"/>
                      <w:color w:val="auto"/>
                      <w:spacing w:val="8"/>
                      <w:sz w:val="21"/>
                      <w:szCs w:val="21"/>
                    </w:rPr>
                    <w:t xml:space="preserve">500 </w:t>
                  </w:r>
                  <w:r>
                    <w:rPr>
                      <w:color w:val="auto"/>
                      <w:spacing w:val="8"/>
                      <w:sz w:val="21"/>
                      <w:szCs w:val="21"/>
                    </w:rPr>
                    <w:t>人</w:t>
                  </w:r>
                  <w:r>
                    <w:rPr>
                      <w:rFonts w:ascii="Times New Roman" w:hAnsi="Times New Roman" w:eastAsia="Times New Roman" w:cs="Times New Roman"/>
                      <w:color w:val="auto"/>
                      <w:spacing w:val="8"/>
                      <w:sz w:val="21"/>
                      <w:szCs w:val="21"/>
                    </w:rPr>
                    <w:t>)</w:t>
                  </w:r>
                  <w:r>
                    <w:rPr>
                      <w:color w:val="auto"/>
                      <w:spacing w:val="8"/>
                      <w:sz w:val="21"/>
                      <w:szCs w:val="21"/>
                    </w:rPr>
                    <w:t>以</w:t>
                  </w:r>
                  <w:r>
                    <w:rPr>
                      <w:color w:val="auto"/>
                      <w:spacing w:val="7"/>
                      <w:sz w:val="21"/>
                      <w:szCs w:val="21"/>
                    </w:rPr>
                    <w:t>上的人口集聚点的生活污水治理。推进规模化畜禽养殖场污</w:t>
                  </w:r>
                  <w:r>
                    <w:rPr>
                      <w:color w:val="auto"/>
                      <w:spacing w:val="10"/>
                      <w:sz w:val="21"/>
                      <w:szCs w:val="21"/>
                    </w:rPr>
                    <w:t>染治理设施建设，加强病死及病害动物无害化处理，通过养殖场</w:t>
                  </w:r>
                  <w:r>
                    <w:rPr>
                      <w:color w:val="auto"/>
                      <w:spacing w:val="9"/>
                      <w:sz w:val="21"/>
                      <w:szCs w:val="21"/>
                    </w:rPr>
                    <w:t>入果园、养殖场周边建</w:t>
                  </w:r>
                  <w:r>
                    <w:rPr>
                      <w:color w:val="auto"/>
                      <w:sz w:val="21"/>
                      <w:szCs w:val="21"/>
                    </w:rPr>
                    <w:t xml:space="preserve"> </w:t>
                  </w:r>
                  <w:r>
                    <w:rPr>
                      <w:color w:val="auto"/>
                      <w:spacing w:val="9"/>
                      <w:sz w:val="21"/>
                      <w:szCs w:val="21"/>
                    </w:rPr>
                    <w:t>种植基地、推广发酵床零排放养猪等措施，加强畜禽粪污无害化处理和综合利用。</w:t>
                  </w:r>
                </w:p>
              </w:tc>
              <w:tc>
                <w:tcPr>
                  <w:tcW w:w="1082" w:type="pct"/>
                  <w:tcBorders>
                    <w:tl2br w:val="nil"/>
                    <w:tr2bl w:val="nil"/>
                  </w:tcBorders>
                  <w:noWrap w:val="0"/>
                  <w:vAlign w:val="center"/>
                </w:tcPr>
                <w:p w14:paraId="2288D2DD">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本项目不涉及农业面源的污染治理；本项目不属于榨菜生产项目，不属于水产养殖项目；本项目不涉及农村污水治理，本项目不属于</w:t>
                  </w:r>
                  <w:r>
                    <w:rPr>
                      <w:color w:val="auto"/>
                      <w:spacing w:val="7"/>
                      <w:sz w:val="21"/>
                      <w:szCs w:val="21"/>
                    </w:rPr>
                    <w:t>模化畜禽养殖场</w:t>
                  </w:r>
                  <w:r>
                    <w:rPr>
                      <w:rFonts w:hint="eastAsia" w:eastAsia="宋体"/>
                      <w:color w:val="auto"/>
                      <w:spacing w:val="7"/>
                      <w:sz w:val="21"/>
                      <w:szCs w:val="21"/>
                      <w:lang w:eastAsia="zh-CN"/>
                    </w:rPr>
                    <w:t>项目。</w:t>
                  </w:r>
                </w:p>
              </w:tc>
              <w:tc>
                <w:tcPr>
                  <w:tcW w:w="742" w:type="pct"/>
                  <w:tcBorders>
                    <w:tl2br w:val="nil"/>
                    <w:tr2bl w:val="nil"/>
                  </w:tcBorders>
                  <w:noWrap w:val="0"/>
                  <w:vAlign w:val="center"/>
                </w:tcPr>
                <w:p w14:paraId="198574C2">
                  <w:pPr>
                    <w:pStyle w:val="3"/>
                    <w:bidi w:val="0"/>
                    <w:rPr>
                      <w:rFonts w:hint="eastAsia"/>
                      <w:color w:val="auto"/>
                      <w:sz w:val="21"/>
                      <w:szCs w:val="21"/>
                      <w:lang w:eastAsia="zh-CN"/>
                    </w:rPr>
                  </w:pPr>
                  <w:r>
                    <w:rPr>
                      <w:rFonts w:hint="eastAsia"/>
                      <w:color w:val="auto"/>
                      <w:sz w:val="21"/>
                      <w:szCs w:val="21"/>
                      <w:lang w:eastAsia="zh-CN"/>
                    </w:rPr>
                    <w:t>符合</w:t>
                  </w:r>
                </w:p>
              </w:tc>
            </w:tr>
            <w:tr w14:paraId="07B608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58A2CBD1">
                  <w:pPr>
                    <w:pStyle w:val="3"/>
                    <w:bidi w:val="0"/>
                    <w:rPr>
                      <w:rFonts w:hint="default"/>
                      <w:color w:val="auto"/>
                      <w:sz w:val="21"/>
                      <w:szCs w:val="21"/>
                    </w:rPr>
                  </w:pPr>
                </w:p>
              </w:tc>
              <w:tc>
                <w:tcPr>
                  <w:tcW w:w="513" w:type="pct"/>
                  <w:vMerge w:val="continue"/>
                  <w:tcBorders>
                    <w:tl2br w:val="nil"/>
                    <w:tr2bl w:val="nil"/>
                  </w:tcBorders>
                  <w:noWrap w:val="0"/>
                  <w:vAlign w:val="center"/>
                </w:tcPr>
                <w:p w14:paraId="79F18A77">
                  <w:pPr>
                    <w:pStyle w:val="3"/>
                    <w:bidi w:val="0"/>
                    <w:rPr>
                      <w:rFonts w:hint="default"/>
                      <w:color w:val="auto"/>
                      <w:sz w:val="21"/>
                      <w:szCs w:val="21"/>
                    </w:rPr>
                  </w:pPr>
                </w:p>
              </w:tc>
              <w:tc>
                <w:tcPr>
                  <w:tcW w:w="2137" w:type="pct"/>
                  <w:gridSpan w:val="2"/>
                  <w:tcBorders>
                    <w:tl2br w:val="nil"/>
                    <w:tr2bl w:val="nil"/>
                  </w:tcBorders>
                  <w:noWrap w:val="0"/>
                  <w:vAlign w:val="top"/>
                </w:tcPr>
                <w:p w14:paraId="65460321">
                  <w:pPr>
                    <w:pStyle w:val="3"/>
                    <w:bidi w:val="0"/>
                    <w:jc w:val="both"/>
                    <w:rPr>
                      <w:rFonts w:hint="eastAsia" w:eastAsia="宋体"/>
                      <w:color w:val="auto"/>
                      <w:sz w:val="21"/>
                      <w:szCs w:val="21"/>
                      <w:lang w:eastAsia="zh-CN"/>
                    </w:rPr>
                  </w:pPr>
                  <w:r>
                    <w:rPr>
                      <w:color w:val="auto"/>
                      <w:spacing w:val="10"/>
                      <w:sz w:val="21"/>
                      <w:szCs w:val="21"/>
                    </w:rPr>
                    <w:t>加强尾矿库环境监管。严格落</w:t>
                  </w:r>
                  <w:r>
                    <w:rPr>
                      <w:color w:val="auto"/>
                      <w:spacing w:val="9"/>
                      <w:sz w:val="21"/>
                      <w:szCs w:val="21"/>
                    </w:rPr>
                    <w:t>实《中华人民共和国长江保护法》，长江干流岸</w:t>
                  </w:r>
                  <w:r>
                    <w:rPr>
                      <w:color w:val="auto"/>
                      <w:spacing w:val="8"/>
                      <w:sz w:val="21"/>
                      <w:szCs w:val="21"/>
                    </w:rPr>
                    <w:t>线</w:t>
                  </w:r>
                  <w:r>
                    <w:rPr>
                      <w:color w:val="auto"/>
                      <w:spacing w:val="-36"/>
                      <w:sz w:val="21"/>
                      <w:szCs w:val="21"/>
                    </w:rPr>
                    <w:t xml:space="preserve"> </w:t>
                  </w:r>
                  <w:r>
                    <w:rPr>
                      <w:rFonts w:ascii="Times New Roman" w:hAnsi="Times New Roman" w:eastAsia="Times New Roman" w:cs="Times New Roman"/>
                      <w:color w:val="auto"/>
                      <w:spacing w:val="8"/>
                      <w:sz w:val="21"/>
                      <w:szCs w:val="21"/>
                    </w:rPr>
                    <w:t>3</w:t>
                  </w:r>
                  <w:r>
                    <w:rPr>
                      <w:color w:val="auto"/>
                      <w:spacing w:val="8"/>
                      <w:sz w:val="21"/>
                      <w:szCs w:val="21"/>
                    </w:rPr>
                    <w:t>公里范围内和重要支流岸线</w:t>
                  </w:r>
                  <w:r>
                    <w:rPr>
                      <w:color w:val="auto"/>
                      <w:spacing w:val="-21"/>
                      <w:sz w:val="21"/>
                      <w:szCs w:val="21"/>
                    </w:rPr>
                    <w:t xml:space="preserve"> </w:t>
                  </w:r>
                  <w:r>
                    <w:rPr>
                      <w:rFonts w:ascii="Times New Roman" w:hAnsi="Times New Roman" w:eastAsia="Times New Roman" w:cs="Times New Roman"/>
                      <w:color w:val="auto"/>
                      <w:spacing w:val="8"/>
                      <w:sz w:val="21"/>
                      <w:szCs w:val="21"/>
                    </w:rPr>
                    <w:t>1</w:t>
                  </w:r>
                  <w:r>
                    <w:rPr>
                      <w:color w:val="auto"/>
                      <w:spacing w:val="8"/>
                      <w:sz w:val="21"/>
                      <w:szCs w:val="21"/>
                    </w:rPr>
                    <w:t>公里范围内原则上不新（改、</w:t>
                  </w:r>
                  <w:r>
                    <w:rPr>
                      <w:color w:val="auto"/>
                      <w:spacing w:val="7"/>
                      <w:sz w:val="21"/>
                      <w:szCs w:val="21"/>
                    </w:rPr>
                    <w:t>扩）建尾矿库。梳理排查</w:t>
                  </w:r>
                  <w:r>
                    <w:rPr>
                      <w:color w:val="auto"/>
                      <w:spacing w:val="9"/>
                      <w:sz w:val="21"/>
                      <w:szCs w:val="21"/>
                    </w:rPr>
                    <w:t>尾矿库环境污染问题，建立问题整改台账清单</w:t>
                  </w:r>
                  <w:r>
                    <w:rPr>
                      <w:rFonts w:hint="eastAsia" w:eastAsia="宋体"/>
                      <w:color w:val="auto"/>
                      <w:spacing w:val="9"/>
                      <w:sz w:val="21"/>
                      <w:szCs w:val="21"/>
                      <w:lang w:eastAsia="zh-CN"/>
                    </w:rPr>
                    <w:t>。</w:t>
                  </w:r>
                </w:p>
              </w:tc>
              <w:tc>
                <w:tcPr>
                  <w:tcW w:w="1082" w:type="pct"/>
                  <w:tcBorders>
                    <w:tl2br w:val="nil"/>
                    <w:tr2bl w:val="nil"/>
                  </w:tcBorders>
                  <w:noWrap w:val="0"/>
                  <w:vAlign w:val="center"/>
                </w:tcPr>
                <w:p w14:paraId="784A03B4">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本项目不属于</w:t>
                  </w:r>
                  <w:r>
                    <w:rPr>
                      <w:color w:val="auto"/>
                      <w:spacing w:val="10"/>
                      <w:sz w:val="21"/>
                      <w:szCs w:val="21"/>
                    </w:rPr>
                    <w:t>尾矿库</w:t>
                  </w:r>
                  <w:r>
                    <w:rPr>
                      <w:rFonts w:hint="eastAsia" w:eastAsia="宋体"/>
                      <w:color w:val="auto"/>
                      <w:spacing w:val="10"/>
                      <w:sz w:val="21"/>
                      <w:szCs w:val="21"/>
                      <w:lang w:eastAsia="zh-CN"/>
                    </w:rPr>
                    <w:t>项目</w:t>
                  </w:r>
                </w:p>
              </w:tc>
              <w:tc>
                <w:tcPr>
                  <w:tcW w:w="742" w:type="pct"/>
                  <w:tcBorders>
                    <w:tl2br w:val="nil"/>
                    <w:tr2bl w:val="nil"/>
                  </w:tcBorders>
                  <w:noWrap w:val="0"/>
                  <w:vAlign w:val="center"/>
                </w:tcPr>
                <w:p w14:paraId="79A42FE1">
                  <w:pPr>
                    <w:pStyle w:val="3"/>
                    <w:bidi w:val="0"/>
                    <w:rPr>
                      <w:rFonts w:hint="eastAsia"/>
                      <w:color w:val="auto"/>
                      <w:sz w:val="21"/>
                      <w:szCs w:val="21"/>
                      <w:lang w:eastAsia="zh-CN"/>
                    </w:rPr>
                  </w:pPr>
                  <w:r>
                    <w:rPr>
                      <w:rFonts w:hint="eastAsia"/>
                      <w:color w:val="auto"/>
                      <w:sz w:val="21"/>
                      <w:szCs w:val="21"/>
                      <w:lang w:eastAsia="zh-CN"/>
                    </w:rPr>
                    <w:t>符合</w:t>
                  </w:r>
                </w:p>
              </w:tc>
            </w:tr>
            <w:tr w14:paraId="42F56A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096B7822">
                  <w:pPr>
                    <w:pStyle w:val="3"/>
                    <w:bidi w:val="0"/>
                    <w:rPr>
                      <w:rFonts w:hint="default"/>
                      <w:color w:val="auto"/>
                      <w:sz w:val="21"/>
                      <w:szCs w:val="21"/>
                    </w:rPr>
                  </w:pPr>
                </w:p>
              </w:tc>
              <w:tc>
                <w:tcPr>
                  <w:tcW w:w="513" w:type="pct"/>
                  <w:vMerge w:val="continue"/>
                  <w:tcBorders>
                    <w:tl2br w:val="nil"/>
                    <w:tr2bl w:val="nil"/>
                  </w:tcBorders>
                  <w:noWrap w:val="0"/>
                  <w:vAlign w:val="center"/>
                </w:tcPr>
                <w:p w14:paraId="2EA251BD">
                  <w:pPr>
                    <w:pStyle w:val="3"/>
                    <w:bidi w:val="0"/>
                    <w:rPr>
                      <w:rFonts w:hint="default"/>
                      <w:color w:val="auto"/>
                      <w:sz w:val="21"/>
                      <w:szCs w:val="21"/>
                    </w:rPr>
                  </w:pPr>
                </w:p>
              </w:tc>
              <w:tc>
                <w:tcPr>
                  <w:tcW w:w="2137" w:type="pct"/>
                  <w:gridSpan w:val="2"/>
                  <w:tcBorders>
                    <w:tl2br w:val="nil"/>
                    <w:tr2bl w:val="nil"/>
                  </w:tcBorders>
                  <w:noWrap w:val="0"/>
                  <w:vAlign w:val="top"/>
                </w:tcPr>
                <w:p w14:paraId="53CC7C6F">
                  <w:pPr>
                    <w:pStyle w:val="3"/>
                    <w:bidi w:val="0"/>
                    <w:jc w:val="both"/>
                    <w:rPr>
                      <w:rFonts w:hint="eastAsia" w:eastAsia="宋体"/>
                      <w:color w:val="auto"/>
                      <w:sz w:val="21"/>
                      <w:szCs w:val="21"/>
                      <w:lang w:eastAsia="zh-CN"/>
                    </w:rPr>
                  </w:pPr>
                  <w:r>
                    <w:rPr>
                      <w:color w:val="auto"/>
                      <w:spacing w:val="10"/>
                      <w:sz w:val="21"/>
                      <w:szCs w:val="21"/>
                    </w:rPr>
                    <w:t>开展矿区生态修复。完成历史</w:t>
                  </w:r>
                  <w:r>
                    <w:rPr>
                      <w:color w:val="auto"/>
                      <w:spacing w:val="9"/>
                      <w:sz w:val="21"/>
                      <w:szCs w:val="21"/>
                    </w:rPr>
                    <w:t>遗留矿山生态修复，开展矿山开采损毁土地治理</w:t>
                  </w:r>
                  <w:r>
                    <w:rPr>
                      <w:color w:val="auto"/>
                      <w:spacing w:val="4"/>
                      <w:sz w:val="21"/>
                      <w:szCs w:val="21"/>
                    </w:rPr>
                    <w:t>恢复，恢复矿区生态环境。推进矿区损毁土地</w:t>
                  </w:r>
                  <w:r>
                    <w:rPr>
                      <w:color w:val="auto"/>
                      <w:spacing w:val="3"/>
                      <w:sz w:val="21"/>
                      <w:szCs w:val="21"/>
                    </w:rPr>
                    <w:t>复垦，加强新建、在建矿山管理，严格落实</w:t>
                  </w:r>
                  <w:r>
                    <w:rPr>
                      <w:rFonts w:ascii="Times New Roman" w:hAnsi="Times New Roman" w:eastAsia="Times New Roman" w:cs="Times New Roman"/>
                      <w:color w:val="auto"/>
                      <w:spacing w:val="3"/>
                      <w:sz w:val="21"/>
                      <w:szCs w:val="21"/>
                    </w:rPr>
                    <w:t>“</w:t>
                  </w:r>
                  <w:r>
                    <w:rPr>
                      <w:color w:val="auto"/>
                      <w:spacing w:val="3"/>
                      <w:sz w:val="21"/>
                      <w:szCs w:val="21"/>
                    </w:rPr>
                    <w:t>边</w:t>
                  </w:r>
                  <w:r>
                    <w:rPr>
                      <w:color w:val="auto"/>
                      <w:sz w:val="21"/>
                      <w:szCs w:val="21"/>
                    </w:rPr>
                    <w:t xml:space="preserve"> </w:t>
                  </w:r>
                  <w:r>
                    <w:rPr>
                      <w:color w:val="auto"/>
                      <w:spacing w:val="8"/>
                      <w:sz w:val="21"/>
                      <w:szCs w:val="21"/>
                    </w:rPr>
                    <w:t>开采、边保护、边复垦</w:t>
                  </w:r>
                  <w:r>
                    <w:rPr>
                      <w:rFonts w:ascii="Times New Roman" w:hAnsi="Times New Roman" w:eastAsia="Times New Roman" w:cs="Times New Roman"/>
                      <w:color w:val="auto"/>
                      <w:spacing w:val="8"/>
                      <w:sz w:val="21"/>
                      <w:szCs w:val="21"/>
                    </w:rPr>
                    <w:t>”</w:t>
                  </w:r>
                  <w:r>
                    <w:rPr>
                      <w:color w:val="auto"/>
                      <w:spacing w:val="8"/>
                      <w:sz w:val="21"/>
                      <w:szCs w:val="21"/>
                    </w:rPr>
                    <w:t>措施</w:t>
                  </w:r>
                  <w:r>
                    <w:rPr>
                      <w:rFonts w:hint="eastAsia" w:eastAsia="宋体"/>
                      <w:color w:val="auto"/>
                      <w:spacing w:val="8"/>
                      <w:sz w:val="21"/>
                      <w:szCs w:val="21"/>
                      <w:lang w:eastAsia="zh-CN"/>
                    </w:rPr>
                    <w:t>。</w:t>
                  </w:r>
                </w:p>
              </w:tc>
              <w:tc>
                <w:tcPr>
                  <w:tcW w:w="1082" w:type="pct"/>
                  <w:tcBorders>
                    <w:tl2br w:val="nil"/>
                    <w:tr2bl w:val="nil"/>
                  </w:tcBorders>
                  <w:noWrap w:val="0"/>
                  <w:vAlign w:val="center"/>
                </w:tcPr>
                <w:p w14:paraId="5F9A3779">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本项目不涉及矿区生态修复。</w:t>
                  </w:r>
                </w:p>
              </w:tc>
              <w:tc>
                <w:tcPr>
                  <w:tcW w:w="742" w:type="pct"/>
                  <w:tcBorders>
                    <w:tl2br w:val="nil"/>
                    <w:tr2bl w:val="nil"/>
                  </w:tcBorders>
                  <w:noWrap w:val="0"/>
                  <w:vAlign w:val="center"/>
                </w:tcPr>
                <w:p w14:paraId="0AD970A4">
                  <w:pPr>
                    <w:pStyle w:val="3"/>
                    <w:bidi w:val="0"/>
                    <w:rPr>
                      <w:rFonts w:hint="eastAsia"/>
                      <w:color w:val="auto"/>
                      <w:sz w:val="21"/>
                      <w:szCs w:val="21"/>
                      <w:lang w:eastAsia="zh-CN"/>
                    </w:rPr>
                  </w:pPr>
                  <w:r>
                    <w:rPr>
                      <w:rFonts w:hint="eastAsia"/>
                      <w:color w:val="auto"/>
                      <w:sz w:val="21"/>
                      <w:szCs w:val="21"/>
                      <w:lang w:eastAsia="zh-CN"/>
                    </w:rPr>
                    <w:t>符合</w:t>
                  </w:r>
                </w:p>
              </w:tc>
            </w:tr>
            <w:tr w14:paraId="618639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2FB87624">
                  <w:pPr>
                    <w:pStyle w:val="3"/>
                    <w:bidi w:val="0"/>
                    <w:rPr>
                      <w:rFonts w:hint="default"/>
                      <w:color w:val="auto"/>
                      <w:sz w:val="21"/>
                      <w:szCs w:val="21"/>
                    </w:rPr>
                  </w:pPr>
                </w:p>
              </w:tc>
              <w:tc>
                <w:tcPr>
                  <w:tcW w:w="513" w:type="pct"/>
                  <w:vMerge w:val="restart"/>
                  <w:tcBorders>
                    <w:tl2br w:val="nil"/>
                    <w:tr2bl w:val="nil"/>
                  </w:tcBorders>
                  <w:noWrap w:val="0"/>
                  <w:vAlign w:val="center"/>
                </w:tcPr>
                <w:p w14:paraId="48D55378">
                  <w:pPr>
                    <w:pStyle w:val="3"/>
                    <w:bidi w:val="0"/>
                    <w:rPr>
                      <w:rFonts w:hint="default"/>
                      <w:color w:val="auto"/>
                      <w:sz w:val="21"/>
                      <w:szCs w:val="21"/>
                    </w:rPr>
                  </w:pPr>
                  <w:r>
                    <w:rPr>
                      <w:rFonts w:hint="default"/>
                      <w:color w:val="auto"/>
                      <w:sz w:val="21"/>
                      <w:szCs w:val="21"/>
                    </w:rPr>
                    <w:t>环境风险防控</w:t>
                  </w:r>
                </w:p>
              </w:tc>
              <w:tc>
                <w:tcPr>
                  <w:tcW w:w="2137" w:type="pct"/>
                  <w:gridSpan w:val="2"/>
                  <w:tcBorders>
                    <w:tl2br w:val="nil"/>
                    <w:tr2bl w:val="nil"/>
                  </w:tcBorders>
                  <w:noWrap w:val="0"/>
                  <w:vAlign w:val="center"/>
                </w:tcPr>
                <w:p w14:paraId="617F694C">
                  <w:pPr>
                    <w:pStyle w:val="3"/>
                    <w:bidi w:val="0"/>
                    <w:jc w:val="both"/>
                    <w:rPr>
                      <w:rFonts w:hint="eastAsia" w:eastAsia="宋体"/>
                      <w:color w:val="auto"/>
                      <w:sz w:val="21"/>
                      <w:szCs w:val="21"/>
                      <w:lang w:eastAsia="zh-CN"/>
                    </w:rPr>
                  </w:pPr>
                  <w:r>
                    <w:rPr>
                      <w:color w:val="auto"/>
                      <w:spacing w:val="9"/>
                      <w:sz w:val="21"/>
                      <w:szCs w:val="21"/>
                    </w:rPr>
                    <w:t xml:space="preserve"> 执行重点管控单元市级总体要求第十六条、第十七条</w:t>
                  </w:r>
                  <w:r>
                    <w:rPr>
                      <w:rFonts w:hint="eastAsia" w:eastAsia="宋体"/>
                      <w:color w:val="auto"/>
                      <w:spacing w:val="9"/>
                      <w:sz w:val="21"/>
                      <w:szCs w:val="21"/>
                      <w:lang w:eastAsia="zh-CN"/>
                    </w:rPr>
                    <w:t>。</w:t>
                  </w:r>
                </w:p>
              </w:tc>
              <w:tc>
                <w:tcPr>
                  <w:tcW w:w="1082" w:type="pct"/>
                  <w:tcBorders>
                    <w:tl2br w:val="nil"/>
                    <w:tr2bl w:val="nil"/>
                  </w:tcBorders>
                  <w:noWrap w:val="0"/>
                  <w:vAlign w:val="center"/>
                </w:tcPr>
                <w:p w14:paraId="6BA8DCF2">
                  <w:pPr>
                    <w:pStyle w:val="3"/>
                    <w:bidi w:val="0"/>
                    <w:jc w:val="both"/>
                    <w:rPr>
                      <w:rFonts w:hint="eastAsia" w:eastAsia="宋体"/>
                      <w:color w:val="auto"/>
                      <w:sz w:val="21"/>
                      <w:szCs w:val="21"/>
                      <w:lang w:eastAsia="zh-CN"/>
                    </w:rPr>
                  </w:pPr>
                  <w:r>
                    <w:rPr>
                      <w:rFonts w:hint="eastAsia"/>
                      <w:color w:val="auto"/>
                      <w:sz w:val="21"/>
                      <w:szCs w:val="21"/>
                      <w:lang w:eastAsia="zh-CN"/>
                    </w:rPr>
                    <w:t>本项目满足</w:t>
                  </w:r>
                  <w:r>
                    <w:rPr>
                      <w:bCs/>
                      <w:color w:val="auto"/>
                      <w:sz w:val="21"/>
                      <w:szCs w:val="21"/>
                    </w:rPr>
                    <w:t>市级总体要求</w:t>
                  </w:r>
                  <w:r>
                    <w:rPr>
                      <w:color w:val="auto"/>
                      <w:spacing w:val="9"/>
                      <w:sz w:val="21"/>
                      <w:szCs w:val="21"/>
                    </w:rPr>
                    <w:t>第十六条、第十七条</w:t>
                  </w:r>
                  <w:r>
                    <w:rPr>
                      <w:rFonts w:hint="eastAsia" w:eastAsia="宋体"/>
                      <w:color w:val="auto"/>
                      <w:spacing w:val="9"/>
                      <w:sz w:val="21"/>
                      <w:szCs w:val="21"/>
                      <w:lang w:eastAsia="zh-CN"/>
                    </w:rPr>
                    <w:t>。</w:t>
                  </w:r>
                </w:p>
              </w:tc>
              <w:tc>
                <w:tcPr>
                  <w:tcW w:w="742" w:type="pct"/>
                  <w:tcBorders>
                    <w:tl2br w:val="nil"/>
                    <w:tr2bl w:val="nil"/>
                  </w:tcBorders>
                  <w:noWrap w:val="0"/>
                  <w:vAlign w:val="center"/>
                </w:tcPr>
                <w:p w14:paraId="5F5DF318">
                  <w:pPr>
                    <w:pStyle w:val="3"/>
                    <w:bidi w:val="0"/>
                    <w:rPr>
                      <w:rFonts w:hint="eastAsia"/>
                      <w:color w:val="auto"/>
                      <w:sz w:val="21"/>
                      <w:szCs w:val="21"/>
                      <w:lang w:eastAsia="zh-CN"/>
                    </w:rPr>
                  </w:pPr>
                  <w:r>
                    <w:rPr>
                      <w:rFonts w:hint="eastAsia"/>
                      <w:color w:val="auto"/>
                      <w:sz w:val="21"/>
                      <w:szCs w:val="21"/>
                      <w:lang w:eastAsia="zh-CN"/>
                    </w:rPr>
                    <w:t>符合</w:t>
                  </w:r>
                </w:p>
              </w:tc>
            </w:tr>
            <w:tr w14:paraId="0A0DC1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3770C62A">
                  <w:pPr>
                    <w:pStyle w:val="3"/>
                    <w:bidi w:val="0"/>
                    <w:rPr>
                      <w:rFonts w:hint="default"/>
                      <w:color w:val="auto"/>
                      <w:sz w:val="21"/>
                      <w:szCs w:val="21"/>
                    </w:rPr>
                  </w:pPr>
                </w:p>
              </w:tc>
              <w:tc>
                <w:tcPr>
                  <w:tcW w:w="513" w:type="pct"/>
                  <w:vMerge w:val="continue"/>
                  <w:tcBorders>
                    <w:tl2br w:val="nil"/>
                    <w:tr2bl w:val="nil"/>
                  </w:tcBorders>
                  <w:noWrap w:val="0"/>
                  <w:vAlign w:val="center"/>
                </w:tcPr>
                <w:p w14:paraId="585F378C">
                  <w:pPr>
                    <w:pStyle w:val="3"/>
                    <w:bidi w:val="0"/>
                    <w:rPr>
                      <w:rFonts w:hint="default"/>
                      <w:color w:val="auto"/>
                      <w:sz w:val="21"/>
                      <w:szCs w:val="21"/>
                    </w:rPr>
                  </w:pPr>
                </w:p>
              </w:tc>
              <w:tc>
                <w:tcPr>
                  <w:tcW w:w="2137" w:type="pct"/>
                  <w:gridSpan w:val="2"/>
                  <w:tcBorders>
                    <w:tl2br w:val="nil"/>
                    <w:tr2bl w:val="nil"/>
                  </w:tcBorders>
                  <w:noWrap w:val="0"/>
                  <w:vAlign w:val="top"/>
                </w:tcPr>
                <w:p w14:paraId="3B4633ED">
                  <w:pPr>
                    <w:pStyle w:val="3"/>
                    <w:bidi w:val="0"/>
                    <w:jc w:val="both"/>
                    <w:rPr>
                      <w:color w:val="auto"/>
                      <w:sz w:val="21"/>
                      <w:szCs w:val="21"/>
                    </w:rPr>
                  </w:pPr>
                  <w:r>
                    <w:rPr>
                      <w:color w:val="auto"/>
                      <w:spacing w:val="8"/>
                      <w:sz w:val="21"/>
                      <w:szCs w:val="21"/>
                    </w:rPr>
                    <w:t>加强工业园区水环境风险防范。完善临港经济区化工产业园区、</w:t>
                  </w:r>
                  <w:r>
                    <w:rPr>
                      <w:color w:val="auto"/>
                      <w:spacing w:val="-41"/>
                      <w:sz w:val="21"/>
                      <w:szCs w:val="21"/>
                    </w:rPr>
                    <w:t xml:space="preserve"> </w:t>
                  </w:r>
                  <w:r>
                    <w:rPr>
                      <w:color w:val="auto"/>
                      <w:spacing w:val="8"/>
                      <w:sz w:val="21"/>
                      <w:szCs w:val="21"/>
                    </w:rPr>
                    <w:t>白涛化工新材</w:t>
                  </w:r>
                  <w:r>
                    <w:rPr>
                      <w:color w:val="auto"/>
                      <w:sz w:val="21"/>
                      <w:szCs w:val="21"/>
                    </w:rPr>
                    <w:t xml:space="preserve"> </w:t>
                  </w:r>
                  <w:r>
                    <w:rPr>
                      <w:color w:val="auto"/>
                      <w:spacing w:val="10"/>
                      <w:sz w:val="21"/>
                      <w:szCs w:val="21"/>
                    </w:rPr>
                    <w:t>料产业园环境风险防控建设，加强入园企业环</w:t>
                  </w:r>
                  <w:r>
                    <w:rPr>
                      <w:color w:val="auto"/>
                      <w:spacing w:val="9"/>
                      <w:sz w:val="21"/>
                      <w:szCs w:val="21"/>
                    </w:rPr>
                    <w:t>境风险防范设施管理，不断健全“装置级、</w:t>
                  </w:r>
                  <w:r>
                    <w:rPr>
                      <w:color w:val="auto"/>
                      <w:spacing w:val="8"/>
                      <w:sz w:val="21"/>
                      <w:szCs w:val="21"/>
                    </w:rPr>
                    <w:t>企业级、园区级、流域级</w:t>
                  </w:r>
                  <w:r>
                    <w:rPr>
                      <w:color w:val="auto"/>
                      <w:spacing w:val="-70"/>
                      <w:sz w:val="21"/>
                      <w:szCs w:val="21"/>
                    </w:rPr>
                    <w:t xml:space="preserve"> </w:t>
                  </w:r>
                  <w:r>
                    <w:rPr>
                      <w:color w:val="auto"/>
                      <w:spacing w:val="8"/>
                      <w:sz w:val="21"/>
                      <w:szCs w:val="21"/>
                    </w:rPr>
                    <w:t>”四级突发环境事件风险防控体系。</w:t>
                  </w:r>
                </w:p>
              </w:tc>
              <w:tc>
                <w:tcPr>
                  <w:tcW w:w="1082" w:type="pct"/>
                  <w:tcBorders>
                    <w:tl2br w:val="nil"/>
                    <w:tr2bl w:val="nil"/>
                  </w:tcBorders>
                  <w:noWrap w:val="0"/>
                  <w:vAlign w:val="center"/>
                </w:tcPr>
                <w:p w14:paraId="19706961">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本项目采取了相应的水环境风险防范措施，环境风险可控。</w:t>
                  </w:r>
                </w:p>
              </w:tc>
              <w:tc>
                <w:tcPr>
                  <w:tcW w:w="742" w:type="pct"/>
                  <w:tcBorders>
                    <w:tl2br w:val="nil"/>
                    <w:tr2bl w:val="nil"/>
                  </w:tcBorders>
                  <w:noWrap w:val="0"/>
                  <w:vAlign w:val="center"/>
                </w:tcPr>
                <w:p w14:paraId="79E58DBC">
                  <w:pPr>
                    <w:pStyle w:val="3"/>
                    <w:bidi w:val="0"/>
                    <w:rPr>
                      <w:rFonts w:hint="eastAsia"/>
                      <w:color w:val="auto"/>
                      <w:sz w:val="21"/>
                      <w:szCs w:val="21"/>
                      <w:lang w:eastAsia="zh-CN"/>
                    </w:rPr>
                  </w:pPr>
                  <w:r>
                    <w:rPr>
                      <w:rFonts w:hint="eastAsia"/>
                      <w:color w:val="auto"/>
                      <w:sz w:val="21"/>
                      <w:szCs w:val="21"/>
                      <w:lang w:eastAsia="zh-CN"/>
                    </w:rPr>
                    <w:t>符合</w:t>
                  </w:r>
                </w:p>
              </w:tc>
            </w:tr>
            <w:tr w14:paraId="5F0644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25" w:type="pct"/>
                  <w:vMerge w:val="continue"/>
                  <w:tcBorders>
                    <w:tl2br w:val="nil"/>
                    <w:tr2bl w:val="nil"/>
                  </w:tcBorders>
                  <w:noWrap w:val="0"/>
                  <w:vAlign w:val="center"/>
                </w:tcPr>
                <w:p w14:paraId="42452E64">
                  <w:pPr>
                    <w:pStyle w:val="3"/>
                    <w:bidi w:val="0"/>
                    <w:rPr>
                      <w:rFonts w:hint="default"/>
                      <w:color w:val="auto"/>
                      <w:sz w:val="21"/>
                      <w:szCs w:val="21"/>
                    </w:rPr>
                  </w:pPr>
                </w:p>
              </w:tc>
              <w:tc>
                <w:tcPr>
                  <w:tcW w:w="513" w:type="pct"/>
                  <w:vMerge w:val="continue"/>
                  <w:tcBorders>
                    <w:tl2br w:val="nil"/>
                    <w:tr2bl w:val="nil"/>
                  </w:tcBorders>
                  <w:noWrap w:val="0"/>
                  <w:vAlign w:val="center"/>
                </w:tcPr>
                <w:p w14:paraId="03312ABF">
                  <w:pPr>
                    <w:pStyle w:val="3"/>
                    <w:bidi w:val="0"/>
                    <w:rPr>
                      <w:rFonts w:hint="default"/>
                      <w:color w:val="auto"/>
                      <w:sz w:val="21"/>
                      <w:szCs w:val="21"/>
                    </w:rPr>
                  </w:pPr>
                </w:p>
              </w:tc>
              <w:tc>
                <w:tcPr>
                  <w:tcW w:w="2137" w:type="pct"/>
                  <w:gridSpan w:val="2"/>
                  <w:tcBorders>
                    <w:tl2br w:val="nil"/>
                    <w:tr2bl w:val="nil"/>
                  </w:tcBorders>
                  <w:noWrap w:val="0"/>
                  <w:vAlign w:val="center"/>
                </w:tcPr>
                <w:p w14:paraId="1D513908">
                  <w:pPr>
                    <w:pStyle w:val="3"/>
                    <w:bidi w:val="0"/>
                    <w:jc w:val="both"/>
                    <w:rPr>
                      <w:color w:val="auto"/>
                      <w:sz w:val="21"/>
                      <w:szCs w:val="21"/>
                    </w:rPr>
                  </w:pPr>
                  <w:r>
                    <w:rPr>
                      <w:color w:val="auto"/>
                      <w:spacing w:val="9"/>
                      <w:sz w:val="21"/>
                      <w:szCs w:val="21"/>
                    </w:rPr>
                    <w:t>加强危险化学品运输管控，重点防控危化品专业运输船舶、危化品码头环境风</w:t>
                  </w:r>
                  <w:r>
                    <w:rPr>
                      <w:color w:val="auto"/>
                      <w:sz w:val="21"/>
                      <w:szCs w:val="21"/>
                    </w:rPr>
                    <w:t xml:space="preserve">  </w:t>
                  </w:r>
                  <w:r>
                    <w:rPr>
                      <w:color w:val="auto"/>
                      <w:spacing w:val="6"/>
                      <w:sz w:val="21"/>
                      <w:szCs w:val="21"/>
                    </w:rPr>
                    <w:t>险，严控发生水环境污染。严禁单壳化学品船和载重</w:t>
                  </w:r>
                  <w:r>
                    <w:rPr>
                      <w:color w:val="auto"/>
                      <w:spacing w:val="-35"/>
                      <w:sz w:val="21"/>
                      <w:szCs w:val="21"/>
                    </w:rPr>
                    <w:t xml:space="preserve"> </w:t>
                  </w:r>
                  <w:r>
                    <w:rPr>
                      <w:rFonts w:ascii="Times New Roman" w:hAnsi="Times New Roman" w:eastAsia="Times New Roman" w:cs="Times New Roman"/>
                      <w:color w:val="auto"/>
                      <w:spacing w:val="6"/>
                      <w:sz w:val="21"/>
                      <w:szCs w:val="21"/>
                    </w:rPr>
                    <w:t>600</w:t>
                  </w:r>
                  <w:r>
                    <w:rPr>
                      <w:color w:val="auto"/>
                      <w:spacing w:val="6"/>
                      <w:sz w:val="21"/>
                      <w:szCs w:val="21"/>
                    </w:rPr>
                    <w:t>吨以上的单壳油船进入长江干线、</w:t>
                  </w:r>
                  <w:r>
                    <w:rPr>
                      <w:color w:val="auto"/>
                      <w:spacing w:val="9"/>
                      <w:sz w:val="21"/>
                      <w:szCs w:val="21"/>
                    </w:rPr>
                    <w:t>乌江。禁止在长江流域水上运输剧毒化学品和国家规定禁止通过内河运输的其他危险化学</w:t>
                  </w:r>
                  <w:r>
                    <w:rPr>
                      <w:color w:val="auto"/>
                      <w:spacing w:val="4"/>
                      <w:sz w:val="21"/>
                      <w:szCs w:val="21"/>
                    </w:rPr>
                    <w:t xml:space="preserve">  </w:t>
                  </w:r>
                  <w:r>
                    <w:rPr>
                      <w:color w:val="auto"/>
                      <w:spacing w:val="-1"/>
                      <w:sz w:val="21"/>
                      <w:szCs w:val="21"/>
                    </w:rPr>
                    <w:t>品。</w:t>
                  </w:r>
                </w:p>
              </w:tc>
              <w:tc>
                <w:tcPr>
                  <w:tcW w:w="1082" w:type="pct"/>
                  <w:tcBorders>
                    <w:tl2br w:val="nil"/>
                    <w:tr2bl w:val="nil"/>
                  </w:tcBorders>
                  <w:noWrap w:val="0"/>
                  <w:vAlign w:val="center"/>
                </w:tcPr>
                <w:p w14:paraId="67A4410F">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本项目不涉及危险化学品、剧毒化学品的运输。</w:t>
                  </w:r>
                </w:p>
              </w:tc>
              <w:tc>
                <w:tcPr>
                  <w:tcW w:w="742" w:type="pct"/>
                  <w:tcBorders>
                    <w:tl2br w:val="nil"/>
                    <w:tr2bl w:val="nil"/>
                  </w:tcBorders>
                  <w:noWrap w:val="0"/>
                  <w:vAlign w:val="center"/>
                </w:tcPr>
                <w:p w14:paraId="22E7780A">
                  <w:pPr>
                    <w:pStyle w:val="3"/>
                    <w:bidi w:val="0"/>
                    <w:rPr>
                      <w:rFonts w:hint="eastAsia"/>
                      <w:color w:val="auto"/>
                      <w:sz w:val="21"/>
                      <w:szCs w:val="21"/>
                      <w:lang w:eastAsia="zh-CN"/>
                    </w:rPr>
                  </w:pPr>
                  <w:r>
                    <w:rPr>
                      <w:rFonts w:hint="eastAsia"/>
                      <w:color w:val="auto"/>
                      <w:sz w:val="21"/>
                      <w:szCs w:val="21"/>
                      <w:lang w:eastAsia="zh-CN"/>
                    </w:rPr>
                    <w:t>符合</w:t>
                  </w:r>
                </w:p>
              </w:tc>
            </w:tr>
            <w:tr w14:paraId="76CEAC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78F7DF44">
                  <w:pPr>
                    <w:pStyle w:val="3"/>
                    <w:bidi w:val="0"/>
                    <w:rPr>
                      <w:rFonts w:hint="default"/>
                      <w:color w:val="auto"/>
                      <w:sz w:val="21"/>
                      <w:szCs w:val="21"/>
                    </w:rPr>
                  </w:pPr>
                </w:p>
              </w:tc>
              <w:tc>
                <w:tcPr>
                  <w:tcW w:w="513" w:type="pct"/>
                  <w:vMerge w:val="restart"/>
                  <w:tcBorders>
                    <w:tl2br w:val="nil"/>
                    <w:tr2bl w:val="nil"/>
                  </w:tcBorders>
                  <w:noWrap w:val="0"/>
                  <w:vAlign w:val="center"/>
                </w:tcPr>
                <w:p w14:paraId="0A3AEF2D">
                  <w:pPr>
                    <w:pStyle w:val="3"/>
                    <w:bidi w:val="0"/>
                    <w:rPr>
                      <w:rFonts w:hint="default"/>
                      <w:color w:val="auto"/>
                      <w:sz w:val="21"/>
                      <w:szCs w:val="21"/>
                    </w:rPr>
                  </w:pPr>
                  <w:r>
                    <w:rPr>
                      <w:rFonts w:hint="default"/>
                      <w:color w:val="auto"/>
                      <w:sz w:val="21"/>
                      <w:szCs w:val="21"/>
                    </w:rPr>
                    <w:t>资源开发利用效率</w:t>
                  </w:r>
                </w:p>
              </w:tc>
              <w:tc>
                <w:tcPr>
                  <w:tcW w:w="2137" w:type="pct"/>
                  <w:gridSpan w:val="2"/>
                  <w:tcBorders>
                    <w:tl2br w:val="nil"/>
                    <w:tr2bl w:val="nil"/>
                  </w:tcBorders>
                  <w:noWrap w:val="0"/>
                  <w:vAlign w:val="center"/>
                </w:tcPr>
                <w:p w14:paraId="2B12C6BF">
                  <w:pPr>
                    <w:pStyle w:val="3"/>
                    <w:bidi w:val="0"/>
                    <w:jc w:val="both"/>
                    <w:rPr>
                      <w:rFonts w:hint="default"/>
                      <w:color w:val="auto"/>
                      <w:sz w:val="21"/>
                      <w:szCs w:val="21"/>
                    </w:rPr>
                  </w:pPr>
                  <w:r>
                    <w:rPr>
                      <w:color w:val="auto"/>
                      <w:spacing w:val="7"/>
                      <w:sz w:val="21"/>
                      <w:szCs w:val="21"/>
                    </w:rPr>
                    <w:t>执行重点管控单元市级总体要求第十八条、第十九条、第二十条、第</w:t>
                  </w:r>
                  <w:r>
                    <w:rPr>
                      <w:color w:val="auto"/>
                      <w:spacing w:val="6"/>
                      <w:sz w:val="21"/>
                      <w:szCs w:val="21"/>
                    </w:rPr>
                    <w:t>二十一条、</w:t>
                  </w:r>
                  <w:r>
                    <w:rPr>
                      <w:color w:val="auto"/>
                      <w:sz w:val="21"/>
                      <w:szCs w:val="21"/>
                    </w:rPr>
                    <w:t xml:space="preserve"> </w:t>
                  </w:r>
                  <w:r>
                    <w:rPr>
                      <w:color w:val="auto"/>
                      <w:spacing w:val="6"/>
                      <w:sz w:val="21"/>
                      <w:szCs w:val="21"/>
                    </w:rPr>
                    <w:t>第二十二条。</w:t>
                  </w:r>
                </w:p>
              </w:tc>
              <w:tc>
                <w:tcPr>
                  <w:tcW w:w="1082" w:type="pct"/>
                  <w:tcBorders>
                    <w:tl2br w:val="nil"/>
                    <w:tr2bl w:val="nil"/>
                  </w:tcBorders>
                  <w:noWrap w:val="0"/>
                  <w:vAlign w:val="center"/>
                </w:tcPr>
                <w:p w14:paraId="024414A6">
                  <w:pPr>
                    <w:pStyle w:val="3"/>
                    <w:bidi w:val="0"/>
                    <w:jc w:val="both"/>
                    <w:rPr>
                      <w:rFonts w:hint="eastAsia" w:eastAsia="宋体"/>
                      <w:color w:val="auto"/>
                      <w:sz w:val="21"/>
                      <w:szCs w:val="21"/>
                      <w:lang w:eastAsia="zh-CN"/>
                    </w:rPr>
                  </w:pPr>
                  <w:r>
                    <w:rPr>
                      <w:rFonts w:hint="eastAsia"/>
                      <w:color w:val="auto"/>
                      <w:sz w:val="21"/>
                      <w:szCs w:val="21"/>
                      <w:lang w:eastAsia="zh-CN"/>
                    </w:rPr>
                    <w:t>本项目满足</w:t>
                  </w:r>
                  <w:r>
                    <w:rPr>
                      <w:bCs/>
                      <w:color w:val="auto"/>
                      <w:sz w:val="21"/>
                      <w:szCs w:val="21"/>
                    </w:rPr>
                    <w:t>市级总体要求第十八条、第十九条、第二十条、第二十一条、第二十二条</w:t>
                  </w:r>
                  <w:r>
                    <w:rPr>
                      <w:rFonts w:hint="eastAsia" w:eastAsia="宋体"/>
                      <w:bCs/>
                      <w:color w:val="auto"/>
                      <w:sz w:val="21"/>
                      <w:szCs w:val="21"/>
                      <w:lang w:eastAsia="zh-CN"/>
                    </w:rPr>
                    <w:t>的相关要求。</w:t>
                  </w:r>
                </w:p>
              </w:tc>
              <w:tc>
                <w:tcPr>
                  <w:tcW w:w="742" w:type="pct"/>
                  <w:tcBorders>
                    <w:tl2br w:val="nil"/>
                    <w:tr2bl w:val="nil"/>
                  </w:tcBorders>
                  <w:noWrap w:val="0"/>
                  <w:vAlign w:val="center"/>
                </w:tcPr>
                <w:p w14:paraId="688BCFE9">
                  <w:pPr>
                    <w:pStyle w:val="3"/>
                    <w:bidi w:val="0"/>
                    <w:rPr>
                      <w:rFonts w:hint="eastAsia"/>
                      <w:color w:val="auto"/>
                      <w:sz w:val="21"/>
                      <w:szCs w:val="21"/>
                      <w:lang w:eastAsia="zh-CN"/>
                    </w:rPr>
                  </w:pPr>
                  <w:r>
                    <w:rPr>
                      <w:rFonts w:hint="eastAsia"/>
                      <w:color w:val="auto"/>
                      <w:sz w:val="21"/>
                      <w:szCs w:val="21"/>
                      <w:lang w:eastAsia="zh-CN"/>
                    </w:rPr>
                    <w:t>符合</w:t>
                  </w:r>
                </w:p>
              </w:tc>
            </w:tr>
            <w:tr w14:paraId="544B4D2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6CC35B97">
                  <w:pPr>
                    <w:pStyle w:val="3"/>
                    <w:bidi w:val="0"/>
                    <w:rPr>
                      <w:rFonts w:hint="default"/>
                      <w:color w:val="auto"/>
                      <w:sz w:val="21"/>
                      <w:szCs w:val="21"/>
                    </w:rPr>
                  </w:pPr>
                </w:p>
              </w:tc>
              <w:tc>
                <w:tcPr>
                  <w:tcW w:w="513" w:type="pct"/>
                  <w:vMerge w:val="continue"/>
                  <w:tcBorders>
                    <w:tl2br w:val="nil"/>
                    <w:tr2bl w:val="nil"/>
                  </w:tcBorders>
                  <w:noWrap w:val="0"/>
                  <w:vAlign w:val="center"/>
                </w:tcPr>
                <w:p w14:paraId="0427CAA5">
                  <w:pPr>
                    <w:pStyle w:val="3"/>
                    <w:bidi w:val="0"/>
                    <w:rPr>
                      <w:rFonts w:hint="default"/>
                      <w:color w:val="auto"/>
                      <w:sz w:val="21"/>
                      <w:szCs w:val="21"/>
                    </w:rPr>
                  </w:pPr>
                </w:p>
              </w:tc>
              <w:tc>
                <w:tcPr>
                  <w:tcW w:w="2137" w:type="pct"/>
                  <w:gridSpan w:val="2"/>
                  <w:tcBorders>
                    <w:tl2br w:val="nil"/>
                    <w:tr2bl w:val="nil"/>
                  </w:tcBorders>
                  <w:noWrap w:val="0"/>
                  <w:vAlign w:val="center"/>
                </w:tcPr>
                <w:p w14:paraId="0A7E5864">
                  <w:pPr>
                    <w:pStyle w:val="3"/>
                    <w:bidi w:val="0"/>
                    <w:jc w:val="both"/>
                    <w:rPr>
                      <w:rFonts w:hint="default"/>
                      <w:color w:val="auto"/>
                      <w:sz w:val="21"/>
                      <w:szCs w:val="21"/>
                    </w:rPr>
                  </w:pPr>
                  <w:r>
                    <w:rPr>
                      <w:color w:val="auto"/>
                      <w:spacing w:val="10"/>
                      <w:sz w:val="21"/>
                      <w:szCs w:val="21"/>
                    </w:rPr>
                    <w:t>鼓励实施先进的节能降碳以及</w:t>
                  </w:r>
                  <w:r>
                    <w:rPr>
                      <w:color w:val="auto"/>
                      <w:spacing w:val="9"/>
                      <w:sz w:val="21"/>
                      <w:szCs w:val="21"/>
                    </w:rPr>
                    <w:t>废水循环利用技术。有序推进电解铝、水泥</w:t>
                  </w:r>
                  <w:r>
                    <w:rPr>
                      <w:rFonts w:hint="eastAsia" w:eastAsia="宋体"/>
                      <w:color w:val="auto"/>
                      <w:spacing w:val="9"/>
                      <w:sz w:val="21"/>
                      <w:szCs w:val="21"/>
                      <w:lang w:eastAsia="zh-CN"/>
                    </w:rPr>
                    <w:t>、</w:t>
                  </w:r>
                  <w:r>
                    <w:rPr>
                      <w:color w:val="auto"/>
                      <w:spacing w:val="9"/>
                      <w:sz w:val="21"/>
                      <w:szCs w:val="21"/>
                    </w:rPr>
                    <w:t>合</w:t>
                  </w:r>
                  <w:r>
                    <w:rPr>
                      <w:color w:val="auto"/>
                      <w:spacing w:val="10"/>
                      <w:sz w:val="21"/>
                      <w:szCs w:val="21"/>
                    </w:rPr>
                    <w:t>成氨等重点行业对照标杆水平实施节能降碳改造升级，提升能源资</w:t>
                  </w:r>
                  <w:r>
                    <w:rPr>
                      <w:color w:val="auto"/>
                      <w:spacing w:val="9"/>
                      <w:sz w:val="21"/>
                      <w:szCs w:val="21"/>
                    </w:rPr>
                    <w:t>源利用效率。火电行业机组煤耗标准需达到国内清洁生产先进水平。</w:t>
                  </w:r>
                </w:p>
              </w:tc>
              <w:tc>
                <w:tcPr>
                  <w:tcW w:w="1082" w:type="pct"/>
                  <w:tcBorders>
                    <w:tl2br w:val="nil"/>
                    <w:tr2bl w:val="nil"/>
                  </w:tcBorders>
                  <w:noWrap w:val="0"/>
                  <w:vAlign w:val="center"/>
                </w:tcPr>
                <w:p w14:paraId="59DE1996">
                  <w:pPr>
                    <w:pStyle w:val="3"/>
                    <w:bidi w:val="0"/>
                    <w:jc w:val="both"/>
                    <w:rPr>
                      <w:rFonts w:hint="eastAsia" w:eastAsia="宋体"/>
                      <w:color w:val="auto"/>
                      <w:sz w:val="21"/>
                      <w:szCs w:val="21"/>
                      <w:lang w:eastAsia="zh-CN"/>
                    </w:rPr>
                  </w:pPr>
                  <w:r>
                    <w:rPr>
                      <w:rFonts w:hint="eastAsia"/>
                      <w:color w:val="auto"/>
                      <w:sz w:val="21"/>
                      <w:szCs w:val="21"/>
                      <w:lang w:eastAsia="zh-CN"/>
                    </w:rPr>
                    <w:t>本项目不属于</w:t>
                  </w:r>
                  <w:r>
                    <w:rPr>
                      <w:color w:val="auto"/>
                      <w:spacing w:val="9"/>
                      <w:sz w:val="21"/>
                      <w:szCs w:val="21"/>
                    </w:rPr>
                    <w:t>电解铝、水泥、合</w:t>
                  </w:r>
                  <w:r>
                    <w:rPr>
                      <w:color w:val="auto"/>
                      <w:spacing w:val="10"/>
                      <w:sz w:val="21"/>
                      <w:szCs w:val="21"/>
                    </w:rPr>
                    <w:t>成氨</w:t>
                  </w:r>
                  <w:r>
                    <w:rPr>
                      <w:rFonts w:hint="eastAsia" w:eastAsia="宋体"/>
                      <w:color w:val="auto"/>
                      <w:spacing w:val="10"/>
                      <w:sz w:val="21"/>
                      <w:szCs w:val="21"/>
                      <w:lang w:eastAsia="zh-CN"/>
                    </w:rPr>
                    <w:t>等重点行业；本项目不涉及</w:t>
                  </w:r>
                  <w:r>
                    <w:rPr>
                      <w:color w:val="auto"/>
                      <w:spacing w:val="9"/>
                      <w:sz w:val="21"/>
                      <w:szCs w:val="21"/>
                    </w:rPr>
                    <w:t>火电行业机组</w:t>
                  </w:r>
                  <w:r>
                    <w:rPr>
                      <w:rFonts w:hint="eastAsia" w:eastAsia="宋体"/>
                      <w:color w:val="auto"/>
                      <w:spacing w:val="9"/>
                      <w:sz w:val="21"/>
                      <w:szCs w:val="21"/>
                      <w:lang w:eastAsia="zh-CN"/>
                    </w:rPr>
                    <w:t>。</w:t>
                  </w:r>
                </w:p>
              </w:tc>
              <w:tc>
                <w:tcPr>
                  <w:tcW w:w="742" w:type="pct"/>
                  <w:tcBorders>
                    <w:tl2br w:val="nil"/>
                    <w:tr2bl w:val="nil"/>
                  </w:tcBorders>
                  <w:noWrap w:val="0"/>
                  <w:vAlign w:val="center"/>
                </w:tcPr>
                <w:p w14:paraId="11174C75">
                  <w:pPr>
                    <w:pStyle w:val="3"/>
                    <w:bidi w:val="0"/>
                    <w:rPr>
                      <w:rFonts w:hint="eastAsia"/>
                      <w:color w:val="auto"/>
                      <w:sz w:val="21"/>
                      <w:szCs w:val="21"/>
                      <w:lang w:eastAsia="zh-CN"/>
                    </w:rPr>
                  </w:pPr>
                  <w:r>
                    <w:rPr>
                      <w:rFonts w:hint="eastAsia"/>
                      <w:color w:val="auto"/>
                      <w:sz w:val="21"/>
                      <w:szCs w:val="21"/>
                      <w:lang w:eastAsia="zh-CN"/>
                    </w:rPr>
                    <w:t>符合</w:t>
                  </w:r>
                </w:p>
              </w:tc>
            </w:tr>
            <w:tr w14:paraId="132F68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16849C0C">
                  <w:pPr>
                    <w:pStyle w:val="3"/>
                    <w:bidi w:val="0"/>
                    <w:rPr>
                      <w:rFonts w:hint="default"/>
                      <w:color w:val="auto"/>
                      <w:sz w:val="21"/>
                      <w:szCs w:val="21"/>
                    </w:rPr>
                  </w:pPr>
                </w:p>
              </w:tc>
              <w:tc>
                <w:tcPr>
                  <w:tcW w:w="513" w:type="pct"/>
                  <w:vMerge w:val="continue"/>
                  <w:tcBorders>
                    <w:tl2br w:val="nil"/>
                    <w:tr2bl w:val="nil"/>
                  </w:tcBorders>
                  <w:noWrap w:val="0"/>
                  <w:vAlign w:val="center"/>
                </w:tcPr>
                <w:p w14:paraId="5EA47159">
                  <w:pPr>
                    <w:pStyle w:val="3"/>
                    <w:bidi w:val="0"/>
                    <w:rPr>
                      <w:rFonts w:hint="default"/>
                      <w:color w:val="auto"/>
                      <w:sz w:val="21"/>
                      <w:szCs w:val="21"/>
                    </w:rPr>
                  </w:pPr>
                </w:p>
              </w:tc>
              <w:tc>
                <w:tcPr>
                  <w:tcW w:w="2137" w:type="pct"/>
                  <w:gridSpan w:val="2"/>
                  <w:tcBorders>
                    <w:tl2br w:val="nil"/>
                    <w:tr2bl w:val="nil"/>
                  </w:tcBorders>
                  <w:noWrap w:val="0"/>
                  <w:vAlign w:val="center"/>
                </w:tcPr>
                <w:p w14:paraId="2E997FA0">
                  <w:pPr>
                    <w:pStyle w:val="3"/>
                    <w:bidi w:val="0"/>
                    <w:jc w:val="both"/>
                    <w:rPr>
                      <w:rFonts w:hint="default"/>
                      <w:color w:val="auto"/>
                      <w:sz w:val="21"/>
                      <w:szCs w:val="21"/>
                    </w:rPr>
                  </w:pPr>
                  <w:r>
                    <w:rPr>
                      <w:color w:val="auto"/>
                      <w:spacing w:val="9"/>
                      <w:sz w:val="21"/>
                      <w:szCs w:val="21"/>
                    </w:rPr>
                    <w:t>大力推动煤电节能降碳改造、灵活性改造、供</w:t>
                  </w:r>
                  <w:r>
                    <w:rPr>
                      <w:color w:val="auto"/>
                      <w:spacing w:val="8"/>
                      <w:sz w:val="21"/>
                      <w:szCs w:val="21"/>
                    </w:rPr>
                    <w:t>热改造</w:t>
                  </w:r>
                  <w:r>
                    <w:rPr>
                      <w:rFonts w:ascii="Times New Roman" w:hAnsi="Times New Roman" w:eastAsia="Times New Roman" w:cs="Times New Roman"/>
                      <w:color w:val="auto"/>
                      <w:spacing w:val="8"/>
                      <w:sz w:val="21"/>
                      <w:szCs w:val="21"/>
                    </w:rPr>
                    <w:t>“</w:t>
                  </w:r>
                  <w:r>
                    <w:rPr>
                      <w:color w:val="auto"/>
                      <w:spacing w:val="8"/>
                      <w:sz w:val="21"/>
                      <w:szCs w:val="21"/>
                    </w:rPr>
                    <w:t>三改联动</w:t>
                  </w:r>
                  <w:r>
                    <w:rPr>
                      <w:rFonts w:ascii="Times New Roman" w:hAnsi="Times New Roman" w:eastAsia="Times New Roman" w:cs="Times New Roman"/>
                      <w:color w:val="auto"/>
                      <w:spacing w:val="8"/>
                      <w:sz w:val="21"/>
                      <w:szCs w:val="21"/>
                    </w:rPr>
                    <w:t>”</w:t>
                  </w:r>
                  <w:r>
                    <w:rPr>
                      <w:rFonts w:ascii="Times New Roman" w:hAnsi="Times New Roman" w:eastAsia="Times New Roman" w:cs="Times New Roman"/>
                      <w:color w:val="auto"/>
                      <w:spacing w:val="-26"/>
                      <w:sz w:val="21"/>
                      <w:szCs w:val="21"/>
                    </w:rPr>
                    <w:t xml:space="preserve"> </w:t>
                  </w:r>
                  <w:r>
                    <w:rPr>
                      <w:color w:val="auto"/>
                      <w:spacing w:val="8"/>
                      <w:sz w:val="21"/>
                      <w:szCs w:val="21"/>
                    </w:rPr>
                    <w:t>，实现煤炭清</w:t>
                  </w:r>
                  <w:r>
                    <w:rPr>
                      <w:color w:val="auto"/>
                      <w:spacing w:val="10"/>
                      <w:sz w:val="21"/>
                      <w:szCs w:val="21"/>
                    </w:rPr>
                    <w:t>洁高效利用。加强可再生能源开发力度</w:t>
                  </w:r>
                  <w:r>
                    <w:rPr>
                      <w:rFonts w:hint="eastAsia" w:eastAsia="宋体"/>
                      <w:color w:val="auto"/>
                      <w:spacing w:val="10"/>
                      <w:sz w:val="21"/>
                      <w:szCs w:val="21"/>
                      <w:lang w:eastAsia="zh-CN"/>
                    </w:rPr>
                    <w:t>，</w:t>
                  </w:r>
                  <w:r>
                    <w:rPr>
                      <w:color w:val="auto"/>
                      <w:spacing w:val="10"/>
                      <w:sz w:val="21"/>
                      <w:szCs w:val="21"/>
                    </w:rPr>
                    <w:t>加快风电、光伏</w:t>
                  </w:r>
                  <w:r>
                    <w:rPr>
                      <w:color w:val="auto"/>
                      <w:spacing w:val="9"/>
                      <w:sz w:val="21"/>
                      <w:szCs w:val="21"/>
                    </w:rPr>
                    <w:t>项目建设，有序推进太阳能光伏</w:t>
                  </w:r>
                  <w:r>
                    <w:rPr>
                      <w:color w:val="auto"/>
                      <w:spacing w:val="7"/>
                      <w:sz w:val="21"/>
                      <w:szCs w:val="21"/>
                    </w:rPr>
                    <w:t>发电等应用示范工程。</w:t>
                  </w:r>
                </w:p>
              </w:tc>
              <w:tc>
                <w:tcPr>
                  <w:tcW w:w="1082" w:type="pct"/>
                  <w:tcBorders>
                    <w:tl2br w:val="nil"/>
                    <w:tr2bl w:val="nil"/>
                  </w:tcBorders>
                  <w:noWrap w:val="0"/>
                  <w:vAlign w:val="center"/>
                </w:tcPr>
                <w:p w14:paraId="53131B85">
                  <w:pPr>
                    <w:pStyle w:val="3"/>
                    <w:bidi w:val="0"/>
                    <w:jc w:val="both"/>
                    <w:rPr>
                      <w:rFonts w:hint="eastAsia"/>
                      <w:color w:val="auto"/>
                      <w:sz w:val="21"/>
                      <w:szCs w:val="21"/>
                      <w:lang w:eastAsia="zh-CN"/>
                    </w:rPr>
                  </w:pPr>
                  <w:r>
                    <w:rPr>
                      <w:rFonts w:hint="eastAsia"/>
                      <w:color w:val="auto"/>
                      <w:sz w:val="21"/>
                      <w:szCs w:val="21"/>
                      <w:lang w:eastAsia="zh-CN"/>
                    </w:rPr>
                    <w:t>本项目不涉及煤电节能降碳改造，不涉及可再生能源开发。</w:t>
                  </w:r>
                </w:p>
              </w:tc>
              <w:tc>
                <w:tcPr>
                  <w:tcW w:w="742" w:type="pct"/>
                  <w:tcBorders>
                    <w:tl2br w:val="nil"/>
                    <w:tr2bl w:val="nil"/>
                  </w:tcBorders>
                  <w:noWrap w:val="0"/>
                  <w:vAlign w:val="center"/>
                </w:tcPr>
                <w:p w14:paraId="066AFA43">
                  <w:pPr>
                    <w:pStyle w:val="3"/>
                    <w:bidi w:val="0"/>
                    <w:rPr>
                      <w:rFonts w:hint="eastAsia"/>
                      <w:color w:val="auto"/>
                      <w:sz w:val="21"/>
                      <w:szCs w:val="21"/>
                      <w:lang w:eastAsia="zh-CN"/>
                    </w:rPr>
                  </w:pPr>
                  <w:r>
                    <w:rPr>
                      <w:rFonts w:hint="eastAsia"/>
                      <w:color w:val="auto"/>
                      <w:sz w:val="21"/>
                      <w:szCs w:val="21"/>
                      <w:lang w:eastAsia="zh-CN"/>
                    </w:rPr>
                    <w:t>符合</w:t>
                  </w:r>
                </w:p>
              </w:tc>
            </w:tr>
            <w:tr w14:paraId="491690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525" w:type="pct"/>
                  <w:vMerge w:val="continue"/>
                  <w:tcBorders>
                    <w:tl2br w:val="nil"/>
                    <w:tr2bl w:val="nil"/>
                  </w:tcBorders>
                  <w:noWrap w:val="0"/>
                  <w:vAlign w:val="center"/>
                </w:tcPr>
                <w:p w14:paraId="5F844B6F">
                  <w:pPr>
                    <w:pStyle w:val="3"/>
                    <w:bidi w:val="0"/>
                    <w:rPr>
                      <w:rFonts w:hint="default"/>
                      <w:color w:val="auto"/>
                      <w:sz w:val="21"/>
                      <w:szCs w:val="21"/>
                    </w:rPr>
                  </w:pPr>
                </w:p>
              </w:tc>
              <w:tc>
                <w:tcPr>
                  <w:tcW w:w="513" w:type="pct"/>
                  <w:vMerge w:val="continue"/>
                  <w:tcBorders>
                    <w:tl2br w:val="nil"/>
                    <w:tr2bl w:val="nil"/>
                  </w:tcBorders>
                  <w:noWrap w:val="0"/>
                  <w:vAlign w:val="center"/>
                </w:tcPr>
                <w:p w14:paraId="0939F533">
                  <w:pPr>
                    <w:pStyle w:val="3"/>
                    <w:bidi w:val="0"/>
                    <w:rPr>
                      <w:rFonts w:hint="default"/>
                      <w:color w:val="auto"/>
                      <w:sz w:val="21"/>
                      <w:szCs w:val="21"/>
                    </w:rPr>
                  </w:pPr>
                </w:p>
              </w:tc>
              <w:tc>
                <w:tcPr>
                  <w:tcW w:w="2137" w:type="pct"/>
                  <w:gridSpan w:val="2"/>
                  <w:tcBorders>
                    <w:tl2br w:val="nil"/>
                    <w:tr2bl w:val="nil"/>
                  </w:tcBorders>
                  <w:noWrap w:val="0"/>
                  <w:vAlign w:val="center"/>
                </w:tcPr>
                <w:p w14:paraId="39C08952">
                  <w:pPr>
                    <w:pStyle w:val="3"/>
                    <w:bidi w:val="0"/>
                    <w:jc w:val="both"/>
                    <w:rPr>
                      <w:rFonts w:hint="default" w:ascii="Times New Roman" w:hAnsi="Times New Roman" w:cs="Times New Roman"/>
                      <w:color w:val="auto"/>
                      <w:sz w:val="21"/>
                      <w:szCs w:val="21"/>
                    </w:rPr>
                  </w:pPr>
                  <w:r>
                    <w:rPr>
                      <w:rFonts w:hint="default" w:ascii="Times New Roman" w:hAnsi="Times New Roman" w:cs="Times New Roman"/>
                      <w:color w:val="auto"/>
                      <w:spacing w:val="10"/>
                      <w:sz w:val="21"/>
                      <w:szCs w:val="21"/>
                    </w:rPr>
                    <w:t>推进既有产业园区和产业集群</w:t>
                  </w:r>
                  <w:r>
                    <w:rPr>
                      <w:rFonts w:hint="default" w:ascii="Times New Roman" w:hAnsi="Times New Roman" w:cs="Times New Roman"/>
                      <w:color w:val="auto"/>
                      <w:spacing w:val="9"/>
                      <w:sz w:val="21"/>
                      <w:szCs w:val="21"/>
                    </w:rPr>
                    <w:t>循环化改造。推动企业循环式生产、产业循环式</w:t>
                  </w:r>
                  <w:r>
                    <w:rPr>
                      <w:rFonts w:hint="default" w:ascii="Times New Roman" w:hAnsi="Times New Roman" w:cs="Times New Roman"/>
                      <w:color w:val="auto"/>
                      <w:spacing w:val="10"/>
                      <w:sz w:val="21"/>
                      <w:szCs w:val="21"/>
                    </w:rPr>
                    <w:t>组合，促进废物综合利用、能源梯级利用、水资源循环利用、工</w:t>
                  </w:r>
                  <w:r>
                    <w:rPr>
                      <w:rFonts w:hint="default" w:ascii="Times New Roman" w:hAnsi="Times New Roman" w:cs="Times New Roman"/>
                      <w:color w:val="auto"/>
                      <w:spacing w:val="9"/>
                      <w:sz w:val="21"/>
                      <w:szCs w:val="21"/>
                    </w:rPr>
                    <w:t>业余压余热、废气废液废渣资源综合利用，推广集中供气供热。实施蒸汽余热、循环水系统余热综合利用项目。</w:t>
                  </w:r>
                </w:p>
              </w:tc>
              <w:tc>
                <w:tcPr>
                  <w:tcW w:w="1082" w:type="pct"/>
                  <w:tcBorders>
                    <w:tl2br w:val="nil"/>
                    <w:tr2bl w:val="nil"/>
                  </w:tcBorders>
                  <w:noWrap w:val="0"/>
                  <w:vAlign w:val="center"/>
                </w:tcPr>
                <w:p w14:paraId="26C3329C">
                  <w:pPr>
                    <w:pStyle w:val="3"/>
                    <w:bidi w:val="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本项目不涉及</w:t>
                  </w:r>
                  <w:r>
                    <w:rPr>
                      <w:rFonts w:hint="default" w:ascii="Times New Roman" w:hAnsi="Times New Roman" w:cs="Times New Roman"/>
                      <w:color w:val="auto"/>
                      <w:spacing w:val="10"/>
                      <w:sz w:val="21"/>
                      <w:szCs w:val="21"/>
                    </w:rPr>
                    <w:t>产业园区和产业集群</w:t>
                  </w:r>
                  <w:r>
                    <w:rPr>
                      <w:rFonts w:hint="default" w:ascii="Times New Roman" w:hAnsi="Times New Roman" w:cs="Times New Roman"/>
                      <w:color w:val="auto"/>
                      <w:spacing w:val="9"/>
                      <w:sz w:val="21"/>
                      <w:szCs w:val="21"/>
                    </w:rPr>
                    <w:t>循环化改造</w:t>
                  </w:r>
                  <w:r>
                    <w:rPr>
                      <w:rFonts w:hint="default" w:ascii="Times New Roman" w:hAnsi="Times New Roman" w:eastAsia="宋体" w:cs="Times New Roman"/>
                      <w:color w:val="auto"/>
                      <w:spacing w:val="9"/>
                      <w:sz w:val="21"/>
                      <w:szCs w:val="21"/>
                      <w:lang w:eastAsia="zh-CN"/>
                    </w:rPr>
                    <w:t>。</w:t>
                  </w:r>
                </w:p>
              </w:tc>
              <w:tc>
                <w:tcPr>
                  <w:tcW w:w="742" w:type="pct"/>
                  <w:tcBorders>
                    <w:tl2br w:val="nil"/>
                    <w:tr2bl w:val="nil"/>
                  </w:tcBorders>
                  <w:noWrap w:val="0"/>
                  <w:vAlign w:val="center"/>
                </w:tcPr>
                <w:p w14:paraId="5E62B4B9">
                  <w:pPr>
                    <w:pStyle w:val="3"/>
                    <w:bidi w:val="0"/>
                    <w:rPr>
                      <w:rFonts w:hint="eastAsia"/>
                      <w:color w:val="auto"/>
                      <w:sz w:val="21"/>
                      <w:szCs w:val="21"/>
                      <w:lang w:eastAsia="zh-CN"/>
                    </w:rPr>
                  </w:pPr>
                  <w:r>
                    <w:rPr>
                      <w:rFonts w:hint="eastAsia"/>
                      <w:color w:val="auto"/>
                      <w:sz w:val="21"/>
                      <w:szCs w:val="21"/>
                      <w:lang w:eastAsia="zh-CN"/>
                    </w:rPr>
                    <w:t>符合</w:t>
                  </w:r>
                </w:p>
              </w:tc>
            </w:tr>
            <w:tr w14:paraId="515D2D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restart"/>
                  <w:tcBorders>
                    <w:tl2br w:val="nil"/>
                    <w:tr2bl w:val="nil"/>
                  </w:tcBorders>
                  <w:noWrap w:val="0"/>
                  <w:vAlign w:val="center"/>
                </w:tcPr>
                <w:p w14:paraId="0ED0B8C8">
                  <w:pPr>
                    <w:pStyle w:val="3"/>
                    <w:bidi w:val="0"/>
                    <w:rPr>
                      <w:rFonts w:hint="default"/>
                      <w:color w:val="auto"/>
                      <w:sz w:val="21"/>
                      <w:szCs w:val="21"/>
                    </w:rPr>
                  </w:pPr>
                  <w:r>
                    <w:rPr>
                      <w:rFonts w:hint="default"/>
                      <w:color w:val="auto"/>
                      <w:sz w:val="21"/>
                      <w:szCs w:val="21"/>
                    </w:rPr>
                    <w:t>单元管控要求</w:t>
                  </w:r>
                </w:p>
              </w:tc>
              <w:tc>
                <w:tcPr>
                  <w:tcW w:w="513" w:type="pct"/>
                  <w:vMerge w:val="restart"/>
                  <w:tcBorders>
                    <w:tl2br w:val="nil"/>
                    <w:tr2bl w:val="nil"/>
                  </w:tcBorders>
                  <w:noWrap w:val="0"/>
                  <w:vAlign w:val="center"/>
                </w:tcPr>
                <w:p w14:paraId="69EA62C7">
                  <w:pPr>
                    <w:pStyle w:val="3"/>
                    <w:bidi w:val="0"/>
                    <w:rPr>
                      <w:rFonts w:hint="default"/>
                      <w:color w:val="auto"/>
                      <w:sz w:val="21"/>
                      <w:szCs w:val="21"/>
                    </w:rPr>
                  </w:pPr>
                  <w:r>
                    <w:rPr>
                      <w:rFonts w:hint="default"/>
                      <w:color w:val="auto"/>
                      <w:sz w:val="21"/>
                      <w:szCs w:val="21"/>
                    </w:rPr>
                    <w:t>空间布局约束</w:t>
                  </w:r>
                </w:p>
              </w:tc>
              <w:tc>
                <w:tcPr>
                  <w:tcW w:w="2137" w:type="pct"/>
                  <w:gridSpan w:val="2"/>
                  <w:tcBorders>
                    <w:tl2br w:val="nil"/>
                    <w:tr2bl w:val="nil"/>
                  </w:tcBorders>
                  <w:noWrap w:val="0"/>
                  <w:vAlign w:val="center"/>
                </w:tcPr>
                <w:p w14:paraId="1AD8EB21">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rPr>
                    <w:t>禁止在化工产业园外改扩建现有化工项目（安全、环保、节能和智能化改造项目除外）</w:t>
                  </w:r>
                  <w:r>
                    <w:rPr>
                      <w:rFonts w:hint="default" w:ascii="Times New Roman" w:hAnsi="Times New Roman" w:cs="Times New Roman"/>
                      <w:color w:val="auto"/>
                      <w:lang w:eastAsia="zh-CN"/>
                    </w:rPr>
                    <w:t>。</w:t>
                  </w:r>
                </w:p>
              </w:tc>
              <w:tc>
                <w:tcPr>
                  <w:tcW w:w="1082" w:type="pct"/>
                  <w:tcBorders>
                    <w:tl2br w:val="nil"/>
                    <w:tr2bl w:val="nil"/>
                  </w:tcBorders>
                  <w:noWrap w:val="0"/>
                  <w:vAlign w:val="center"/>
                </w:tcPr>
                <w:p w14:paraId="737F004E">
                  <w:pPr>
                    <w:pStyle w:val="3"/>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本项目不属于化工项目。</w:t>
                  </w:r>
                </w:p>
              </w:tc>
              <w:tc>
                <w:tcPr>
                  <w:tcW w:w="742" w:type="pct"/>
                  <w:tcBorders>
                    <w:tl2br w:val="nil"/>
                    <w:tr2bl w:val="nil"/>
                  </w:tcBorders>
                  <w:noWrap w:val="0"/>
                  <w:vAlign w:val="center"/>
                </w:tcPr>
                <w:p w14:paraId="48992926">
                  <w:pPr>
                    <w:pStyle w:val="3"/>
                    <w:bidi w:val="0"/>
                    <w:rPr>
                      <w:rFonts w:hint="eastAsia"/>
                      <w:color w:val="auto"/>
                      <w:sz w:val="21"/>
                      <w:szCs w:val="21"/>
                      <w:lang w:eastAsia="zh-CN"/>
                    </w:rPr>
                  </w:pPr>
                  <w:r>
                    <w:rPr>
                      <w:rFonts w:hint="eastAsia"/>
                      <w:color w:val="auto"/>
                      <w:sz w:val="21"/>
                      <w:szCs w:val="21"/>
                      <w:lang w:val="en-US" w:eastAsia="zh-CN"/>
                    </w:rPr>
                    <w:t>符合</w:t>
                  </w:r>
                </w:p>
              </w:tc>
            </w:tr>
            <w:tr w14:paraId="132235F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38CBBD00">
                  <w:pPr>
                    <w:pStyle w:val="3"/>
                    <w:bidi w:val="0"/>
                    <w:rPr>
                      <w:rFonts w:hint="default"/>
                      <w:color w:val="auto"/>
                      <w:sz w:val="21"/>
                      <w:szCs w:val="21"/>
                    </w:rPr>
                  </w:pPr>
                </w:p>
              </w:tc>
              <w:tc>
                <w:tcPr>
                  <w:tcW w:w="513" w:type="pct"/>
                  <w:vMerge w:val="continue"/>
                  <w:tcBorders>
                    <w:tl2br w:val="nil"/>
                    <w:tr2bl w:val="nil"/>
                  </w:tcBorders>
                  <w:noWrap w:val="0"/>
                  <w:vAlign w:val="center"/>
                </w:tcPr>
                <w:p w14:paraId="52CBC2EE">
                  <w:pPr>
                    <w:pStyle w:val="3"/>
                    <w:bidi w:val="0"/>
                    <w:rPr>
                      <w:rFonts w:hint="default"/>
                      <w:color w:val="auto"/>
                      <w:sz w:val="21"/>
                      <w:szCs w:val="21"/>
                    </w:rPr>
                  </w:pPr>
                </w:p>
              </w:tc>
              <w:tc>
                <w:tcPr>
                  <w:tcW w:w="2137" w:type="pct"/>
                  <w:gridSpan w:val="2"/>
                  <w:tcBorders>
                    <w:tl2br w:val="nil"/>
                    <w:tr2bl w:val="nil"/>
                  </w:tcBorders>
                  <w:noWrap w:val="0"/>
                  <w:vAlign w:val="center"/>
                </w:tcPr>
                <w:p w14:paraId="7AD62002">
                  <w:pPr>
                    <w:pStyle w:val="3"/>
                    <w:bidi w:val="0"/>
                    <w:jc w:val="both"/>
                    <w:rPr>
                      <w:rFonts w:hint="default" w:ascii="Times New Roman" w:hAnsi="Times New Roman" w:eastAsia="宋体" w:cs="Times New Roman"/>
                      <w:color w:val="auto"/>
                      <w:lang w:eastAsia="zh-CN"/>
                    </w:rPr>
                  </w:pPr>
                  <w:r>
                    <w:rPr>
                      <w:rFonts w:hint="default" w:ascii="Times New Roman" w:hAnsi="Times New Roman" w:cs="Times New Roman"/>
                      <w:color w:val="auto"/>
                    </w:rPr>
                    <w:t>禁止在长江干支流岸线一公里范围内新建、扩建化工园区和化工项目</w:t>
                  </w:r>
                  <w:r>
                    <w:rPr>
                      <w:rFonts w:hint="default" w:ascii="Times New Roman" w:hAnsi="Times New Roman" w:eastAsia="宋体" w:cs="Times New Roman"/>
                      <w:color w:val="auto"/>
                      <w:lang w:eastAsia="zh-CN"/>
                    </w:rPr>
                    <w:t>。</w:t>
                  </w:r>
                </w:p>
              </w:tc>
              <w:tc>
                <w:tcPr>
                  <w:tcW w:w="1082" w:type="pct"/>
                  <w:tcBorders>
                    <w:tl2br w:val="nil"/>
                    <w:tr2bl w:val="nil"/>
                  </w:tcBorders>
                  <w:noWrap w:val="0"/>
                  <w:vAlign w:val="center"/>
                </w:tcPr>
                <w:p w14:paraId="50ADB4BA">
                  <w:pPr>
                    <w:pStyle w:val="3"/>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本项目不属于化工项目。</w:t>
                  </w:r>
                </w:p>
              </w:tc>
              <w:tc>
                <w:tcPr>
                  <w:tcW w:w="742" w:type="pct"/>
                  <w:tcBorders>
                    <w:tl2br w:val="nil"/>
                    <w:tr2bl w:val="nil"/>
                  </w:tcBorders>
                  <w:noWrap w:val="0"/>
                  <w:vAlign w:val="center"/>
                </w:tcPr>
                <w:p w14:paraId="23538A27">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4370011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0A640A3">
                  <w:pPr>
                    <w:pStyle w:val="3"/>
                    <w:bidi w:val="0"/>
                    <w:rPr>
                      <w:rFonts w:hint="default"/>
                      <w:color w:val="auto"/>
                      <w:sz w:val="21"/>
                      <w:szCs w:val="21"/>
                    </w:rPr>
                  </w:pPr>
                </w:p>
              </w:tc>
              <w:tc>
                <w:tcPr>
                  <w:tcW w:w="513" w:type="pct"/>
                  <w:vMerge w:val="continue"/>
                  <w:tcBorders>
                    <w:tl2br w:val="nil"/>
                    <w:tr2bl w:val="nil"/>
                  </w:tcBorders>
                  <w:noWrap w:val="0"/>
                  <w:vAlign w:val="center"/>
                </w:tcPr>
                <w:p w14:paraId="08DC32E4">
                  <w:pPr>
                    <w:pStyle w:val="3"/>
                    <w:bidi w:val="0"/>
                    <w:rPr>
                      <w:rFonts w:hint="default"/>
                      <w:color w:val="auto"/>
                      <w:sz w:val="21"/>
                      <w:szCs w:val="21"/>
                    </w:rPr>
                  </w:pPr>
                </w:p>
              </w:tc>
              <w:tc>
                <w:tcPr>
                  <w:tcW w:w="2137" w:type="pct"/>
                  <w:gridSpan w:val="2"/>
                  <w:tcBorders>
                    <w:tl2br w:val="nil"/>
                    <w:tr2bl w:val="nil"/>
                  </w:tcBorders>
                  <w:noWrap w:val="0"/>
                  <w:vAlign w:val="center"/>
                </w:tcPr>
                <w:p w14:paraId="5F1B5916">
                  <w:pPr>
                    <w:pStyle w:val="3"/>
                    <w:bidi w:val="0"/>
                    <w:jc w:val="both"/>
                    <w:rPr>
                      <w:rFonts w:hint="default" w:ascii="Times New Roman" w:hAnsi="Times New Roman" w:cs="Times New Roman"/>
                      <w:color w:val="auto"/>
                      <w:spacing w:val="-1"/>
                      <w:szCs w:val="21"/>
                    </w:rPr>
                  </w:pPr>
                  <w:r>
                    <w:rPr>
                      <w:rFonts w:hint="default" w:ascii="Times New Roman" w:hAnsi="Times New Roman" w:cs="Times New Roman"/>
                      <w:color w:val="auto"/>
                    </w:rPr>
                    <w:t>禁止在长江干流岸线三公里范围内和重要支流岸线一公里范围内新建、改建、扩建尾矿库，以提升安全、生态环境保护水平为目的的改建除外。</w:t>
                  </w:r>
                </w:p>
              </w:tc>
              <w:tc>
                <w:tcPr>
                  <w:tcW w:w="1082" w:type="pct"/>
                  <w:tcBorders>
                    <w:tl2br w:val="nil"/>
                    <w:tr2bl w:val="nil"/>
                  </w:tcBorders>
                  <w:noWrap w:val="0"/>
                  <w:vAlign w:val="center"/>
                </w:tcPr>
                <w:p w14:paraId="67D658BE">
                  <w:pPr>
                    <w:pStyle w:val="3"/>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本项目不属于尾矿库项目。</w:t>
                  </w:r>
                </w:p>
              </w:tc>
              <w:tc>
                <w:tcPr>
                  <w:tcW w:w="742" w:type="pct"/>
                  <w:tcBorders>
                    <w:tl2br w:val="nil"/>
                    <w:tr2bl w:val="nil"/>
                  </w:tcBorders>
                  <w:noWrap w:val="0"/>
                  <w:vAlign w:val="center"/>
                </w:tcPr>
                <w:p w14:paraId="2A1E1359">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39F6B99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B9D4B47">
                  <w:pPr>
                    <w:pStyle w:val="3"/>
                    <w:bidi w:val="0"/>
                    <w:rPr>
                      <w:rFonts w:hint="default"/>
                      <w:color w:val="auto"/>
                      <w:sz w:val="21"/>
                      <w:szCs w:val="21"/>
                    </w:rPr>
                  </w:pPr>
                </w:p>
              </w:tc>
              <w:tc>
                <w:tcPr>
                  <w:tcW w:w="513" w:type="pct"/>
                  <w:vMerge w:val="continue"/>
                  <w:tcBorders>
                    <w:tl2br w:val="nil"/>
                    <w:tr2bl w:val="nil"/>
                  </w:tcBorders>
                  <w:noWrap w:val="0"/>
                  <w:vAlign w:val="center"/>
                </w:tcPr>
                <w:p w14:paraId="7F320EA8">
                  <w:pPr>
                    <w:pStyle w:val="3"/>
                    <w:bidi w:val="0"/>
                    <w:rPr>
                      <w:rFonts w:hint="default"/>
                      <w:color w:val="auto"/>
                      <w:sz w:val="21"/>
                      <w:szCs w:val="21"/>
                    </w:rPr>
                  </w:pPr>
                </w:p>
              </w:tc>
              <w:tc>
                <w:tcPr>
                  <w:tcW w:w="2137" w:type="pct"/>
                  <w:gridSpan w:val="2"/>
                  <w:tcBorders>
                    <w:tl2br w:val="nil"/>
                    <w:tr2bl w:val="nil"/>
                  </w:tcBorders>
                  <w:noWrap w:val="0"/>
                  <w:vAlign w:val="center"/>
                </w:tcPr>
                <w:p w14:paraId="5EDF1176">
                  <w:pPr>
                    <w:pStyle w:val="3"/>
                    <w:bidi w:val="0"/>
                    <w:jc w:val="both"/>
                    <w:rPr>
                      <w:rFonts w:hint="default" w:ascii="Times New Roman" w:hAnsi="Times New Roman" w:eastAsia="宋体" w:cs="Times New Roman"/>
                      <w:color w:val="auto"/>
                      <w:spacing w:val="-1"/>
                      <w:sz w:val="21"/>
                      <w:szCs w:val="21"/>
                      <w:lang w:eastAsia="zh-CN"/>
                    </w:rPr>
                  </w:pPr>
                  <w:r>
                    <w:rPr>
                      <w:rFonts w:hint="default" w:ascii="Times New Roman" w:hAnsi="Times New Roman" w:cs="Times New Roman"/>
                      <w:color w:val="auto"/>
                      <w:spacing w:val="-1"/>
                    </w:rPr>
                    <w:t>城</w:t>
                  </w:r>
                  <w:r>
                    <w:rPr>
                      <w:rFonts w:hint="default" w:ascii="Times New Roman" w:hAnsi="Times New Roman" w:cs="Times New Roman"/>
                      <w:color w:val="auto"/>
                    </w:rPr>
                    <w:t>市建成区禁止新建20蒸吨/小时及以下燃煤锅炉，全面淘汰10蒸吨/小时及以下燃煤锅炉</w:t>
                  </w:r>
                  <w:r>
                    <w:rPr>
                      <w:rFonts w:hint="default" w:ascii="Times New Roman" w:hAnsi="Times New Roman" w:eastAsia="宋体" w:cs="Times New Roman"/>
                      <w:color w:val="auto"/>
                      <w:lang w:eastAsia="zh-CN"/>
                    </w:rPr>
                    <w:t>。</w:t>
                  </w:r>
                </w:p>
              </w:tc>
              <w:tc>
                <w:tcPr>
                  <w:tcW w:w="1082" w:type="pct"/>
                  <w:tcBorders>
                    <w:tl2br w:val="nil"/>
                    <w:tr2bl w:val="nil"/>
                  </w:tcBorders>
                  <w:noWrap w:val="0"/>
                  <w:vAlign w:val="center"/>
                </w:tcPr>
                <w:p w14:paraId="0DC630B4">
                  <w:pPr>
                    <w:pStyle w:val="3"/>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本项目不涉及燃煤锅炉。</w:t>
                  </w:r>
                </w:p>
              </w:tc>
              <w:tc>
                <w:tcPr>
                  <w:tcW w:w="742" w:type="pct"/>
                  <w:tcBorders>
                    <w:tl2br w:val="nil"/>
                    <w:tr2bl w:val="nil"/>
                  </w:tcBorders>
                  <w:noWrap w:val="0"/>
                  <w:vAlign w:val="center"/>
                </w:tcPr>
                <w:p w14:paraId="4B980219">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3E9F1A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71593E75">
                  <w:pPr>
                    <w:pStyle w:val="3"/>
                    <w:bidi w:val="0"/>
                    <w:rPr>
                      <w:rFonts w:hint="default"/>
                      <w:color w:val="auto"/>
                      <w:sz w:val="21"/>
                      <w:szCs w:val="21"/>
                    </w:rPr>
                  </w:pPr>
                </w:p>
              </w:tc>
              <w:tc>
                <w:tcPr>
                  <w:tcW w:w="513" w:type="pct"/>
                  <w:vMerge w:val="continue"/>
                  <w:tcBorders>
                    <w:tl2br w:val="nil"/>
                    <w:tr2bl w:val="nil"/>
                  </w:tcBorders>
                  <w:noWrap w:val="0"/>
                  <w:vAlign w:val="center"/>
                </w:tcPr>
                <w:p w14:paraId="1E7F229F">
                  <w:pPr>
                    <w:pStyle w:val="3"/>
                    <w:bidi w:val="0"/>
                    <w:rPr>
                      <w:rFonts w:hint="default"/>
                      <w:color w:val="auto"/>
                      <w:sz w:val="21"/>
                      <w:szCs w:val="21"/>
                    </w:rPr>
                  </w:pPr>
                </w:p>
              </w:tc>
              <w:tc>
                <w:tcPr>
                  <w:tcW w:w="2137" w:type="pct"/>
                  <w:gridSpan w:val="2"/>
                  <w:tcBorders>
                    <w:tl2br w:val="nil"/>
                    <w:tr2bl w:val="nil"/>
                  </w:tcBorders>
                  <w:noWrap w:val="0"/>
                  <w:vAlign w:val="center"/>
                </w:tcPr>
                <w:p w14:paraId="0C5D89C4">
                  <w:pPr>
                    <w:pStyle w:val="3"/>
                    <w:bidi w:val="0"/>
                    <w:jc w:val="both"/>
                    <w:rPr>
                      <w:rFonts w:hint="default" w:ascii="Times New Roman" w:hAnsi="Times New Roman" w:eastAsia="宋体" w:cs="Times New Roman"/>
                      <w:color w:val="auto"/>
                      <w:spacing w:val="-1"/>
                      <w:sz w:val="21"/>
                      <w:szCs w:val="21"/>
                      <w:lang w:eastAsia="zh-CN"/>
                    </w:rPr>
                  </w:pPr>
                  <w:r>
                    <w:rPr>
                      <w:rFonts w:hint="default" w:ascii="Times New Roman" w:hAnsi="Times New Roman" w:cs="Times New Roman"/>
                      <w:color w:val="auto"/>
                      <w:spacing w:val="-1"/>
                    </w:rPr>
                    <w:t>禁</w:t>
                  </w:r>
                  <w:r>
                    <w:rPr>
                      <w:rFonts w:hint="default" w:ascii="Times New Roman" w:hAnsi="Times New Roman" w:cs="Times New Roman"/>
                      <w:color w:val="auto"/>
                    </w:rPr>
                    <w:t>止在居民住宅楼、未配套设立专用烟道的商住综合楼以及商住</w:t>
                  </w:r>
                  <w:r>
                    <w:rPr>
                      <w:rFonts w:hint="default" w:ascii="Times New Roman" w:hAnsi="Times New Roman" w:cs="Times New Roman"/>
                      <w:color w:val="auto"/>
                      <w:spacing w:val="-1"/>
                    </w:rPr>
                    <w:t>综合楼内与居住层相</w:t>
                  </w:r>
                  <w:r>
                    <w:rPr>
                      <w:rFonts w:hint="default" w:ascii="Times New Roman" w:hAnsi="Times New Roman" w:cs="Times New Roman"/>
                      <w:color w:val="auto"/>
                    </w:rPr>
                    <w:t>邻的商业楼层内新建、改建、扩建产生油烟、异味、废气的餐</w:t>
                  </w:r>
                  <w:r>
                    <w:rPr>
                      <w:rFonts w:hint="default" w:ascii="Times New Roman" w:hAnsi="Times New Roman" w:cs="Times New Roman"/>
                      <w:color w:val="auto"/>
                      <w:spacing w:val="-1"/>
                    </w:rPr>
                    <w:t>饮服务、机动车维修</w:t>
                  </w:r>
                  <w:r>
                    <w:rPr>
                      <w:rFonts w:hint="default" w:ascii="Times New Roman" w:hAnsi="Times New Roman" w:cs="Times New Roman"/>
                      <w:color w:val="auto"/>
                      <w:spacing w:val="-9"/>
                    </w:rPr>
                    <w:t>项目</w:t>
                  </w:r>
                  <w:r>
                    <w:rPr>
                      <w:rFonts w:hint="default" w:ascii="Times New Roman" w:hAnsi="Times New Roman" w:eastAsia="宋体" w:cs="Times New Roman"/>
                      <w:color w:val="auto"/>
                      <w:spacing w:val="-9"/>
                      <w:lang w:eastAsia="zh-CN"/>
                    </w:rPr>
                    <w:t>。</w:t>
                  </w:r>
                </w:p>
              </w:tc>
              <w:tc>
                <w:tcPr>
                  <w:tcW w:w="1082" w:type="pct"/>
                  <w:tcBorders>
                    <w:tl2br w:val="nil"/>
                    <w:tr2bl w:val="nil"/>
                  </w:tcBorders>
                  <w:noWrap w:val="0"/>
                  <w:vAlign w:val="center"/>
                </w:tcPr>
                <w:p w14:paraId="2DC9B6A9">
                  <w:pPr>
                    <w:pStyle w:val="3"/>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本项目不属于餐饮服务、机动车维修项目。</w:t>
                  </w:r>
                </w:p>
              </w:tc>
              <w:tc>
                <w:tcPr>
                  <w:tcW w:w="742" w:type="pct"/>
                  <w:tcBorders>
                    <w:tl2br w:val="nil"/>
                    <w:tr2bl w:val="nil"/>
                  </w:tcBorders>
                  <w:noWrap w:val="0"/>
                  <w:vAlign w:val="center"/>
                </w:tcPr>
                <w:p w14:paraId="17372BFA">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03576B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AB077AE">
                  <w:pPr>
                    <w:pStyle w:val="3"/>
                    <w:bidi w:val="0"/>
                    <w:rPr>
                      <w:rFonts w:hint="default"/>
                      <w:color w:val="auto"/>
                      <w:sz w:val="21"/>
                      <w:szCs w:val="21"/>
                    </w:rPr>
                  </w:pPr>
                </w:p>
              </w:tc>
              <w:tc>
                <w:tcPr>
                  <w:tcW w:w="513" w:type="pct"/>
                  <w:vMerge w:val="restart"/>
                  <w:tcBorders>
                    <w:tl2br w:val="nil"/>
                    <w:tr2bl w:val="nil"/>
                  </w:tcBorders>
                  <w:noWrap w:val="0"/>
                  <w:vAlign w:val="center"/>
                </w:tcPr>
                <w:p w14:paraId="54714142">
                  <w:pPr>
                    <w:pStyle w:val="3"/>
                    <w:bidi w:val="0"/>
                    <w:rPr>
                      <w:rFonts w:hint="default"/>
                      <w:color w:val="auto"/>
                      <w:sz w:val="21"/>
                      <w:szCs w:val="21"/>
                    </w:rPr>
                  </w:pPr>
                  <w:r>
                    <w:rPr>
                      <w:rFonts w:hint="default"/>
                      <w:color w:val="auto"/>
                      <w:sz w:val="21"/>
                      <w:szCs w:val="21"/>
                    </w:rPr>
                    <w:t>污染物排放管控</w:t>
                  </w:r>
                </w:p>
              </w:tc>
              <w:tc>
                <w:tcPr>
                  <w:tcW w:w="2137" w:type="pct"/>
                  <w:gridSpan w:val="2"/>
                  <w:tcBorders>
                    <w:tl2br w:val="nil"/>
                    <w:tr2bl w:val="nil"/>
                  </w:tcBorders>
                  <w:noWrap w:val="0"/>
                  <w:vAlign w:val="center"/>
                </w:tcPr>
                <w:p w14:paraId="3B2A095E">
                  <w:pPr>
                    <w:pStyle w:val="3"/>
                    <w:bidi w:val="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pacing w:val="-1"/>
                    </w:rPr>
                    <w:t>实施中机龙桥、蓬威石化、正元香料锅炉低氮燃烧改造</w:t>
                  </w:r>
                  <w:r>
                    <w:rPr>
                      <w:rFonts w:hint="default" w:ascii="Times New Roman" w:hAnsi="Times New Roman" w:eastAsia="宋体" w:cs="Times New Roman"/>
                      <w:color w:val="auto"/>
                      <w:spacing w:val="-1"/>
                      <w:lang w:eastAsia="zh-CN"/>
                    </w:rPr>
                    <w:t>。</w:t>
                  </w:r>
                </w:p>
              </w:tc>
              <w:tc>
                <w:tcPr>
                  <w:tcW w:w="1082" w:type="pct"/>
                  <w:tcBorders>
                    <w:tl2br w:val="nil"/>
                    <w:tr2bl w:val="nil"/>
                  </w:tcBorders>
                  <w:noWrap w:val="0"/>
                  <w:vAlign w:val="center"/>
                </w:tcPr>
                <w:p w14:paraId="741A99D3">
                  <w:pPr>
                    <w:pStyle w:val="3"/>
                    <w:bidi w:val="0"/>
                    <w:jc w:val="both"/>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本项目不涉及。</w:t>
                  </w:r>
                </w:p>
              </w:tc>
              <w:tc>
                <w:tcPr>
                  <w:tcW w:w="742" w:type="pct"/>
                  <w:tcBorders>
                    <w:tl2br w:val="nil"/>
                    <w:tr2bl w:val="nil"/>
                  </w:tcBorders>
                  <w:noWrap w:val="0"/>
                  <w:vAlign w:val="center"/>
                </w:tcPr>
                <w:p w14:paraId="0D946027">
                  <w:pPr>
                    <w:pStyle w:val="3"/>
                    <w:bidi w:val="0"/>
                    <w:rPr>
                      <w:rFonts w:hint="eastAsia" w:eastAsia="宋体"/>
                      <w:color w:val="auto"/>
                      <w:sz w:val="21"/>
                      <w:szCs w:val="21"/>
                      <w:lang w:eastAsia="zh-CN"/>
                    </w:rPr>
                  </w:pPr>
                  <w:r>
                    <w:rPr>
                      <w:rFonts w:hint="eastAsia" w:eastAsia="宋体"/>
                      <w:color w:val="auto"/>
                      <w:sz w:val="21"/>
                      <w:szCs w:val="21"/>
                      <w:lang w:eastAsia="zh-CN"/>
                    </w:rPr>
                    <w:t>符合</w:t>
                  </w:r>
                </w:p>
              </w:tc>
            </w:tr>
            <w:tr w14:paraId="7415C1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298847DD">
                  <w:pPr>
                    <w:pStyle w:val="3"/>
                    <w:bidi w:val="0"/>
                    <w:rPr>
                      <w:rFonts w:hint="default"/>
                      <w:color w:val="auto"/>
                      <w:sz w:val="21"/>
                      <w:szCs w:val="21"/>
                    </w:rPr>
                  </w:pPr>
                </w:p>
              </w:tc>
              <w:tc>
                <w:tcPr>
                  <w:tcW w:w="513" w:type="pct"/>
                  <w:vMerge w:val="continue"/>
                  <w:tcBorders>
                    <w:tl2br w:val="nil"/>
                    <w:tr2bl w:val="nil"/>
                  </w:tcBorders>
                  <w:noWrap w:val="0"/>
                  <w:vAlign w:val="center"/>
                </w:tcPr>
                <w:p w14:paraId="7ECE52B2">
                  <w:pPr>
                    <w:pStyle w:val="3"/>
                    <w:bidi w:val="0"/>
                    <w:rPr>
                      <w:rFonts w:hint="default"/>
                      <w:color w:val="auto"/>
                      <w:sz w:val="21"/>
                      <w:szCs w:val="21"/>
                    </w:rPr>
                  </w:pPr>
                </w:p>
              </w:tc>
              <w:tc>
                <w:tcPr>
                  <w:tcW w:w="2137" w:type="pct"/>
                  <w:gridSpan w:val="2"/>
                  <w:tcBorders>
                    <w:tl2br w:val="nil"/>
                    <w:tr2bl w:val="nil"/>
                  </w:tcBorders>
                  <w:noWrap w:val="0"/>
                  <w:vAlign w:val="center"/>
                </w:tcPr>
                <w:p w14:paraId="0ABAAD04">
                  <w:pPr>
                    <w:pStyle w:val="3"/>
                    <w:bidi w:val="0"/>
                    <w:jc w:val="both"/>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pacing w:val="-1"/>
                    </w:rPr>
                    <w:t>加强涉</w:t>
                  </w:r>
                  <w:r>
                    <w:rPr>
                      <w:rFonts w:hint="default" w:ascii="Times New Roman" w:hAnsi="Times New Roman" w:eastAsia="宋体" w:cs="Times New Roman"/>
                      <w:color w:val="auto"/>
                      <w:spacing w:val="-1"/>
                      <w:lang w:val="en-US" w:eastAsia="zh-CN"/>
                    </w:rPr>
                    <w:t>VOCs</w:t>
                  </w:r>
                  <w:r>
                    <w:rPr>
                      <w:rFonts w:hint="default" w:ascii="Times New Roman" w:hAnsi="Times New Roman" w:cs="Times New Roman"/>
                      <w:color w:val="auto"/>
                      <w:spacing w:val="-1"/>
                    </w:rPr>
                    <w:t>排放企业</w:t>
                  </w:r>
                  <w:r>
                    <w:rPr>
                      <w:rFonts w:hint="default" w:ascii="Times New Roman" w:hAnsi="Times New Roman" w:cs="Times New Roman"/>
                      <w:color w:val="auto"/>
                    </w:rPr>
                    <w:t>的排查整治，有效提升污染物收集处理效率</w:t>
                  </w:r>
                  <w:r>
                    <w:rPr>
                      <w:rFonts w:hint="default" w:ascii="Times New Roman" w:hAnsi="Times New Roman" w:eastAsia="宋体" w:cs="Times New Roman"/>
                      <w:color w:val="auto"/>
                      <w:lang w:eastAsia="zh-CN"/>
                    </w:rPr>
                    <w:t>。</w:t>
                  </w:r>
                </w:p>
              </w:tc>
              <w:tc>
                <w:tcPr>
                  <w:tcW w:w="1082" w:type="pct"/>
                  <w:tcBorders>
                    <w:tl2br w:val="nil"/>
                    <w:tr2bl w:val="nil"/>
                  </w:tcBorders>
                  <w:noWrap w:val="0"/>
                  <w:vAlign w:val="center"/>
                </w:tcPr>
                <w:p w14:paraId="3C5D6450">
                  <w:pPr>
                    <w:pStyle w:val="3"/>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本项目不涉及VOCs的排放。</w:t>
                  </w:r>
                </w:p>
              </w:tc>
              <w:tc>
                <w:tcPr>
                  <w:tcW w:w="742" w:type="pct"/>
                  <w:tcBorders>
                    <w:tl2br w:val="nil"/>
                    <w:tr2bl w:val="nil"/>
                  </w:tcBorders>
                  <w:noWrap w:val="0"/>
                  <w:vAlign w:val="center"/>
                </w:tcPr>
                <w:p w14:paraId="37312940">
                  <w:pPr>
                    <w:pStyle w:val="3"/>
                    <w:bidi w:val="0"/>
                    <w:rPr>
                      <w:rFonts w:hint="eastAsia"/>
                      <w:color w:val="auto"/>
                      <w:sz w:val="21"/>
                      <w:szCs w:val="21"/>
                      <w:lang w:eastAsia="zh-CN"/>
                    </w:rPr>
                  </w:pPr>
                  <w:r>
                    <w:rPr>
                      <w:rFonts w:hint="eastAsia"/>
                      <w:color w:val="auto"/>
                      <w:sz w:val="21"/>
                      <w:szCs w:val="21"/>
                      <w:lang w:eastAsia="zh-CN"/>
                    </w:rPr>
                    <w:t>符合</w:t>
                  </w:r>
                </w:p>
              </w:tc>
            </w:tr>
            <w:tr w14:paraId="19A563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C4D9E40">
                  <w:pPr>
                    <w:pStyle w:val="3"/>
                    <w:bidi w:val="0"/>
                    <w:rPr>
                      <w:rFonts w:hint="default"/>
                      <w:color w:val="auto"/>
                      <w:sz w:val="21"/>
                      <w:szCs w:val="21"/>
                    </w:rPr>
                  </w:pPr>
                </w:p>
              </w:tc>
              <w:tc>
                <w:tcPr>
                  <w:tcW w:w="513" w:type="pct"/>
                  <w:vMerge w:val="continue"/>
                  <w:tcBorders>
                    <w:tl2br w:val="nil"/>
                    <w:tr2bl w:val="nil"/>
                  </w:tcBorders>
                  <w:noWrap w:val="0"/>
                  <w:vAlign w:val="center"/>
                </w:tcPr>
                <w:p w14:paraId="2188AB1C">
                  <w:pPr>
                    <w:pStyle w:val="3"/>
                    <w:bidi w:val="0"/>
                    <w:rPr>
                      <w:rFonts w:hint="default"/>
                      <w:color w:val="auto"/>
                      <w:sz w:val="21"/>
                      <w:szCs w:val="21"/>
                    </w:rPr>
                  </w:pPr>
                </w:p>
              </w:tc>
              <w:tc>
                <w:tcPr>
                  <w:tcW w:w="2137" w:type="pct"/>
                  <w:gridSpan w:val="2"/>
                  <w:tcBorders>
                    <w:tl2br w:val="nil"/>
                    <w:tr2bl w:val="nil"/>
                  </w:tcBorders>
                  <w:noWrap w:val="0"/>
                  <w:vAlign w:val="center"/>
                </w:tcPr>
                <w:p w14:paraId="765F8C6A">
                  <w:pPr>
                    <w:pStyle w:val="3"/>
                    <w:bidi w:val="0"/>
                    <w:jc w:val="both"/>
                    <w:rPr>
                      <w:rFonts w:hint="eastAsia" w:eastAsia="宋体"/>
                      <w:color w:val="auto"/>
                      <w:sz w:val="21"/>
                      <w:szCs w:val="21"/>
                      <w:lang w:eastAsia="zh-CN"/>
                    </w:rPr>
                  </w:pPr>
                  <w:r>
                    <w:rPr>
                      <w:color w:val="auto"/>
                    </w:rPr>
                    <w:t>加</w:t>
                  </w:r>
                  <w:r>
                    <w:rPr>
                      <w:color w:val="auto"/>
                      <w:spacing w:val="-1"/>
                    </w:rPr>
                    <w:t>快实施中粮油脂（重庆）有限公</w:t>
                  </w:r>
                  <w:r>
                    <w:rPr>
                      <w:color w:val="auto"/>
                    </w:rPr>
                    <w:t>司挥发性有机物治理。</w:t>
                  </w:r>
                </w:p>
              </w:tc>
              <w:tc>
                <w:tcPr>
                  <w:tcW w:w="1082" w:type="pct"/>
                  <w:tcBorders>
                    <w:tl2br w:val="nil"/>
                    <w:tr2bl w:val="nil"/>
                  </w:tcBorders>
                  <w:noWrap w:val="0"/>
                  <w:vAlign w:val="center"/>
                </w:tcPr>
                <w:p w14:paraId="17459896">
                  <w:pPr>
                    <w:pStyle w:val="3"/>
                    <w:bidi w:val="0"/>
                    <w:jc w:val="both"/>
                    <w:rPr>
                      <w:rFonts w:hint="eastAsia" w:eastAsia="宋体"/>
                      <w:color w:val="auto"/>
                      <w:sz w:val="21"/>
                      <w:szCs w:val="21"/>
                      <w:lang w:val="en-US" w:eastAsia="zh-CN"/>
                    </w:rPr>
                  </w:pPr>
                  <w:r>
                    <w:rPr>
                      <w:rFonts w:hint="eastAsia" w:eastAsia="宋体"/>
                      <w:color w:val="auto"/>
                      <w:sz w:val="21"/>
                      <w:szCs w:val="21"/>
                      <w:highlight w:val="none"/>
                      <w:lang w:eastAsia="zh-CN"/>
                    </w:rPr>
                    <w:t>该企业产生的</w:t>
                  </w:r>
                  <w:r>
                    <w:rPr>
                      <w:color w:val="auto"/>
                      <w:highlight w:val="none"/>
                    </w:rPr>
                    <w:t>挥发性有机物</w:t>
                  </w:r>
                  <w:r>
                    <w:rPr>
                      <w:rFonts w:hint="eastAsia" w:eastAsia="宋体"/>
                      <w:color w:val="auto"/>
                      <w:highlight w:val="none"/>
                      <w:lang w:eastAsia="zh-CN"/>
                    </w:rPr>
                    <w:t>得到收集、处理，能实现稳定达标排放。</w:t>
                  </w:r>
                </w:p>
              </w:tc>
              <w:tc>
                <w:tcPr>
                  <w:tcW w:w="742" w:type="pct"/>
                  <w:tcBorders>
                    <w:tl2br w:val="nil"/>
                    <w:tr2bl w:val="nil"/>
                  </w:tcBorders>
                  <w:noWrap w:val="0"/>
                  <w:vAlign w:val="center"/>
                </w:tcPr>
                <w:p w14:paraId="39CFED52">
                  <w:pPr>
                    <w:pStyle w:val="3"/>
                    <w:bidi w:val="0"/>
                    <w:rPr>
                      <w:rFonts w:hint="eastAsia"/>
                      <w:color w:val="auto"/>
                      <w:sz w:val="21"/>
                      <w:szCs w:val="21"/>
                      <w:lang w:eastAsia="zh-CN"/>
                    </w:rPr>
                  </w:pPr>
                  <w:r>
                    <w:rPr>
                      <w:rFonts w:hint="eastAsia"/>
                      <w:color w:val="auto"/>
                      <w:sz w:val="21"/>
                      <w:szCs w:val="21"/>
                      <w:lang w:eastAsia="zh-CN"/>
                    </w:rPr>
                    <w:t>符合</w:t>
                  </w:r>
                </w:p>
              </w:tc>
            </w:tr>
            <w:tr w14:paraId="5DFF28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5" w:type="pct"/>
                  <w:vMerge w:val="continue"/>
                  <w:tcBorders>
                    <w:tl2br w:val="nil"/>
                    <w:tr2bl w:val="nil"/>
                  </w:tcBorders>
                  <w:noWrap w:val="0"/>
                  <w:vAlign w:val="center"/>
                </w:tcPr>
                <w:p w14:paraId="2582D591">
                  <w:pPr>
                    <w:pStyle w:val="3"/>
                    <w:bidi w:val="0"/>
                    <w:rPr>
                      <w:rFonts w:hint="default"/>
                      <w:color w:val="auto"/>
                      <w:sz w:val="21"/>
                      <w:szCs w:val="21"/>
                    </w:rPr>
                  </w:pPr>
                </w:p>
              </w:tc>
              <w:tc>
                <w:tcPr>
                  <w:tcW w:w="513" w:type="pct"/>
                  <w:vMerge w:val="continue"/>
                  <w:tcBorders>
                    <w:tl2br w:val="nil"/>
                    <w:tr2bl w:val="nil"/>
                  </w:tcBorders>
                  <w:noWrap w:val="0"/>
                  <w:vAlign w:val="center"/>
                </w:tcPr>
                <w:p w14:paraId="694185DB">
                  <w:pPr>
                    <w:pStyle w:val="3"/>
                    <w:bidi w:val="0"/>
                    <w:rPr>
                      <w:rFonts w:hint="default"/>
                      <w:color w:val="auto"/>
                      <w:sz w:val="21"/>
                      <w:szCs w:val="21"/>
                    </w:rPr>
                  </w:pPr>
                </w:p>
              </w:tc>
              <w:tc>
                <w:tcPr>
                  <w:tcW w:w="2137" w:type="pct"/>
                  <w:gridSpan w:val="2"/>
                  <w:tcBorders>
                    <w:tl2br w:val="nil"/>
                    <w:tr2bl w:val="nil"/>
                  </w:tcBorders>
                  <w:noWrap w:val="0"/>
                  <w:vAlign w:val="center"/>
                </w:tcPr>
                <w:p w14:paraId="05F251E8">
                  <w:pPr>
                    <w:pStyle w:val="3"/>
                    <w:bidi w:val="0"/>
                    <w:jc w:val="both"/>
                    <w:rPr>
                      <w:rFonts w:hint="eastAsia" w:eastAsia="宋体"/>
                      <w:color w:val="auto"/>
                      <w:sz w:val="21"/>
                      <w:szCs w:val="21"/>
                      <w:lang w:eastAsia="zh-CN"/>
                    </w:rPr>
                  </w:pPr>
                  <w:r>
                    <w:rPr>
                      <w:color w:val="auto"/>
                    </w:rPr>
                    <w:t>在临港经济区集中供热管</w:t>
                  </w:r>
                  <w:r>
                    <w:rPr>
                      <w:color w:val="auto"/>
                      <w:spacing w:val="-1"/>
                    </w:rPr>
                    <w:t>网覆盖地区，除安全、质量要求外，禁止新建、扩建分散燃煤供热锅炉。</w:t>
                  </w:r>
                </w:p>
              </w:tc>
              <w:tc>
                <w:tcPr>
                  <w:tcW w:w="1082" w:type="pct"/>
                  <w:tcBorders>
                    <w:tl2br w:val="nil"/>
                    <w:tr2bl w:val="nil"/>
                  </w:tcBorders>
                  <w:noWrap w:val="0"/>
                  <w:vAlign w:val="center"/>
                </w:tcPr>
                <w:p w14:paraId="7369661A">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本项目不涉及供热管网的建设，不涉及燃煤供热锅炉。</w:t>
                  </w:r>
                </w:p>
              </w:tc>
              <w:tc>
                <w:tcPr>
                  <w:tcW w:w="742" w:type="pct"/>
                  <w:tcBorders>
                    <w:tl2br w:val="nil"/>
                    <w:tr2bl w:val="nil"/>
                  </w:tcBorders>
                  <w:noWrap w:val="0"/>
                  <w:vAlign w:val="center"/>
                </w:tcPr>
                <w:p w14:paraId="4627F525">
                  <w:pPr>
                    <w:pStyle w:val="3"/>
                    <w:bidi w:val="0"/>
                    <w:rPr>
                      <w:rFonts w:hint="eastAsia"/>
                      <w:color w:val="auto"/>
                      <w:sz w:val="21"/>
                      <w:szCs w:val="21"/>
                      <w:lang w:eastAsia="zh-CN"/>
                    </w:rPr>
                  </w:pPr>
                  <w:r>
                    <w:rPr>
                      <w:rFonts w:hint="eastAsia"/>
                      <w:color w:val="auto"/>
                      <w:sz w:val="21"/>
                      <w:szCs w:val="21"/>
                      <w:lang w:eastAsia="zh-CN"/>
                    </w:rPr>
                    <w:t>符合</w:t>
                  </w:r>
                </w:p>
              </w:tc>
            </w:tr>
            <w:tr w14:paraId="5E2DDA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461EADD8">
                  <w:pPr>
                    <w:pStyle w:val="3"/>
                    <w:bidi w:val="0"/>
                    <w:rPr>
                      <w:rFonts w:hint="default"/>
                      <w:color w:val="auto"/>
                      <w:sz w:val="21"/>
                      <w:szCs w:val="21"/>
                    </w:rPr>
                  </w:pPr>
                </w:p>
              </w:tc>
              <w:tc>
                <w:tcPr>
                  <w:tcW w:w="513" w:type="pct"/>
                  <w:vMerge w:val="continue"/>
                  <w:tcBorders>
                    <w:tl2br w:val="nil"/>
                    <w:tr2bl w:val="nil"/>
                  </w:tcBorders>
                  <w:noWrap w:val="0"/>
                  <w:vAlign w:val="center"/>
                </w:tcPr>
                <w:p w14:paraId="1E36D176">
                  <w:pPr>
                    <w:pStyle w:val="3"/>
                    <w:bidi w:val="0"/>
                    <w:rPr>
                      <w:rFonts w:hint="default"/>
                      <w:color w:val="auto"/>
                      <w:sz w:val="21"/>
                      <w:szCs w:val="21"/>
                    </w:rPr>
                  </w:pPr>
                </w:p>
              </w:tc>
              <w:tc>
                <w:tcPr>
                  <w:tcW w:w="2137" w:type="pct"/>
                  <w:gridSpan w:val="2"/>
                  <w:tcBorders>
                    <w:tl2br w:val="nil"/>
                    <w:tr2bl w:val="nil"/>
                  </w:tcBorders>
                  <w:noWrap w:val="0"/>
                  <w:vAlign w:val="center"/>
                </w:tcPr>
                <w:p w14:paraId="3E6C7D41">
                  <w:pPr>
                    <w:pStyle w:val="3"/>
                    <w:bidi w:val="0"/>
                    <w:jc w:val="both"/>
                    <w:rPr>
                      <w:rFonts w:hint="eastAsia" w:eastAsia="宋体"/>
                      <w:color w:val="auto"/>
                      <w:sz w:val="21"/>
                      <w:szCs w:val="21"/>
                      <w:lang w:eastAsia="zh-CN"/>
                    </w:rPr>
                  </w:pPr>
                  <w:r>
                    <w:rPr>
                      <w:color w:val="auto"/>
                      <w:spacing w:val="-1"/>
                    </w:rPr>
                    <w:t>加强中化涪陵化工磷石膏尾</w:t>
                  </w:r>
                  <w:r>
                    <w:rPr>
                      <w:color w:val="auto"/>
                      <w:spacing w:val="-2"/>
                    </w:rPr>
                    <w:t>矿库管理。</w:t>
                  </w:r>
                </w:p>
              </w:tc>
              <w:tc>
                <w:tcPr>
                  <w:tcW w:w="1082" w:type="pct"/>
                  <w:tcBorders>
                    <w:tl2br w:val="nil"/>
                    <w:tr2bl w:val="nil"/>
                  </w:tcBorders>
                  <w:noWrap w:val="0"/>
                  <w:vAlign w:val="center"/>
                </w:tcPr>
                <w:p w14:paraId="5D088695">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本项目不涉及</w:t>
                  </w:r>
                  <w:r>
                    <w:rPr>
                      <w:color w:val="auto"/>
                      <w:spacing w:val="-1"/>
                    </w:rPr>
                    <w:t>中化涪陵化工磷石膏尾</w:t>
                  </w:r>
                  <w:r>
                    <w:rPr>
                      <w:color w:val="auto"/>
                      <w:spacing w:val="-2"/>
                    </w:rPr>
                    <w:t>矿库管理</w:t>
                  </w:r>
                </w:p>
              </w:tc>
              <w:tc>
                <w:tcPr>
                  <w:tcW w:w="742" w:type="pct"/>
                  <w:tcBorders>
                    <w:tl2br w:val="nil"/>
                    <w:tr2bl w:val="nil"/>
                  </w:tcBorders>
                  <w:noWrap w:val="0"/>
                  <w:vAlign w:val="center"/>
                </w:tcPr>
                <w:p w14:paraId="742176BE">
                  <w:pPr>
                    <w:pStyle w:val="3"/>
                    <w:bidi w:val="0"/>
                    <w:rPr>
                      <w:rFonts w:hint="eastAsia"/>
                      <w:color w:val="auto"/>
                      <w:sz w:val="21"/>
                      <w:szCs w:val="21"/>
                      <w:lang w:eastAsia="zh-CN"/>
                    </w:rPr>
                  </w:pPr>
                  <w:r>
                    <w:rPr>
                      <w:rFonts w:hint="eastAsia"/>
                      <w:color w:val="auto"/>
                      <w:sz w:val="21"/>
                      <w:szCs w:val="21"/>
                      <w:lang w:eastAsia="zh-CN"/>
                    </w:rPr>
                    <w:t>符合</w:t>
                  </w:r>
                </w:p>
              </w:tc>
            </w:tr>
            <w:tr w14:paraId="211717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7B03BE98">
                  <w:pPr>
                    <w:pStyle w:val="3"/>
                    <w:bidi w:val="0"/>
                    <w:rPr>
                      <w:rFonts w:hint="default"/>
                      <w:color w:val="auto"/>
                      <w:sz w:val="21"/>
                      <w:szCs w:val="21"/>
                    </w:rPr>
                  </w:pPr>
                </w:p>
              </w:tc>
              <w:tc>
                <w:tcPr>
                  <w:tcW w:w="513" w:type="pct"/>
                  <w:vMerge w:val="continue"/>
                  <w:tcBorders>
                    <w:tl2br w:val="nil"/>
                    <w:tr2bl w:val="nil"/>
                  </w:tcBorders>
                  <w:noWrap w:val="0"/>
                  <w:vAlign w:val="center"/>
                </w:tcPr>
                <w:p w14:paraId="4B663854">
                  <w:pPr>
                    <w:pStyle w:val="3"/>
                    <w:bidi w:val="0"/>
                    <w:rPr>
                      <w:rFonts w:hint="default"/>
                      <w:color w:val="auto"/>
                      <w:sz w:val="21"/>
                      <w:szCs w:val="21"/>
                    </w:rPr>
                  </w:pPr>
                </w:p>
              </w:tc>
              <w:tc>
                <w:tcPr>
                  <w:tcW w:w="2137" w:type="pct"/>
                  <w:gridSpan w:val="2"/>
                  <w:tcBorders>
                    <w:tl2br w:val="nil"/>
                    <w:tr2bl w:val="nil"/>
                  </w:tcBorders>
                  <w:noWrap w:val="0"/>
                  <w:vAlign w:val="center"/>
                </w:tcPr>
                <w:p w14:paraId="089ED4D0">
                  <w:pPr>
                    <w:pStyle w:val="3"/>
                    <w:bidi w:val="0"/>
                    <w:jc w:val="both"/>
                    <w:rPr>
                      <w:rFonts w:hint="eastAsia" w:eastAsia="宋体"/>
                      <w:color w:val="auto"/>
                      <w:sz w:val="21"/>
                      <w:szCs w:val="21"/>
                      <w:lang w:eastAsia="zh-CN"/>
                    </w:rPr>
                  </w:pPr>
                  <w:r>
                    <w:rPr>
                      <w:color w:val="auto"/>
                      <w:spacing w:val="-1"/>
                    </w:rPr>
                    <w:t>加强辖区内企业、园区污水处理厂废水治理设施的管理，严禁废</w:t>
                  </w:r>
                  <w:r>
                    <w:rPr>
                      <w:color w:val="auto"/>
                      <w:spacing w:val="-2"/>
                    </w:rPr>
                    <w:t>水超标排放</w:t>
                  </w:r>
                  <w:r>
                    <w:rPr>
                      <w:rFonts w:hint="eastAsia" w:eastAsia="宋体"/>
                      <w:color w:val="auto"/>
                      <w:spacing w:val="-2"/>
                      <w:lang w:eastAsia="zh-CN"/>
                    </w:rPr>
                    <w:t>。</w:t>
                  </w:r>
                </w:p>
              </w:tc>
              <w:tc>
                <w:tcPr>
                  <w:tcW w:w="1082" w:type="pct"/>
                  <w:tcBorders>
                    <w:tl2br w:val="nil"/>
                    <w:tr2bl w:val="nil"/>
                  </w:tcBorders>
                  <w:noWrap w:val="0"/>
                  <w:vAlign w:val="center"/>
                </w:tcPr>
                <w:p w14:paraId="0DB9570A">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本项目废水依托厂区现有污水处理厂能实现达标排放。</w:t>
                  </w:r>
                </w:p>
              </w:tc>
              <w:tc>
                <w:tcPr>
                  <w:tcW w:w="742" w:type="pct"/>
                  <w:tcBorders>
                    <w:tl2br w:val="nil"/>
                    <w:tr2bl w:val="nil"/>
                  </w:tcBorders>
                  <w:noWrap w:val="0"/>
                  <w:vAlign w:val="center"/>
                </w:tcPr>
                <w:p w14:paraId="2F076254">
                  <w:pPr>
                    <w:pStyle w:val="3"/>
                    <w:bidi w:val="0"/>
                    <w:rPr>
                      <w:rFonts w:hint="eastAsia"/>
                      <w:color w:val="auto"/>
                      <w:sz w:val="21"/>
                      <w:szCs w:val="21"/>
                      <w:lang w:eastAsia="zh-CN"/>
                    </w:rPr>
                  </w:pPr>
                  <w:r>
                    <w:rPr>
                      <w:rFonts w:hint="eastAsia"/>
                      <w:color w:val="auto"/>
                      <w:sz w:val="21"/>
                      <w:szCs w:val="21"/>
                      <w:lang w:eastAsia="zh-CN"/>
                    </w:rPr>
                    <w:t>符合</w:t>
                  </w:r>
                </w:p>
              </w:tc>
            </w:tr>
            <w:tr w14:paraId="68DC1D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6D5B84FB">
                  <w:pPr>
                    <w:pStyle w:val="3"/>
                    <w:bidi w:val="0"/>
                    <w:rPr>
                      <w:rFonts w:hint="default"/>
                      <w:color w:val="auto"/>
                      <w:sz w:val="21"/>
                      <w:szCs w:val="21"/>
                    </w:rPr>
                  </w:pPr>
                </w:p>
              </w:tc>
              <w:tc>
                <w:tcPr>
                  <w:tcW w:w="513" w:type="pct"/>
                  <w:vMerge w:val="continue"/>
                  <w:tcBorders>
                    <w:tl2br w:val="nil"/>
                    <w:tr2bl w:val="nil"/>
                  </w:tcBorders>
                  <w:noWrap w:val="0"/>
                  <w:vAlign w:val="center"/>
                </w:tcPr>
                <w:p w14:paraId="2691406F">
                  <w:pPr>
                    <w:pStyle w:val="3"/>
                    <w:bidi w:val="0"/>
                    <w:rPr>
                      <w:rFonts w:hint="default"/>
                      <w:color w:val="auto"/>
                      <w:sz w:val="21"/>
                      <w:szCs w:val="21"/>
                    </w:rPr>
                  </w:pPr>
                </w:p>
              </w:tc>
              <w:tc>
                <w:tcPr>
                  <w:tcW w:w="2137" w:type="pct"/>
                  <w:gridSpan w:val="2"/>
                  <w:tcBorders>
                    <w:tl2br w:val="nil"/>
                    <w:tr2bl w:val="nil"/>
                  </w:tcBorders>
                  <w:noWrap w:val="0"/>
                  <w:vAlign w:val="center"/>
                </w:tcPr>
                <w:p w14:paraId="5983CF15">
                  <w:pPr>
                    <w:pStyle w:val="3"/>
                    <w:bidi w:val="0"/>
                    <w:jc w:val="both"/>
                    <w:rPr>
                      <w:rFonts w:hint="eastAsia" w:eastAsia="宋体"/>
                      <w:color w:val="auto"/>
                      <w:sz w:val="21"/>
                      <w:szCs w:val="21"/>
                      <w:lang w:eastAsia="zh-CN"/>
                    </w:rPr>
                  </w:pPr>
                  <w:r>
                    <w:rPr>
                      <w:color w:val="auto"/>
                      <w:spacing w:val="-1"/>
                    </w:rPr>
                    <w:t>加强学校、医院周边区域汽修行业大气和噪声</w:t>
                  </w:r>
                  <w:r>
                    <w:rPr>
                      <w:color w:val="auto"/>
                      <w:spacing w:val="-2"/>
                    </w:rPr>
                    <w:t>、娱乐业噪声污染防控。</w:t>
                  </w:r>
                </w:p>
              </w:tc>
              <w:tc>
                <w:tcPr>
                  <w:tcW w:w="1082" w:type="pct"/>
                  <w:tcBorders>
                    <w:tl2br w:val="nil"/>
                    <w:tr2bl w:val="nil"/>
                  </w:tcBorders>
                  <w:noWrap w:val="0"/>
                  <w:vAlign w:val="center"/>
                </w:tcPr>
                <w:p w14:paraId="26E31657">
                  <w:pPr>
                    <w:pStyle w:val="3"/>
                    <w:bidi w:val="0"/>
                    <w:jc w:val="both"/>
                    <w:rPr>
                      <w:rFonts w:hint="eastAsia" w:eastAsia="宋体"/>
                      <w:color w:val="auto"/>
                      <w:sz w:val="21"/>
                      <w:szCs w:val="21"/>
                      <w:lang w:eastAsia="zh-CN"/>
                    </w:rPr>
                  </w:pPr>
                  <w:r>
                    <w:rPr>
                      <w:rFonts w:hint="eastAsia" w:eastAsia="宋体"/>
                      <w:color w:val="auto"/>
                      <w:sz w:val="21"/>
                      <w:szCs w:val="21"/>
                      <w:lang w:eastAsia="zh-CN"/>
                    </w:rPr>
                    <w:t>本项目不属于汽修行业、娱乐业。</w:t>
                  </w:r>
                </w:p>
              </w:tc>
              <w:tc>
                <w:tcPr>
                  <w:tcW w:w="742" w:type="pct"/>
                  <w:tcBorders>
                    <w:tl2br w:val="nil"/>
                    <w:tr2bl w:val="nil"/>
                  </w:tcBorders>
                  <w:noWrap w:val="0"/>
                  <w:vAlign w:val="center"/>
                </w:tcPr>
                <w:p w14:paraId="027F80E9">
                  <w:pPr>
                    <w:pStyle w:val="3"/>
                    <w:bidi w:val="0"/>
                    <w:rPr>
                      <w:rFonts w:hint="eastAsia"/>
                      <w:color w:val="auto"/>
                      <w:sz w:val="21"/>
                      <w:szCs w:val="21"/>
                      <w:lang w:eastAsia="zh-CN"/>
                    </w:rPr>
                  </w:pPr>
                  <w:r>
                    <w:rPr>
                      <w:rFonts w:hint="eastAsia"/>
                      <w:color w:val="auto"/>
                      <w:sz w:val="21"/>
                      <w:szCs w:val="21"/>
                      <w:lang w:eastAsia="zh-CN"/>
                    </w:rPr>
                    <w:t>符合</w:t>
                  </w:r>
                </w:p>
              </w:tc>
            </w:tr>
            <w:tr w14:paraId="0AE61E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5293D7C5">
                  <w:pPr>
                    <w:pStyle w:val="3"/>
                    <w:bidi w:val="0"/>
                    <w:rPr>
                      <w:rFonts w:hint="default"/>
                      <w:color w:val="auto"/>
                      <w:sz w:val="21"/>
                      <w:szCs w:val="21"/>
                    </w:rPr>
                  </w:pPr>
                </w:p>
              </w:tc>
              <w:tc>
                <w:tcPr>
                  <w:tcW w:w="513" w:type="pct"/>
                  <w:vMerge w:val="restart"/>
                  <w:tcBorders>
                    <w:tl2br w:val="nil"/>
                    <w:tr2bl w:val="nil"/>
                  </w:tcBorders>
                  <w:noWrap w:val="0"/>
                  <w:vAlign w:val="center"/>
                </w:tcPr>
                <w:p w14:paraId="6A85BBA9">
                  <w:pPr>
                    <w:pStyle w:val="3"/>
                    <w:bidi w:val="0"/>
                    <w:rPr>
                      <w:rFonts w:hint="default"/>
                      <w:color w:val="auto"/>
                      <w:sz w:val="21"/>
                      <w:szCs w:val="21"/>
                    </w:rPr>
                  </w:pPr>
                  <w:r>
                    <w:rPr>
                      <w:rFonts w:hint="default"/>
                      <w:color w:val="auto"/>
                      <w:sz w:val="21"/>
                      <w:szCs w:val="21"/>
                    </w:rPr>
                    <w:t>环境风险防控</w:t>
                  </w:r>
                </w:p>
              </w:tc>
              <w:tc>
                <w:tcPr>
                  <w:tcW w:w="2137" w:type="pct"/>
                  <w:gridSpan w:val="2"/>
                  <w:tcBorders>
                    <w:tl2br w:val="nil"/>
                    <w:tr2bl w:val="nil"/>
                  </w:tcBorders>
                  <w:noWrap w:val="0"/>
                  <w:vAlign w:val="center"/>
                </w:tcPr>
                <w:p w14:paraId="72805A59">
                  <w:pPr>
                    <w:pStyle w:val="3"/>
                    <w:bidi w:val="0"/>
                    <w:jc w:val="both"/>
                    <w:rPr>
                      <w:rFonts w:hint="default"/>
                      <w:color w:val="auto"/>
                      <w:szCs w:val="21"/>
                    </w:rPr>
                  </w:pPr>
                  <w:r>
                    <w:rPr>
                      <w:color w:val="auto"/>
                    </w:rPr>
                    <w:t>强化重庆市涪陵临港经济区环境应急分中心管理，提升临港经济区应急救援能力。</w:t>
                  </w:r>
                </w:p>
              </w:tc>
              <w:tc>
                <w:tcPr>
                  <w:tcW w:w="1082" w:type="pct"/>
                  <w:tcBorders>
                    <w:tl2br w:val="nil"/>
                    <w:tr2bl w:val="nil"/>
                  </w:tcBorders>
                  <w:noWrap w:val="0"/>
                  <w:vAlign w:val="center"/>
                </w:tcPr>
                <w:p w14:paraId="5BECD382">
                  <w:pPr>
                    <w:pStyle w:val="3"/>
                    <w:bidi w:val="0"/>
                    <w:jc w:val="both"/>
                    <w:rPr>
                      <w:rFonts w:hint="eastAsia"/>
                      <w:color w:val="auto"/>
                      <w:sz w:val="21"/>
                      <w:szCs w:val="21"/>
                      <w:lang w:eastAsia="zh-CN"/>
                    </w:rPr>
                  </w:pPr>
                  <w:r>
                    <w:rPr>
                      <w:rFonts w:hint="eastAsia"/>
                      <w:color w:val="auto"/>
                      <w:sz w:val="21"/>
                      <w:szCs w:val="21"/>
                      <w:lang w:eastAsia="zh-CN"/>
                    </w:rPr>
                    <w:t>本项目不涉及上述内容。</w:t>
                  </w:r>
                </w:p>
              </w:tc>
              <w:tc>
                <w:tcPr>
                  <w:tcW w:w="742" w:type="pct"/>
                  <w:tcBorders>
                    <w:tl2br w:val="nil"/>
                    <w:tr2bl w:val="nil"/>
                  </w:tcBorders>
                  <w:noWrap w:val="0"/>
                  <w:vAlign w:val="center"/>
                </w:tcPr>
                <w:p w14:paraId="4C951058">
                  <w:pPr>
                    <w:pStyle w:val="3"/>
                    <w:bidi w:val="0"/>
                    <w:rPr>
                      <w:rFonts w:hint="default"/>
                      <w:color w:val="auto"/>
                      <w:sz w:val="21"/>
                      <w:szCs w:val="21"/>
                    </w:rPr>
                  </w:pPr>
                  <w:r>
                    <w:rPr>
                      <w:rFonts w:hint="eastAsia"/>
                      <w:color w:val="auto"/>
                      <w:sz w:val="21"/>
                      <w:szCs w:val="21"/>
                      <w:lang w:val="en-US" w:eastAsia="zh-CN"/>
                    </w:rPr>
                    <w:t>符合</w:t>
                  </w:r>
                </w:p>
              </w:tc>
            </w:tr>
            <w:tr w14:paraId="07F7E5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330F7BB4">
                  <w:pPr>
                    <w:pStyle w:val="3"/>
                    <w:bidi w:val="0"/>
                    <w:rPr>
                      <w:rFonts w:hint="default"/>
                      <w:color w:val="auto"/>
                      <w:sz w:val="21"/>
                      <w:szCs w:val="21"/>
                    </w:rPr>
                  </w:pPr>
                </w:p>
              </w:tc>
              <w:tc>
                <w:tcPr>
                  <w:tcW w:w="513" w:type="pct"/>
                  <w:vMerge w:val="continue"/>
                  <w:tcBorders>
                    <w:tl2br w:val="nil"/>
                    <w:tr2bl w:val="nil"/>
                  </w:tcBorders>
                  <w:noWrap w:val="0"/>
                  <w:vAlign w:val="center"/>
                </w:tcPr>
                <w:p w14:paraId="36FF3144">
                  <w:pPr>
                    <w:pStyle w:val="3"/>
                    <w:bidi w:val="0"/>
                    <w:rPr>
                      <w:rFonts w:hint="default"/>
                      <w:color w:val="auto"/>
                      <w:sz w:val="21"/>
                      <w:szCs w:val="21"/>
                    </w:rPr>
                  </w:pPr>
                </w:p>
              </w:tc>
              <w:tc>
                <w:tcPr>
                  <w:tcW w:w="2137" w:type="pct"/>
                  <w:gridSpan w:val="2"/>
                  <w:tcBorders>
                    <w:tl2br w:val="nil"/>
                    <w:tr2bl w:val="nil"/>
                  </w:tcBorders>
                  <w:noWrap w:val="0"/>
                  <w:vAlign w:val="center"/>
                </w:tcPr>
                <w:p w14:paraId="3F243C49">
                  <w:pPr>
                    <w:pStyle w:val="3"/>
                    <w:bidi w:val="0"/>
                    <w:jc w:val="both"/>
                    <w:rPr>
                      <w:rFonts w:hint="eastAsia" w:eastAsia="宋体"/>
                      <w:color w:val="auto"/>
                      <w:sz w:val="21"/>
                      <w:szCs w:val="21"/>
                      <w:lang w:val="en-US" w:eastAsia="zh-CN"/>
                    </w:rPr>
                  </w:pPr>
                  <w:r>
                    <w:rPr>
                      <w:color w:val="auto"/>
                      <w:spacing w:val="-1"/>
                    </w:rPr>
                    <w:t>完善入园企业环境风险防范设施建设；化工产业园建立</w:t>
                  </w:r>
                  <w:r>
                    <w:rPr>
                      <w:rFonts w:ascii="MS Gothic" w:hAnsi="MS Gothic" w:eastAsia="MS Gothic" w:cs="MS Gothic"/>
                      <w:color w:val="auto"/>
                      <w:spacing w:val="-1"/>
                    </w:rPr>
                    <w:t>“</w:t>
                  </w:r>
                  <w:r>
                    <w:rPr>
                      <w:color w:val="auto"/>
                      <w:spacing w:val="-1"/>
                    </w:rPr>
                    <w:t>装置</w:t>
                  </w:r>
                  <w:r>
                    <w:rPr>
                      <w:color w:val="auto"/>
                      <w:spacing w:val="-2"/>
                    </w:rPr>
                    <w:t>级、企业级、</w:t>
                  </w:r>
                  <w:r>
                    <w:rPr>
                      <w:color w:val="auto"/>
                    </w:rPr>
                    <w:t>园区级、流域级</w:t>
                  </w:r>
                  <w:r>
                    <w:rPr>
                      <w:rFonts w:ascii="MS Gothic" w:hAnsi="MS Gothic" w:eastAsia="MS Gothic" w:cs="MS Gothic"/>
                      <w:color w:val="auto"/>
                    </w:rPr>
                    <w:t>”</w:t>
                  </w:r>
                  <w:r>
                    <w:rPr>
                      <w:color w:val="auto"/>
                    </w:rPr>
                    <w:t>四级突发环境事件风险防控体系</w:t>
                  </w:r>
                  <w:r>
                    <w:rPr>
                      <w:rFonts w:hint="eastAsia" w:eastAsia="宋体"/>
                      <w:color w:val="auto"/>
                      <w:lang w:eastAsia="zh-CN"/>
                    </w:rPr>
                    <w:t>。</w:t>
                  </w:r>
                </w:p>
              </w:tc>
              <w:tc>
                <w:tcPr>
                  <w:tcW w:w="1082" w:type="pct"/>
                  <w:tcBorders>
                    <w:tl2br w:val="nil"/>
                    <w:tr2bl w:val="nil"/>
                  </w:tcBorders>
                  <w:noWrap w:val="0"/>
                  <w:vAlign w:val="center"/>
                </w:tcPr>
                <w:p w14:paraId="5C2EBAAD">
                  <w:pPr>
                    <w:pStyle w:val="3"/>
                    <w:bidi w:val="0"/>
                    <w:jc w:val="both"/>
                    <w:rPr>
                      <w:rFonts w:hint="eastAsia"/>
                      <w:color w:val="auto"/>
                      <w:sz w:val="21"/>
                      <w:szCs w:val="21"/>
                      <w:lang w:val="en-US" w:eastAsia="zh-CN"/>
                    </w:rPr>
                  </w:pPr>
                  <w:r>
                    <w:rPr>
                      <w:rFonts w:hint="eastAsia"/>
                      <w:color w:val="auto"/>
                      <w:lang w:eastAsia="zh-CN"/>
                    </w:rPr>
                    <w:t>本项目采取相应的环境风险防范措施，环境风险可控；企业建立了风险应急机制，修订完善了突发环境事件应急预案。</w:t>
                  </w:r>
                </w:p>
              </w:tc>
              <w:tc>
                <w:tcPr>
                  <w:tcW w:w="742" w:type="pct"/>
                  <w:tcBorders>
                    <w:tl2br w:val="nil"/>
                    <w:tr2bl w:val="nil"/>
                  </w:tcBorders>
                  <w:noWrap w:val="0"/>
                  <w:vAlign w:val="center"/>
                </w:tcPr>
                <w:p w14:paraId="4FA077A9">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701ADE8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7A2571AA">
                  <w:pPr>
                    <w:pStyle w:val="3"/>
                    <w:bidi w:val="0"/>
                    <w:rPr>
                      <w:rFonts w:hint="default"/>
                      <w:color w:val="auto"/>
                      <w:sz w:val="21"/>
                      <w:szCs w:val="21"/>
                    </w:rPr>
                  </w:pPr>
                </w:p>
              </w:tc>
              <w:tc>
                <w:tcPr>
                  <w:tcW w:w="513" w:type="pct"/>
                  <w:vMerge w:val="continue"/>
                  <w:tcBorders>
                    <w:tl2br w:val="nil"/>
                    <w:tr2bl w:val="nil"/>
                  </w:tcBorders>
                  <w:noWrap w:val="0"/>
                  <w:vAlign w:val="center"/>
                </w:tcPr>
                <w:p w14:paraId="58521105">
                  <w:pPr>
                    <w:pStyle w:val="3"/>
                    <w:bidi w:val="0"/>
                    <w:rPr>
                      <w:rFonts w:hint="default"/>
                      <w:color w:val="auto"/>
                      <w:sz w:val="21"/>
                      <w:szCs w:val="21"/>
                    </w:rPr>
                  </w:pPr>
                </w:p>
              </w:tc>
              <w:tc>
                <w:tcPr>
                  <w:tcW w:w="2137" w:type="pct"/>
                  <w:gridSpan w:val="2"/>
                  <w:tcBorders>
                    <w:tl2br w:val="nil"/>
                    <w:tr2bl w:val="nil"/>
                  </w:tcBorders>
                  <w:noWrap w:val="0"/>
                  <w:vAlign w:val="center"/>
                </w:tcPr>
                <w:p w14:paraId="2EFD5210">
                  <w:pPr>
                    <w:pStyle w:val="3"/>
                    <w:bidi w:val="0"/>
                    <w:jc w:val="both"/>
                    <w:rPr>
                      <w:rFonts w:hint="eastAsia" w:eastAsia="宋体"/>
                      <w:color w:val="auto"/>
                      <w:sz w:val="21"/>
                      <w:szCs w:val="21"/>
                      <w:lang w:val="en-US" w:eastAsia="zh-CN"/>
                    </w:rPr>
                  </w:pPr>
                  <w:r>
                    <w:rPr>
                      <w:color w:val="auto"/>
                    </w:rPr>
                    <w:t>制定完</w:t>
                  </w:r>
                  <w:r>
                    <w:rPr>
                      <w:color w:val="auto"/>
                      <w:spacing w:val="-1"/>
                    </w:rPr>
                    <w:t>善尾矿库突发环境事</w:t>
                  </w:r>
                  <w:r>
                    <w:rPr>
                      <w:color w:val="auto"/>
                    </w:rPr>
                    <w:t>件应急预案，加强中化涪陵化工磷石膏渣坝坝体位移监测和磷</w:t>
                  </w:r>
                  <w:r>
                    <w:rPr>
                      <w:color w:val="auto"/>
                      <w:spacing w:val="-1"/>
                    </w:rPr>
                    <w:t>石膏渗漏液污水处理</w:t>
                  </w:r>
                  <w:r>
                    <w:rPr>
                      <w:color w:val="auto"/>
                    </w:rPr>
                    <w:t>厂出水</w:t>
                  </w:r>
                  <w:r>
                    <w:rPr>
                      <w:rFonts w:hint="eastAsia" w:eastAsia="宋体"/>
                      <w:color w:val="auto"/>
                      <w:lang w:eastAsia="zh-CN"/>
                    </w:rPr>
                    <w:t>水</w:t>
                  </w:r>
                  <w:r>
                    <w:rPr>
                      <w:color w:val="auto"/>
                    </w:rPr>
                    <w:t>质监测</w:t>
                  </w:r>
                  <w:r>
                    <w:rPr>
                      <w:rFonts w:hint="eastAsia" w:eastAsia="宋体"/>
                      <w:color w:val="auto"/>
                      <w:lang w:eastAsia="zh-CN"/>
                    </w:rPr>
                    <w:t>。</w:t>
                  </w:r>
                </w:p>
              </w:tc>
              <w:tc>
                <w:tcPr>
                  <w:tcW w:w="1082" w:type="pct"/>
                  <w:tcBorders>
                    <w:tl2br w:val="nil"/>
                    <w:tr2bl w:val="nil"/>
                  </w:tcBorders>
                  <w:noWrap w:val="0"/>
                  <w:vAlign w:val="center"/>
                </w:tcPr>
                <w:p w14:paraId="326D4AA8">
                  <w:pPr>
                    <w:pStyle w:val="3"/>
                    <w:bidi w:val="0"/>
                    <w:jc w:val="both"/>
                    <w:rPr>
                      <w:rFonts w:hint="eastAsia"/>
                      <w:color w:val="auto"/>
                      <w:sz w:val="21"/>
                      <w:szCs w:val="21"/>
                      <w:lang w:val="en-US" w:eastAsia="zh-CN"/>
                    </w:rPr>
                  </w:pPr>
                  <w:r>
                    <w:rPr>
                      <w:rFonts w:hint="eastAsia"/>
                      <w:color w:val="auto"/>
                      <w:sz w:val="21"/>
                      <w:szCs w:val="21"/>
                      <w:lang w:val="en-US" w:eastAsia="zh-CN"/>
                    </w:rPr>
                    <w:t>本项目不属于尾矿库项目。</w:t>
                  </w:r>
                </w:p>
              </w:tc>
              <w:tc>
                <w:tcPr>
                  <w:tcW w:w="742" w:type="pct"/>
                  <w:tcBorders>
                    <w:tl2br w:val="nil"/>
                    <w:tr2bl w:val="nil"/>
                  </w:tcBorders>
                  <w:noWrap w:val="0"/>
                  <w:vAlign w:val="center"/>
                </w:tcPr>
                <w:p w14:paraId="53D25C75">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18A59D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06D87816">
                  <w:pPr>
                    <w:pStyle w:val="3"/>
                    <w:bidi w:val="0"/>
                    <w:rPr>
                      <w:rFonts w:hint="default"/>
                      <w:color w:val="auto"/>
                      <w:sz w:val="21"/>
                      <w:szCs w:val="21"/>
                    </w:rPr>
                  </w:pPr>
                </w:p>
              </w:tc>
              <w:tc>
                <w:tcPr>
                  <w:tcW w:w="513" w:type="pct"/>
                  <w:vMerge w:val="continue"/>
                  <w:tcBorders>
                    <w:tl2br w:val="nil"/>
                    <w:tr2bl w:val="nil"/>
                  </w:tcBorders>
                  <w:noWrap w:val="0"/>
                  <w:vAlign w:val="center"/>
                </w:tcPr>
                <w:p w14:paraId="786BCCAE">
                  <w:pPr>
                    <w:pStyle w:val="3"/>
                    <w:bidi w:val="0"/>
                    <w:rPr>
                      <w:rFonts w:hint="default"/>
                      <w:color w:val="auto"/>
                      <w:sz w:val="21"/>
                      <w:szCs w:val="21"/>
                    </w:rPr>
                  </w:pPr>
                </w:p>
              </w:tc>
              <w:tc>
                <w:tcPr>
                  <w:tcW w:w="2137" w:type="pct"/>
                  <w:gridSpan w:val="2"/>
                  <w:tcBorders>
                    <w:tl2br w:val="nil"/>
                    <w:tr2bl w:val="nil"/>
                  </w:tcBorders>
                  <w:noWrap w:val="0"/>
                  <w:vAlign w:val="center"/>
                </w:tcPr>
                <w:p w14:paraId="4D75BB53">
                  <w:pPr>
                    <w:pStyle w:val="3"/>
                    <w:bidi w:val="0"/>
                    <w:jc w:val="both"/>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rPr>
                    <w:t>强化化工企业环境风险管控</w:t>
                  </w:r>
                  <w:r>
                    <w:rPr>
                      <w:rFonts w:hint="default" w:ascii="Times New Roman" w:hAnsi="Times New Roman" w:eastAsia="宋体" w:cs="Times New Roman"/>
                      <w:color w:val="auto"/>
                      <w:lang w:eastAsia="zh-CN"/>
                    </w:rPr>
                    <w:t>。</w:t>
                  </w:r>
                </w:p>
              </w:tc>
              <w:tc>
                <w:tcPr>
                  <w:tcW w:w="1082" w:type="pct"/>
                  <w:tcBorders>
                    <w:tl2br w:val="nil"/>
                    <w:tr2bl w:val="nil"/>
                  </w:tcBorders>
                  <w:noWrap w:val="0"/>
                  <w:vAlign w:val="center"/>
                </w:tcPr>
                <w:p w14:paraId="3CAE1901">
                  <w:pPr>
                    <w:pStyle w:val="3"/>
                    <w:bidi w:val="0"/>
                    <w:jc w:val="both"/>
                    <w:rPr>
                      <w:rFonts w:hint="eastAsia"/>
                      <w:color w:val="auto"/>
                      <w:sz w:val="21"/>
                      <w:szCs w:val="21"/>
                      <w:lang w:val="en-US" w:eastAsia="zh-CN"/>
                    </w:rPr>
                  </w:pPr>
                  <w:r>
                    <w:rPr>
                      <w:rFonts w:hint="eastAsia"/>
                      <w:color w:val="auto"/>
                      <w:lang w:eastAsia="zh-CN"/>
                    </w:rPr>
                    <w:t>本项目不属于化工企业，企业采取相应的环境风险防范措施，环境风险可控。</w:t>
                  </w:r>
                </w:p>
              </w:tc>
              <w:tc>
                <w:tcPr>
                  <w:tcW w:w="742" w:type="pct"/>
                  <w:tcBorders>
                    <w:tl2br w:val="nil"/>
                    <w:tr2bl w:val="nil"/>
                  </w:tcBorders>
                  <w:noWrap w:val="0"/>
                  <w:vAlign w:val="center"/>
                </w:tcPr>
                <w:p w14:paraId="5F70D4F4">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71886D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1EFF8DC7">
                  <w:pPr>
                    <w:pStyle w:val="3"/>
                    <w:bidi w:val="0"/>
                    <w:rPr>
                      <w:rFonts w:hint="default"/>
                      <w:color w:val="auto"/>
                      <w:sz w:val="21"/>
                      <w:szCs w:val="21"/>
                    </w:rPr>
                  </w:pPr>
                </w:p>
              </w:tc>
              <w:tc>
                <w:tcPr>
                  <w:tcW w:w="513" w:type="pct"/>
                  <w:vMerge w:val="continue"/>
                  <w:tcBorders>
                    <w:tl2br w:val="nil"/>
                    <w:tr2bl w:val="nil"/>
                  </w:tcBorders>
                  <w:noWrap w:val="0"/>
                  <w:vAlign w:val="center"/>
                </w:tcPr>
                <w:p w14:paraId="6ABB1045">
                  <w:pPr>
                    <w:pStyle w:val="3"/>
                    <w:bidi w:val="0"/>
                    <w:rPr>
                      <w:rFonts w:hint="default"/>
                      <w:color w:val="auto"/>
                      <w:sz w:val="21"/>
                      <w:szCs w:val="21"/>
                    </w:rPr>
                  </w:pPr>
                </w:p>
              </w:tc>
              <w:tc>
                <w:tcPr>
                  <w:tcW w:w="2137" w:type="pct"/>
                  <w:gridSpan w:val="2"/>
                  <w:tcBorders>
                    <w:tl2br w:val="nil"/>
                    <w:tr2bl w:val="nil"/>
                  </w:tcBorders>
                  <w:noWrap w:val="0"/>
                  <w:vAlign w:val="center"/>
                </w:tcPr>
                <w:p w14:paraId="4415D9A9">
                  <w:pPr>
                    <w:pStyle w:val="3"/>
                    <w:bidi w:val="0"/>
                    <w:jc w:val="both"/>
                    <w:rPr>
                      <w:rFonts w:hint="default" w:ascii="Times New Roman" w:hAnsi="Times New Roman" w:cs="Times New Roman"/>
                      <w:color w:val="auto"/>
                      <w:sz w:val="21"/>
                      <w:szCs w:val="21"/>
                      <w:lang w:val="en-US" w:eastAsia="zh-CN"/>
                    </w:rPr>
                  </w:pPr>
                  <w:r>
                    <w:rPr>
                      <w:rFonts w:hint="default" w:ascii="Times New Roman" w:hAnsi="Times New Roman" w:cs="Times New Roman"/>
                      <w:color w:val="auto"/>
                    </w:rPr>
                    <w:t>加强园</w:t>
                  </w:r>
                  <w:r>
                    <w:rPr>
                      <w:rFonts w:hint="default" w:ascii="Times New Roman" w:hAnsi="Times New Roman" w:cs="Times New Roman"/>
                      <w:color w:val="auto"/>
                      <w:spacing w:val="-1"/>
                    </w:rPr>
                    <w:t>区地下水和土壤环境</w:t>
                  </w:r>
                  <w:r>
                    <w:rPr>
                      <w:rFonts w:hint="default" w:ascii="Times New Roman" w:hAnsi="Times New Roman" w:cs="Times New Roman"/>
                      <w:color w:val="auto"/>
                      <w:spacing w:val="-7"/>
                    </w:rPr>
                    <w:t>质量监测。</w:t>
                  </w:r>
                </w:p>
              </w:tc>
              <w:tc>
                <w:tcPr>
                  <w:tcW w:w="1082" w:type="pct"/>
                  <w:tcBorders>
                    <w:tl2br w:val="nil"/>
                    <w:tr2bl w:val="nil"/>
                  </w:tcBorders>
                  <w:noWrap w:val="0"/>
                  <w:vAlign w:val="center"/>
                </w:tcPr>
                <w:p w14:paraId="3EBA8E34">
                  <w:pPr>
                    <w:pStyle w:val="3"/>
                    <w:bidi w:val="0"/>
                    <w:jc w:val="both"/>
                    <w:rPr>
                      <w:rFonts w:hint="eastAsia"/>
                      <w:color w:val="auto"/>
                      <w:sz w:val="21"/>
                      <w:szCs w:val="21"/>
                      <w:lang w:val="en-US" w:eastAsia="zh-CN"/>
                    </w:rPr>
                  </w:pPr>
                  <w:r>
                    <w:rPr>
                      <w:rFonts w:hint="eastAsia"/>
                      <w:color w:val="auto"/>
                      <w:sz w:val="21"/>
                      <w:szCs w:val="21"/>
                      <w:lang w:val="en-US" w:eastAsia="zh-CN"/>
                    </w:rPr>
                    <w:t>本项目不涉及上述内容。</w:t>
                  </w:r>
                </w:p>
              </w:tc>
              <w:tc>
                <w:tcPr>
                  <w:tcW w:w="742" w:type="pct"/>
                  <w:tcBorders>
                    <w:tl2br w:val="nil"/>
                    <w:tr2bl w:val="nil"/>
                  </w:tcBorders>
                  <w:noWrap w:val="0"/>
                  <w:vAlign w:val="center"/>
                </w:tcPr>
                <w:p w14:paraId="38B83E6A">
                  <w:pPr>
                    <w:pStyle w:val="3"/>
                    <w:bidi w:val="0"/>
                    <w:rPr>
                      <w:rFonts w:hint="eastAsia"/>
                      <w:color w:val="auto"/>
                      <w:sz w:val="21"/>
                      <w:szCs w:val="21"/>
                      <w:lang w:val="en-US" w:eastAsia="zh-CN"/>
                    </w:rPr>
                  </w:pPr>
                  <w:r>
                    <w:rPr>
                      <w:rFonts w:hint="eastAsia"/>
                      <w:color w:val="auto"/>
                      <w:sz w:val="21"/>
                      <w:szCs w:val="21"/>
                      <w:lang w:val="en-US" w:eastAsia="zh-CN"/>
                    </w:rPr>
                    <w:t>符合</w:t>
                  </w:r>
                </w:p>
              </w:tc>
            </w:tr>
            <w:tr w14:paraId="607F85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1414BD8D">
                  <w:pPr>
                    <w:pStyle w:val="3"/>
                    <w:bidi w:val="0"/>
                    <w:rPr>
                      <w:rFonts w:hint="default"/>
                      <w:color w:val="auto"/>
                      <w:sz w:val="21"/>
                      <w:szCs w:val="21"/>
                    </w:rPr>
                  </w:pPr>
                </w:p>
              </w:tc>
              <w:tc>
                <w:tcPr>
                  <w:tcW w:w="513" w:type="pct"/>
                  <w:vMerge w:val="restart"/>
                  <w:tcBorders>
                    <w:tl2br w:val="nil"/>
                    <w:tr2bl w:val="nil"/>
                  </w:tcBorders>
                  <w:noWrap w:val="0"/>
                  <w:vAlign w:val="center"/>
                </w:tcPr>
                <w:p w14:paraId="175F9B7D">
                  <w:pPr>
                    <w:pStyle w:val="3"/>
                    <w:bidi w:val="0"/>
                    <w:rPr>
                      <w:rFonts w:hint="default"/>
                      <w:color w:val="auto"/>
                      <w:sz w:val="21"/>
                      <w:szCs w:val="21"/>
                    </w:rPr>
                  </w:pPr>
                  <w:r>
                    <w:rPr>
                      <w:rFonts w:hint="default"/>
                      <w:color w:val="auto"/>
                      <w:sz w:val="21"/>
                      <w:szCs w:val="21"/>
                    </w:rPr>
                    <w:t>资源开发利用效率</w:t>
                  </w:r>
                </w:p>
              </w:tc>
              <w:tc>
                <w:tcPr>
                  <w:tcW w:w="2137" w:type="pct"/>
                  <w:gridSpan w:val="2"/>
                  <w:tcBorders>
                    <w:tl2br w:val="nil"/>
                    <w:tr2bl w:val="nil"/>
                  </w:tcBorders>
                  <w:noWrap w:val="0"/>
                  <w:vAlign w:val="center"/>
                </w:tcPr>
                <w:p w14:paraId="51A2C9ED">
                  <w:pPr>
                    <w:pStyle w:val="3"/>
                    <w:bidi w:val="0"/>
                    <w:jc w:val="both"/>
                    <w:rPr>
                      <w:rFonts w:hint="default" w:ascii="Times New Roman" w:hAnsi="Times New Roman" w:cs="Times New Roman"/>
                      <w:color w:val="auto"/>
                      <w:sz w:val="21"/>
                      <w:szCs w:val="21"/>
                    </w:rPr>
                  </w:pPr>
                  <w:r>
                    <w:rPr>
                      <w:rFonts w:hint="default" w:ascii="Times New Roman" w:hAnsi="Times New Roman" w:cs="Times New Roman"/>
                      <w:color w:val="auto"/>
                      <w:spacing w:val="-1"/>
                    </w:rPr>
                    <w:t>火电行业机组煤耗标准需达到国内清洁生产先进水平。</w:t>
                  </w:r>
                </w:p>
              </w:tc>
              <w:tc>
                <w:tcPr>
                  <w:tcW w:w="1082" w:type="pct"/>
                  <w:tcBorders>
                    <w:tl2br w:val="nil"/>
                    <w:tr2bl w:val="nil"/>
                  </w:tcBorders>
                  <w:noWrap w:val="0"/>
                  <w:vAlign w:val="center"/>
                </w:tcPr>
                <w:p w14:paraId="4399B400">
                  <w:pPr>
                    <w:pStyle w:val="3"/>
                    <w:bidi w:val="0"/>
                    <w:jc w:val="both"/>
                    <w:rPr>
                      <w:rFonts w:hint="eastAsia" w:eastAsia="宋体"/>
                      <w:color w:val="auto"/>
                      <w:sz w:val="21"/>
                      <w:szCs w:val="21"/>
                      <w:lang w:eastAsia="zh-CN"/>
                    </w:rPr>
                  </w:pPr>
                  <w:r>
                    <w:rPr>
                      <w:rFonts w:hint="eastAsia"/>
                      <w:color w:val="auto"/>
                      <w:sz w:val="21"/>
                      <w:szCs w:val="21"/>
                      <w:lang w:eastAsia="zh-CN"/>
                    </w:rPr>
                    <w:t>本项目不涉及</w:t>
                  </w:r>
                  <w:r>
                    <w:rPr>
                      <w:color w:val="auto"/>
                      <w:spacing w:val="-1"/>
                    </w:rPr>
                    <w:t>火电行业机组</w:t>
                  </w:r>
                  <w:r>
                    <w:rPr>
                      <w:rFonts w:hint="eastAsia" w:eastAsia="宋体"/>
                      <w:color w:val="auto"/>
                      <w:spacing w:val="-1"/>
                      <w:lang w:eastAsia="zh-CN"/>
                    </w:rPr>
                    <w:t>。</w:t>
                  </w:r>
                </w:p>
              </w:tc>
              <w:tc>
                <w:tcPr>
                  <w:tcW w:w="742" w:type="pct"/>
                  <w:tcBorders>
                    <w:tl2br w:val="nil"/>
                    <w:tr2bl w:val="nil"/>
                  </w:tcBorders>
                  <w:noWrap w:val="0"/>
                  <w:vAlign w:val="center"/>
                </w:tcPr>
                <w:p w14:paraId="1859E151">
                  <w:pPr>
                    <w:pStyle w:val="3"/>
                    <w:bidi w:val="0"/>
                    <w:rPr>
                      <w:rFonts w:hint="default"/>
                      <w:color w:val="auto"/>
                      <w:sz w:val="21"/>
                      <w:szCs w:val="21"/>
                    </w:rPr>
                  </w:pPr>
                  <w:r>
                    <w:rPr>
                      <w:color w:val="auto"/>
                      <w:sz w:val="21"/>
                      <w:szCs w:val="21"/>
                    </w:rPr>
                    <w:t>符合</w:t>
                  </w:r>
                </w:p>
              </w:tc>
            </w:tr>
            <w:tr w14:paraId="489548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4EEAB3EE">
                  <w:pPr>
                    <w:pStyle w:val="3"/>
                    <w:bidi w:val="0"/>
                    <w:rPr>
                      <w:rFonts w:hint="default"/>
                      <w:color w:val="auto"/>
                      <w:sz w:val="21"/>
                      <w:szCs w:val="21"/>
                    </w:rPr>
                  </w:pPr>
                </w:p>
              </w:tc>
              <w:tc>
                <w:tcPr>
                  <w:tcW w:w="513" w:type="pct"/>
                  <w:vMerge w:val="continue"/>
                  <w:tcBorders>
                    <w:tl2br w:val="nil"/>
                    <w:tr2bl w:val="nil"/>
                  </w:tcBorders>
                  <w:noWrap w:val="0"/>
                  <w:vAlign w:val="center"/>
                </w:tcPr>
                <w:p w14:paraId="13B970CF">
                  <w:pPr>
                    <w:pStyle w:val="3"/>
                    <w:bidi w:val="0"/>
                    <w:rPr>
                      <w:rFonts w:hint="default"/>
                      <w:color w:val="auto"/>
                      <w:sz w:val="21"/>
                      <w:szCs w:val="21"/>
                    </w:rPr>
                  </w:pPr>
                </w:p>
              </w:tc>
              <w:tc>
                <w:tcPr>
                  <w:tcW w:w="2137" w:type="pct"/>
                  <w:gridSpan w:val="2"/>
                  <w:tcBorders>
                    <w:tl2br w:val="nil"/>
                    <w:tr2bl w:val="nil"/>
                  </w:tcBorders>
                  <w:noWrap w:val="0"/>
                  <w:vAlign w:val="center"/>
                </w:tcPr>
                <w:p w14:paraId="5294F5A3">
                  <w:pPr>
                    <w:pStyle w:val="3"/>
                    <w:bidi w:val="0"/>
                    <w:jc w:val="both"/>
                    <w:rPr>
                      <w:rFonts w:hint="default" w:ascii="Times New Roman" w:hAnsi="Times New Roman" w:cs="Times New Roman"/>
                      <w:color w:val="auto"/>
                      <w:szCs w:val="21"/>
                    </w:rPr>
                  </w:pPr>
                  <w:r>
                    <w:rPr>
                      <w:rFonts w:hint="default" w:ascii="Times New Roman" w:hAnsi="Times New Roman" w:cs="Times New Roman"/>
                      <w:color w:val="auto"/>
                    </w:rPr>
                    <w:t>全面推进城镇绿色规划、绿色建设、绿色运行管理，推动低碳城市、韧性城市、海绵城市、</w:t>
                  </w:r>
                  <w:r>
                    <w:rPr>
                      <w:rFonts w:hint="default" w:ascii="Times New Roman" w:hAnsi="Times New Roman" w:eastAsia="宋体" w:cs="Times New Roman"/>
                      <w:color w:val="auto"/>
                      <w:lang w:eastAsia="zh-CN"/>
                    </w:rPr>
                    <w:t>“</w:t>
                  </w:r>
                  <w:r>
                    <w:rPr>
                      <w:rFonts w:hint="default" w:ascii="Times New Roman" w:hAnsi="Times New Roman" w:cs="Times New Roman"/>
                      <w:color w:val="auto"/>
                    </w:rPr>
                    <w:t>无废城市</w:t>
                  </w:r>
                  <w:r>
                    <w:rPr>
                      <w:rFonts w:hint="default" w:ascii="Times New Roman" w:hAnsi="Times New Roman" w:eastAsia="宋体" w:cs="Times New Roman"/>
                      <w:color w:val="auto"/>
                      <w:lang w:eastAsia="zh-CN"/>
                    </w:rPr>
                    <w:t>”</w:t>
                  </w:r>
                  <w:r>
                    <w:rPr>
                      <w:rFonts w:hint="default" w:ascii="Times New Roman" w:hAnsi="Times New Roman" w:cs="Times New Roman"/>
                      <w:color w:val="auto"/>
                    </w:rPr>
                    <w:t>建设。</w:t>
                  </w:r>
                </w:p>
              </w:tc>
              <w:tc>
                <w:tcPr>
                  <w:tcW w:w="1082" w:type="pct"/>
                  <w:tcBorders>
                    <w:tl2br w:val="nil"/>
                    <w:tr2bl w:val="nil"/>
                  </w:tcBorders>
                  <w:noWrap w:val="0"/>
                  <w:vAlign w:val="center"/>
                </w:tcPr>
                <w:p w14:paraId="6C386475">
                  <w:pPr>
                    <w:pStyle w:val="3"/>
                    <w:bidi w:val="0"/>
                    <w:jc w:val="both"/>
                    <w:rPr>
                      <w:rFonts w:hint="eastAsia"/>
                      <w:color w:val="auto"/>
                      <w:sz w:val="21"/>
                      <w:szCs w:val="21"/>
                      <w:lang w:eastAsia="zh-CN"/>
                    </w:rPr>
                  </w:pPr>
                  <w:r>
                    <w:rPr>
                      <w:rFonts w:hint="eastAsia"/>
                      <w:color w:val="auto"/>
                      <w:sz w:val="21"/>
                      <w:szCs w:val="21"/>
                      <w:lang w:val="en-US" w:eastAsia="zh-CN"/>
                    </w:rPr>
                    <w:t>本项目不涉及上述内容。</w:t>
                  </w:r>
                </w:p>
              </w:tc>
              <w:tc>
                <w:tcPr>
                  <w:tcW w:w="742" w:type="pct"/>
                  <w:tcBorders>
                    <w:tl2br w:val="nil"/>
                    <w:tr2bl w:val="nil"/>
                  </w:tcBorders>
                  <w:noWrap w:val="0"/>
                  <w:vAlign w:val="center"/>
                </w:tcPr>
                <w:p w14:paraId="6B010FDF">
                  <w:pPr>
                    <w:pStyle w:val="3"/>
                    <w:bidi w:val="0"/>
                    <w:rPr>
                      <w:rFonts w:hint="eastAsia" w:eastAsia="宋体"/>
                      <w:color w:val="auto"/>
                      <w:sz w:val="21"/>
                      <w:szCs w:val="21"/>
                      <w:lang w:eastAsia="zh-CN"/>
                    </w:rPr>
                  </w:pPr>
                  <w:r>
                    <w:rPr>
                      <w:rFonts w:hint="eastAsia" w:eastAsia="宋体"/>
                      <w:color w:val="auto"/>
                      <w:sz w:val="21"/>
                      <w:szCs w:val="21"/>
                      <w:lang w:eastAsia="zh-CN"/>
                    </w:rPr>
                    <w:t>符合</w:t>
                  </w:r>
                </w:p>
              </w:tc>
            </w:tr>
            <w:tr w14:paraId="41DD24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25" w:type="pct"/>
                  <w:vMerge w:val="continue"/>
                  <w:tcBorders>
                    <w:tl2br w:val="nil"/>
                    <w:tr2bl w:val="nil"/>
                  </w:tcBorders>
                  <w:noWrap w:val="0"/>
                  <w:vAlign w:val="center"/>
                </w:tcPr>
                <w:p w14:paraId="1118C79C">
                  <w:pPr>
                    <w:pStyle w:val="3"/>
                    <w:bidi w:val="0"/>
                    <w:rPr>
                      <w:rFonts w:hint="default"/>
                      <w:color w:val="auto"/>
                      <w:sz w:val="21"/>
                      <w:szCs w:val="21"/>
                    </w:rPr>
                  </w:pPr>
                </w:p>
              </w:tc>
              <w:tc>
                <w:tcPr>
                  <w:tcW w:w="513" w:type="pct"/>
                  <w:vMerge w:val="continue"/>
                  <w:tcBorders>
                    <w:tl2br w:val="nil"/>
                    <w:tr2bl w:val="nil"/>
                  </w:tcBorders>
                  <w:noWrap w:val="0"/>
                  <w:vAlign w:val="center"/>
                </w:tcPr>
                <w:p w14:paraId="2DF6758F">
                  <w:pPr>
                    <w:pStyle w:val="3"/>
                    <w:bidi w:val="0"/>
                    <w:rPr>
                      <w:rFonts w:hint="default"/>
                      <w:color w:val="auto"/>
                      <w:sz w:val="21"/>
                      <w:szCs w:val="21"/>
                    </w:rPr>
                  </w:pPr>
                </w:p>
              </w:tc>
              <w:tc>
                <w:tcPr>
                  <w:tcW w:w="2137" w:type="pct"/>
                  <w:gridSpan w:val="2"/>
                  <w:tcBorders>
                    <w:tl2br w:val="nil"/>
                    <w:tr2bl w:val="nil"/>
                  </w:tcBorders>
                  <w:noWrap w:val="0"/>
                  <w:vAlign w:val="center"/>
                </w:tcPr>
                <w:p w14:paraId="2CCB9142">
                  <w:pPr>
                    <w:pStyle w:val="3"/>
                    <w:bidi w:val="0"/>
                    <w:jc w:val="both"/>
                    <w:rPr>
                      <w:rFonts w:hint="default"/>
                      <w:color w:val="auto"/>
                      <w:sz w:val="21"/>
                      <w:szCs w:val="21"/>
                    </w:rPr>
                  </w:pPr>
                  <w:r>
                    <w:rPr>
                      <w:color w:val="auto"/>
                    </w:rPr>
                    <w:t>全面提高建筑节能标准，加快发展</w:t>
                  </w:r>
                  <w:r>
                    <w:rPr>
                      <w:color w:val="auto"/>
                      <w:spacing w:val="-1"/>
                    </w:rPr>
                    <w:t>超低能耗建筑，积极推进既有建筑</w:t>
                  </w:r>
                  <w:r>
                    <w:rPr>
                      <w:color w:val="auto"/>
                    </w:rPr>
                    <w:t xml:space="preserve"> </w:t>
                  </w:r>
                  <w:r>
                    <w:rPr>
                      <w:color w:val="auto"/>
                      <w:spacing w:val="-3"/>
                    </w:rPr>
                    <w:t>节能改造、建筑光伏一体化建设。</w:t>
                  </w:r>
                </w:p>
              </w:tc>
              <w:tc>
                <w:tcPr>
                  <w:tcW w:w="1082" w:type="pct"/>
                  <w:tcBorders>
                    <w:tl2br w:val="nil"/>
                    <w:tr2bl w:val="nil"/>
                  </w:tcBorders>
                  <w:noWrap w:val="0"/>
                  <w:vAlign w:val="center"/>
                </w:tcPr>
                <w:p w14:paraId="43446FEA">
                  <w:pPr>
                    <w:pStyle w:val="3"/>
                    <w:bidi w:val="0"/>
                    <w:jc w:val="both"/>
                    <w:rPr>
                      <w:rFonts w:hint="eastAsia"/>
                      <w:color w:val="auto"/>
                      <w:sz w:val="21"/>
                      <w:szCs w:val="21"/>
                      <w:lang w:eastAsia="zh-CN"/>
                    </w:rPr>
                  </w:pPr>
                  <w:r>
                    <w:rPr>
                      <w:rFonts w:hint="eastAsia"/>
                      <w:color w:val="auto"/>
                      <w:sz w:val="21"/>
                      <w:szCs w:val="21"/>
                      <w:lang w:val="en-US" w:eastAsia="zh-CN"/>
                    </w:rPr>
                    <w:t>本项目不涉及上述内容。</w:t>
                  </w:r>
                </w:p>
              </w:tc>
              <w:tc>
                <w:tcPr>
                  <w:tcW w:w="742" w:type="pct"/>
                  <w:tcBorders>
                    <w:tl2br w:val="nil"/>
                    <w:tr2bl w:val="nil"/>
                  </w:tcBorders>
                  <w:noWrap w:val="0"/>
                  <w:vAlign w:val="center"/>
                </w:tcPr>
                <w:p w14:paraId="0A6C1A85">
                  <w:pPr>
                    <w:pStyle w:val="3"/>
                    <w:bidi w:val="0"/>
                    <w:rPr>
                      <w:rFonts w:hint="eastAsia" w:eastAsia="宋体"/>
                      <w:color w:val="auto"/>
                      <w:sz w:val="21"/>
                      <w:szCs w:val="21"/>
                      <w:lang w:eastAsia="zh-CN"/>
                    </w:rPr>
                  </w:pPr>
                  <w:r>
                    <w:rPr>
                      <w:rFonts w:hint="eastAsia" w:eastAsia="宋体"/>
                      <w:color w:val="auto"/>
                      <w:sz w:val="21"/>
                      <w:szCs w:val="21"/>
                      <w:lang w:eastAsia="zh-CN"/>
                    </w:rPr>
                    <w:t>符合</w:t>
                  </w:r>
                </w:p>
              </w:tc>
            </w:tr>
          </w:tbl>
          <w:p w14:paraId="295B40B6">
            <w:pPr>
              <w:spacing w:line="360" w:lineRule="auto"/>
              <w:ind w:firstLine="480" w:firstLineChars="200"/>
              <w:rPr>
                <w:rFonts w:eastAsiaTheme="minorEastAsia"/>
                <w:color w:val="auto"/>
                <w:sz w:val="24"/>
              </w:rPr>
            </w:pPr>
            <w:r>
              <w:rPr>
                <w:rFonts w:hint="eastAsia" w:eastAsiaTheme="minorEastAsia"/>
                <w:color w:val="auto"/>
                <w:sz w:val="24"/>
              </w:rPr>
              <w:t>综上所述，本项目符合</w:t>
            </w:r>
            <w:r>
              <w:rPr>
                <w:rFonts w:hint="eastAsia" w:eastAsiaTheme="minorEastAsia"/>
                <w:color w:val="auto"/>
                <w:sz w:val="24"/>
                <w:lang w:eastAsia="zh-CN"/>
              </w:rPr>
              <w:t>项目所在地</w:t>
            </w:r>
            <w:r>
              <w:rPr>
                <w:rFonts w:hint="eastAsia" w:eastAsiaTheme="minorEastAsia"/>
                <w:color w:val="auto"/>
                <w:sz w:val="24"/>
              </w:rPr>
              <w:t>“三线一单”</w:t>
            </w:r>
            <w:r>
              <w:rPr>
                <w:rFonts w:hint="eastAsia" w:eastAsiaTheme="minorEastAsia"/>
                <w:color w:val="auto"/>
                <w:sz w:val="24"/>
                <w:lang w:eastAsia="zh-CN"/>
              </w:rPr>
              <w:t>管控</w:t>
            </w:r>
            <w:r>
              <w:rPr>
                <w:rFonts w:hint="eastAsia" w:eastAsiaTheme="minorEastAsia"/>
                <w:color w:val="auto"/>
                <w:sz w:val="24"/>
              </w:rPr>
              <w:t>的要求。</w:t>
            </w:r>
          </w:p>
          <w:p w14:paraId="3ADAE55C">
            <w:pPr>
              <w:adjustRightInd w:val="0"/>
              <w:snapToGrid w:val="0"/>
              <w:spacing w:line="360" w:lineRule="auto"/>
              <w:ind w:left="0" w:leftChars="0" w:firstLine="0" w:firstLineChars="0"/>
              <w:rPr>
                <w:color w:val="auto"/>
                <w:sz w:val="24"/>
              </w:rPr>
            </w:pPr>
            <w:r>
              <w:rPr>
                <w:rFonts w:hint="eastAsia" w:eastAsia="宋体"/>
                <w:b/>
                <w:color w:val="auto"/>
                <w:kern w:val="0"/>
                <w:sz w:val="24"/>
                <w:lang w:val="en-US" w:eastAsia="zh-CN"/>
              </w:rPr>
              <w:t>5</w:t>
            </w:r>
            <w:r>
              <w:rPr>
                <w:rFonts w:hint="eastAsia"/>
                <w:b/>
                <w:color w:val="auto"/>
                <w:kern w:val="0"/>
                <w:sz w:val="24"/>
              </w:rPr>
              <w:t>.</w:t>
            </w:r>
            <w:r>
              <w:rPr>
                <w:b/>
                <w:color w:val="auto"/>
                <w:kern w:val="0"/>
                <w:sz w:val="24"/>
              </w:rPr>
              <w:t>《</w:t>
            </w:r>
            <w:r>
              <w:rPr>
                <w:b/>
                <w:bCs/>
                <w:color w:val="auto"/>
                <w:w w:val="99"/>
                <w:sz w:val="24"/>
              </w:rPr>
              <w:t>四川省、重庆市长江经济带发展负面清单实施</w:t>
            </w:r>
            <w:r>
              <w:rPr>
                <w:b/>
                <w:bCs/>
                <w:color w:val="auto"/>
                <w:sz w:val="24"/>
              </w:rPr>
              <w:t>细则（试行，2022年版）》（川长江办（2022）17号）</w:t>
            </w:r>
            <w:r>
              <w:rPr>
                <w:b/>
                <w:color w:val="auto"/>
                <w:sz w:val="24"/>
              </w:rPr>
              <w:t>符合性分析</w:t>
            </w:r>
          </w:p>
          <w:p w14:paraId="52A12927">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color w:val="auto"/>
                <w:kern w:val="0"/>
                <w:sz w:val="21"/>
                <w:szCs w:val="21"/>
                <w:highlight w:val="none"/>
              </w:rPr>
            </w:pPr>
            <w:r>
              <w:rPr>
                <w:color w:val="auto"/>
                <w:kern w:val="0"/>
                <w:sz w:val="21"/>
                <w:szCs w:val="21"/>
                <w:highlight w:val="none"/>
              </w:rPr>
              <w:t>表</w:t>
            </w:r>
            <w:r>
              <w:rPr>
                <w:rFonts w:hint="eastAsia" w:eastAsia="宋体"/>
                <w:color w:val="auto"/>
                <w:kern w:val="0"/>
                <w:sz w:val="21"/>
                <w:szCs w:val="21"/>
                <w:highlight w:val="none"/>
                <w:lang w:val="en-US" w:eastAsia="zh-CN"/>
              </w:rPr>
              <w:t>1.5-1</w:t>
            </w:r>
            <w:r>
              <w:rPr>
                <w:color w:val="auto"/>
                <w:kern w:val="0"/>
                <w:sz w:val="21"/>
                <w:szCs w:val="21"/>
                <w:highlight w:val="none"/>
              </w:rPr>
              <w:t xml:space="preserve"> 与（川长江办（2022）17号）符合性分析表</w:t>
            </w:r>
          </w:p>
          <w:tbl>
            <w:tblPr>
              <w:tblStyle w:val="1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4756"/>
              <w:gridCol w:w="1940"/>
              <w:gridCol w:w="770"/>
            </w:tblGrid>
            <w:tr w14:paraId="1130E1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78125A5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序号</w:t>
                  </w:r>
                </w:p>
              </w:tc>
              <w:tc>
                <w:tcPr>
                  <w:tcW w:w="2929" w:type="pct"/>
                  <w:tcBorders>
                    <w:tl2br w:val="nil"/>
                    <w:tr2bl w:val="nil"/>
                  </w:tcBorders>
                  <w:vAlign w:val="center"/>
                </w:tcPr>
                <w:p w14:paraId="4A39140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长江经济带发展负面清单</w:t>
                  </w:r>
                </w:p>
              </w:tc>
              <w:tc>
                <w:tcPr>
                  <w:tcW w:w="1195" w:type="pct"/>
                  <w:tcBorders>
                    <w:tl2br w:val="nil"/>
                    <w:tr2bl w:val="nil"/>
                  </w:tcBorders>
                  <w:vAlign w:val="center"/>
                </w:tcPr>
                <w:p w14:paraId="16F63B9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项目情况</w:t>
                  </w:r>
                </w:p>
              </w:tc>
              <w:tc>
                <w:tcPr>
                  <w:tcW w:w="474" w:type="pct"/>
                  <w:tcBorders>
                    <w:tl2br w:val="nil"/>
                    <w:tr2bl w:val="nil"/>
                  </w:tcBorders>
                  <w:vAlign w:val="center"/>
                </w:tcPr>
                <w:p w14:paraId="7830D2C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符合性</w:t>
                  </w:r>
                </w:p>
              </w:tc>
            </w:tr>
            <w:tr w14:paraId="45343D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0B818DD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w:t>
                  </w:r>
                </w:p>
              </w:tc>
              <w:tc>
                <w:tcPr>
                  <w:tcW w:w="2929" w:type="pct"/>
                  <w:tcBorders>
                    <w:tl2br w:val="nil"/>
                    <w:tr2bl w:val="nil"/>
                  </w:tcBorders>
                  <w:vAlign w:val="center"/>
                </w:tcPr>
                <w:p w14:paraId="656E7F9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第七条 禁止在自然保护区核心区、缓冲区的岸线和河段范围内投资建设旅游和生产经营项目。自然保护区的内部未分区的，依照本实施细则核心区和缓冲区的规定管控。</w:t>
                  </w:r>
                </w:p>
              </w:tc>
              <w:tc>
                <w:tcPr>
                  <w:tcW w:w="1195" w:type="pct"/>
                  <w:tcBorders>
                    <w:tl2br w:val="nil"/>
                    <w:tr2bl w:val="nil"/>
                  </w:tcBorders>
                  <w:vAlign w:val="center"/>
                </w:tcPr>
                <w:p w14:paraId="70481EF5">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本项目不涉及自然保护区核心区、缓冲区的岸线和河段</w:t>
                  </w:r>
                </w:p>
              </w:tc>
              <w:tc>
                <w:tcPr>
                  <w:tcW w:w="474" w:type="pct"/>
                  <w:tcBorders>
                    <w:tl2br w:val="nil"/>
                    <w:tr2bl w:val="nil"/>
                  </w:tcBorders>
                  <w:vAlign w:val="center"/>
                </w:tcPr>
                <w:p w14:paraId="57D4CD3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7E000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337A4A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2929" w:type="pct"/>
                  <w:tcBorders>
                    <w:tl2br w:val="nil"/>
                    <w:tr2bl w:val="nil"/>
                  </w:tcBorders>
                  <w:vAlign w:val="center"/>
                </w:tcPr>
                <w:p w14:paraId="677B1AE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第八条 禁止违反风景名胜区规划，在风景名胜区内设立各类开发区。禁止在风景名胜区核心景区的岸线和河段范围内建设宾馆、招待所、培训中心、疗养院以及与风景名</w:t>
                  </w:r>
                  <w:r>
                    <w:rPr>
                      <w:rFonts w:hint="eastAsia" w:eastAsia="宋体" w:cs="Times New Roman"/>
                      <w:color w:val="auto"/>
                      <w:sz w:val="21"/>
                      <w:szCs w:val="21"/>
                      <w:lang w:eastAsia="zh-CN"/>
                    </w:rPr>
                    <w:t>胜区</w:t>
                  </w:r>
                  <w:r>
                    <w:rPr>
                      <w:rFonts w:hint="default" w:ascii="Times New Roman" w:hAnsi="Times New Roman" w:eastAsia="宋体" w:cs="Times New Roman"/>
                      <w:color w:val="auto"/>
                      <w:sz w:val="21"/>
                      <w:szCs w:val="21"/>
                    </w:rPr>
                    <w:t>资源保护无关的项目。</w:t>
                  </w:r>
                </w:p>
              </w:tc>
              <w:tc>
                <w:tcPr>
                  <w:tcW w:w="1195" w:type="pct"/>
                  <w:tcBorders>
                    <w:tl2br w:val="nil"/>
                    <w:tr2bl w:val="nil"/>
                  </w:tcBorders>
                  <w:vAlign w:val="center"/>
                </w:tcPr>
                <w:p w14:paraId="1480412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本项目不涉及风景名胜区。</w:t>
                  </w:r>
                </w:p>
              </w:tc>
              <w:tc>
                <w:tcPr>
                  <w:tcW w:w="474" w:type="pct"/>
                  <w:tcBorders>
                    <w:tl2br w:val="nil"/>
                    <w:tr2bl w:val="nil"/>
                  </w:tcBorders>
                  <w:vAlign w:val="center"/>
                </w:tcPr>
                <w:p w14:paraId="07BA72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7EEDD3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0FFB227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929" w:type="pct"/>
                  <w:tcBorders>
                    <w:tl2br w:val="nil"/>
                    <w:tr2bl w:val="nil"/>
                  </w:tcBorders>
                  <w:vAlign w:val="center"/>
                </w:tcPr>
                <w:p w14:paraId="52EFF3FE">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第九条 禁止在饮用水水源准保护区的岸线和河段范围内新建、扩建对水体污染严重的建设项目，禁止改建增加排污量的建设项目。</w:t>
                  </w:r>
                </w:p>
              </w:tc>
              <w:tc>
                <w:tcPr>
                  <w:tcW w:w="1195" w:type="pct"/>
                  <w:tcBorders>
                    <w:tl2br w:val="nil"/>
                    <w:tr2bl w:val="nil"/>
                  </w:tcBorders>
                  <w:vAlign w:val="center"/>
                </w:tcPr>
                <w:p w14:paraId="0199CDB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本项目不涉及饮用水水源准保护区的岸线和河段</w:t>
                  </w:r>
                </w:p>
              </w:tc>
              <w:tc>
                <w:tcPr>
                  <w:tcW w:w="474" w:type="pct"/>
                  <w:tcBorders>
                    <w:tl2br w:val="nil"/>
                    <w:tr2bl w:val="nil"/>
                  </w:tcBorders>
                  <w:vAlign w:val="center"/>
                </w:tcPr>
                <w:p w14:paraId="0BCFBA7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26C6F8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5624E0F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2929" w:type="pct"/>
                  <w:tcBorders>
                    <w:tl2br w:val="nil"/>
                    <w:tr2bl w:val="nil"/>
                  </w:tcBorders>
                  <w:vAlign w:val="center"/>
                </w:tcPr>
                <w:p w14:paraId="5DEEC0C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第十条 饮用水水源二级保护区的岸线和河段范围内，除应遵守准保护区规定外，禁止新建、改建、扩建排放污染物的投资建设项目；禁止从事采石（砂）、对水体有污染的水产养殖等活动。</w:t>
                  </w:r>
                </w:p>
              </w:tc>
              <w:tc>
                <w:tcPr>
                  <w:tcW w:w="1195" w:type="pct"/>
                  <w:tcBorders>
                    <w:tl2br w:val="nil"/>
                    <w:tr2bl w:val="nil"/>
                  </w:tcBorders>
                  <w:vAlign w:val="center"/>
                </w:tcPr>
                <w:p w14:paraId="4802F91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本项目不涉及饮用水水源二级保护区的岸线和河段；不属于采石（砂）、对水体有污染的水产养殖等活动</w:t>
                  </w:r>
                </w:p>
              </w:tc>
              <w:tc>
                <w:tcPr>
                  <w:tcW w:w="474" w:type="pct"/>
                  <w:tcBorders>
                    <w:tl2br w:val="nil"/>
                    <w:tr2bl w:val="nil"/>
                  </w:tcBorders>
                  <w:vAlign w:val="center"/>
                </w:tcPr>
                <w:p w14:paraId="63912C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01F24F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106B70F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5</w:t>
                  </w:r>
                </w:p>
              </w:tc>
              <w:tc>
                <w:tcPr>
                  <w:tcW w:w="2929" w:type="pct"/>
                  <w:tcBorders>
                    <w:tl2br w:val="nil"/>
                    <w:tr2bl w:val="nil"/>
                  </w:tcBorders>
                  <w:vAlign w:val="center"/>
                </w:tcPr>
                <w:p w14:paraId="2263098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第十一条 饮用水水源一级保护区的岸线和河段范围内，除应遵守二级保护区规定外，禁止新建、改建、扩建与供（取）水设施和保护水源无关的项目，以及网箱养殖、畜禽养殖、旅游等</w:t>
                  </w:r>
                </w:p>
              </w:tc>
              <w:tc>
                <w:tcPr>
                  <w:tcW w:w="1195" w:type="pct"/>
                  <w:tcBorders>
                    <w:tl2br w:val="nil"/>
                    <w:tr2bl w:val="nil"/>
                  </w:tcBorders>
                  <w:vAlign w:val="center"/>
                </w:tcPr>
                <w:p w14:paraId="6CCA7B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本项目不涉及饮用水水源一级保护区的岸线和河段；不涉及饮用水二级保护区</w:t>
                  </w:r>
                </w:p>
              </w:tc>
              <w:tc>
                <w:tcPr>
                  <w:tcW w:w="474" w:type="pct"/>
                  <w:tcBorders>
                    <w:tl2br w:val="nil"/>
                    <w:tr2bl w:val="nil"/>
                  </w:tcBorders>
                  <w:vAlign w:val="center"/>
                </w:tcPr>
                <w:p w14:paraId="71C88B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p>
              </w:tc>
            </w:tr>
            <w:tr w14:paraId="71BC83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5D47C5A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w:t>
                  </w:r>
                </w:p>
              </w:tc>
              <w:tc>
                <w:tcPr>
                  <w:tcW w:w="2929" w:type="pct"/>
                  <w:tcBorders>
                    <w:tl2br w:val="nil"/>
                    <w:tr2bl w:val="nil"/>
                  </w:tcBorders>
                  <w:vAlign w:val="center"/>
                </w:tcPr>
                <w:p w14:paraId="2FD0E4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第十二条 禁止在水产种质资源保护区岸线和河段范围内新建围湖造田、围湖造地或挖沙采石等投资建设项目。</w:t>
                  </w:r>
                </w:p>
              </w:tc>
              <w:tc>
                <w:tcPr>
                  <w:tcW w:w="1195" w:type="pct"/>
                  <w:tcBorders>
                    <w:tl2br w:val="nil"/>
                    <w:tr2bl w:val="nil"/>
                  </w:tcBorders>
                  <w:vAlign w:val="center"/>
                </w:tcPr>
                <w:p w14:paraId="5B8F259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w:t>
                  </w:r>
                  <w:r>
                    <w:rPr>
                      <w:rFonts w:hint="eastAsia" w:eastAsia="宋体" w:cs="Times New Roman"/>
                      <w:color w:val="auto"/>
                      <w:sz w:val="21"/>
                      <w:szCs w:val="21"/>
                      <w:lang w:eastAsia="zh-CN"/>
                    </w:rPr>
                    <w:t>不属于</w:t>
                  </w:r>
                  <w:r>
                    <w:rPr>
                      <w:rFonts w:hint="default" w:ascii="Times New Roman" w:hAnsi="Times New Roman" w:eastAsia="宋体" w:cs="Times New Roman"/>
                      <w:color w:val="auto"/>
                      <w:sz w:val="21"/>
                      <w:szCs w:val="21"/>
                    </w:rPr>
                    <w:t>围湖造田、围湖造地或挖沙采石等投资建设项目。</w:t>
                  </w:r>
                </w:p>
              </w:tc>
              <w:tc>
                <w:tcPr>
                  <w:tcW w:w="474" w:type="pct"/>
                  <w:tcBorders>
                    <w:tl2br w:val="nil"/>
                    <w:tr2bl w:val="nil"/>
                  </w:tcBorders>
                  <w:vAlign w:val="center"/>
                </w:tcPr>
                <w:p w14:paraId="06E9130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32F0E5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412EB31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7</w:t>
                  </w:r>
                </w:p>
              </w:tc>
              <w:tc>
                <w:tcPr>
                  <w:tcW w:w="2929" w:type="pct"/>
                  <w:tcBorders>
                    <w:tl2br w:val="nil"/>
                    <w:tr2bl w:val="nil"/>
                  </w:tcBorders>
                  <w:vAlign w:val="center"/>
                </w:tcPr>
                <w:p w14:paraId="5A7C075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第十三条 禁止在国家湿地公园的岸线和河段范围内开（围）垦、填埋或者排干湿地，截断湿地水源，挖沙、采矿，倾倒有毒有害物质、废弃物、垃圾，从事房地产、度假村、高尔夫球场、风力发电、光伏发电等任何不符合主体功能定位的建设项目和开发活动，破坏野生动物栖息地和迁徙通道、鱼类洄游通道。</w:t>
                  </w:r>
                </w:p>
              </w:tc>
              <w:tc>
                <w:tcPr>
                  <w:tcW w:w="1195" w:type="pct"/>
                  <w:tcBorders>
                    <w:tl2br w:val="nil"/>
                    <w:tr2bl w:val="nil"/>
                  </w:tcBorders>
                  <w:vAlign w:val="center"/>
                </w:tcPr>
                <w:p w14:paraId="6E252DC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本项目不涉及国家湿地公园的岸线和河段</w:t>
                  </w:r>
                </w:p>
              </w:tc>
              <w:tc>
                <w:tcPr>
                  <w:tcW w:w="474" w:type="pct"/>
                  <w:tcBorders>
                    <w:tl2br w:val="nil"/>
                    <w:tr2bl w:val="nil"/>
                  </w:tcBorders>
                  <w:vAlign w:val="center"/>
                </w:tcPr>
                <w:p w14:paraId="4649AC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AF9BE5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5BB014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8</w:t>
                  </w:r>
                </w:p>
              </w:tc>
              <w:tc>
                <w:tcPr>
                  <w:tcW w:w="2929" w:type="pct"/>
                  <w:tcBorders>
                    <w:tl2br w:val="nil"/>
                    <w:tr2bl w:val="nil"/>
                  </w:tcBorders>
                  <w:vAlign w:val="center"/>
                </w:tcPr>
                <w:p w14:paraId="3A210CB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第十四条 禁止违法利用、占用长江流域河湖岸线。禁止在《长江岸线保护和开发利用总体规划》划定的岸线保护区和岸线保留区内投资建设除事关公共安全及公众利益的防洪护岸、河道治理、供水、生态环境保护、航道整治、国家重要基础设施以外的项目。</w:t>
                  </w:r>
                </w:p>
              </w:tc>
              <w:tc>
                <w:tcPr>
                  <w:tcW w:w="1195" w:type="pct"/>
                  <w:tcBorders>
                    <w:tl2br w:val="nil"/>
                    <w:tr2bl w:val="nil"/>
                  </w:tcBorders>
                  <w:vAlign w:val="center"/>
                </w:tcPr>
                <w:p w14:paraId="6095268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本项目不利用、占用《长江流域河湖岸线，不涉及长江岸线保护和开发利用总体规划》划定的岸线保护区和岸线保留区</w:t>
                  </w:r>
                </w:p>
              </w:tc>
              <w:tc>
                <w:tcPr>
                  <w:tcW w:w="474" w:type="pct"/>
                  <w:tcBorders>
                    <w:tl2br w:val="nil"/>
                    <w:tr2bl w:val="nil"/>
                  </w:tcBorders>
                  <w:vAlign w:val="center"/>
                </w:tcPr>
                <w:p w14:paraId="1811E8C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A6BC7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01B458E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2929" w:type="pct"/>
                  <w:tcBorders>
                    <w:tl2br w:val="nil"/>
                    <w:tr2bl w:val="nil"/>
                  </w:tcBorders>
                  <w:vAlign w:val="center"/>
                </w:tcPr>
                <w:p w14:paraId="35609E6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第十五条 禁止在《全国重要江河湖泊水功能区划》划定的河段及湖泊保护区、保留区内投资建设不利于水资源及自然生态 保护的项目。</w:t>
                  </w:r>
                </w:p>
              </w:tc>
              <w:tc>
                <w:tcPr>
                  <w:tcW w:w="1195" w:type="pct"/>
                  <w:tcBorders>
                    <w:tl2br w:val="nil"/>
                    <w:tr2bl w:val="nil"/>
                  </w:tcBorders>
                  <w:vAlign w:val="center"/>
                </w:tcPr>
                <w:p w14:paraId="52BFA6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本项目不涉及《全国重要江河湖泊水功能区划》划定的河段及湖泊保护区、保留区</w:t>
                  </w:r>
                </w:p>
              </w:tc>
              <w:tc>
                <w:tcPr>
                  <w:tcW w:w="474" w:type="pct"/>
                  <w:tcBorders>
                    <w:tl2br w:val="nil"/>
                    <w:tr2bl w:val="nil"/>
                  </w:tcBorders>
                  <w:vAlign w:val="center"/>
                </w:tcPr>
                <w:p w14:paraId="27B4829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73F47E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49D415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2929" w:type="pct"/>
                  <w:tcBorders>
                    <w:tl2br w:val="nil"/>
                    <w:tr2bl w:val="nil"/>
                  </w:tcBorders>
                  <w:vAlign w:val="center"/>
                </w:tcPr>
                <w:p w14:paraId="34ECCC9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第十六条 禁止在长江流域江河、湖泊新设、改设或者扩大排污口，经有管辖权的生态环境主管部门或者长江流域生态环境监督管理机构同意的除外。</w:t>
                  </w:r>
                </w:p>
              </w:tc>
              <w:tc>
                <w:tcPr>
                  <w:tcW w:w="1195" w:type="pct"/>
                  <w:tcBorders>
                    <w:tl2br w:val="nil"/>
                    <w:tr2bl w:val="nil"/>
                  </w:tcBorders>
                  <w:vAlign w:val="center"/>
                </w:tcPr>
                <w:p w14:paraId="1922B6B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本项目不新设、改设或者扩大排污口</w:t>
                  </w:r>
                </w:p>
              </w:tc>
              <w:tc>
                <w:tcPr>
                  <w:tcW w:w="474" w:type="pct"/>
                  <w:tcBorders>
                    <w:tl2br w:val="nil"/>
                    <w:tr2bl w:val="nil"/>
                  </w:tcBorders>
                  <w:vAlign w:val="center"/>
                </w:tcPr>
                <w:p w14:paraId="6EBAA73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8C0FD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334CBF3A">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11</w:t>
                  </w:r>
                </w:p>
              </w:tc>
              <w:tc>
                <w:tcPr>
                  <w:tcW w:w="2929" w:type="pct"/>
                  <w:tcBorders>
                    <w:tl2br w:val="nil"/>
                    <w:tr2bl w:val="nil"/>
                  </w:tcBorders>
                  <w:vAlign w:val="center"/>
                </w:tcPr>
                <w:p w14:paraId="6867B93C">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第十七条 禁止在长江、大渡河、岷江、赤水河、沱江、嘉陵江、乌江、汉江和51个（四川省45个、重庆市6个）水生生物保护区开展生产性捕捞。</w:t>
                  </w:r>
                </w:p>
              </w:tc>
              <w:tc>
                <w:tcPr>
                  <w:tcW w:w="1195" w:type="pct"/>
                  <w:tcBorders>
                    <w:tl2br w:val="nil"/>
                    <w:tr2bl w:val="nil"/>
                  </w:tcBorders>
                  <w:vAlign w:val="center"/>
                </w:tcPr>
                <w:p w14:paraId="5DA7B1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本项目不涉及生产性捕捞</w:t>
                  </w:r>
                </w:p>
              </w:tc>
              <w:tc>
                <w:tcPr>
                  <w:tcW w:w="474" w:type="pct"/>
                  <w:tcBorders>
                    <w:tl2br w:val="nil"/>
                    <w:tr2bl w:val="nil"/>
                  </w:tcBorders>
                  <w:vAlign w:val="center"/>
                </w:tcPr>
                <w:p w14:paraId="67DAE74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6FA3A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26B553F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12</w:t>
                  </w:r>
                </w:p>
              </w:tc>
              <w:tc>
                <w:tcPr>
                  <w:tcW w:w="2929" w:type="pct"/>
                  <w:tcBorders>
                    <w:tl2br w:val="nil"/>
                    <w:tr2bl w:val="nil"/>
                  </w:tcBorders>
                  <w:vAlign w:val="center"/>
                </w:tcPr>
                <w:p w14:paraId="0F1D76E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第十八条 禁止在长江干支流、重要湖泊岸线一公里范围内新建、扩建化工园区和化工项目。</w:t>
                  </w:r>
                </w:p>
              </w:tc>
              <w:tc>
                <w:tcPr>
                  <w:tcW w:w="1195" w:type="pct"/>
                  <w:tcBorders>
                    <w:tl2br w:val="nil"/>
                    <w:tr2bl w:val="nil"/>
                  </w:tcBorders>
                  <w:vAlign w:val="center"/>
                </w:tcPr>
                <w:p w14:paraId="2F19211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本项目不属于化工园区和化工项目</w:t>
                  </w:r>
                </w:p>
              </w:tc>
              <w:tc>
                <w:tcPr>
                  <w:tcW w:w="474" w:type="pct"/>
                  <w:tcBorders>
                    <w:tl2br w:val="nil"/>
                    <w:tr2bl w:val="nil"/>
                  </w:tcBorders>
                  <w:vAlign w:val="center"/>
                </w:tcPr>
                <w:p w14:paraId="7E994C0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5959ACB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155A954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w:t>
                  </w:r>
                </w:p>
              </w:tc>
              <w:tc>
                <w:tcPr>
                  <w:tcW w:w="2929" w:type="pct"/>
                  <w:tcBorders>
                    <w:tl2br w:val="nil"/>
                    <w:tr2bl w:val="nil"/>
                  </w:tcBorders>
                  <w:vAlign w:val="center"/>
                </w:tcPr>
                <w:p w14:paraId="35BED46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第十九条 禁止在长江干流岸线三公里范围内和重要支流岸线一公里范围内新建、改建、扩建尾矿库、冶炼渣库、磷石膏库，以提升安全、生态环境保护水平为目的的改建除外。</w:t>
                  </w:r>
                </w:p>
              </w:tc>
              <w:tc>
                <w:tcPr>
                  <w:tcW w:w="1195" w:type="pct"/>
                  <w:tcBorders>
                    <w:tl2br w:val="nil"/>
                    <w:tr2bl w:val="nil"/>
                  </w:tcBorders>
                  <w:vAlign w:val="center"/>
                </w:tcPr>
                <w:p w14:paraId="6BACB4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本项目不属于尾矿库、冶炼渣库、磷石膏库项目</w:t>
                  </w:r>
                </w:p>
              </w:tc>
              <w:tc>
                <w:tcPr>
                  <w:tcW w:w="474" w:type="pct"/>
                  <w:tcBorders>
                    <w:tl2br w:val="nil"/>
                    <w:tr2bl w:val="nil"/>
                  </w:tcBorders>
                  <w:vAlign w:val="center"/>
                </w:tcPr>
                <w:p w14:paraId="0BE198A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F33FF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5D39876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14</w:t>
                  </w:r>
                </w:p>
              </w:tc>
              <w:tc>
                <w:tcPr>
                  <w:tcW w:w="2929" w:type="pct"/>
                  <w:tcBorders>
                    <w:tl2br w:val="nil"/>
                    <w:tr2bl w:val="nil"/>
                  </w:tcBorders>
                  <w:vAlign w:val="center"/>
                </w:tcPr>
                <w:p w14:paraId="75AB82D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第二十条 禁止在生态保护红线区域、永久基本农田集中区域和其他需要特别保护的区域内选址建设尾矿库、冶炼渣库、磷石膏库。</w:t>
                  </w:r>
                </w:p>
              </w:tc>
              <w:tc>
                <w:tcPr>
                  <w:tcW w:w="1195" w:type="pct"/>
                  <w:tcBorders>
                    <w:tl2br w:val="nil"/>
                    <w:tr2bl w:val="nil"/>
                  </w:tcBorders>
                  <w:vAlign w:val="center"/>
                </w:tcPr>
                <w:p w14:paraId="0E37B23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本项目不涉及生态保护红线区域、永久基本农田集中区域和其他需要特别保护的区域</w:t>
                  </w:r>
                  <w:r>
                    <w:rPr>
                      <w:rFonts w:hint="eastAsia" w:eastAsia="宋体" w:cs="Times New Roman"/>
                      <w:color w:val="auto"/>
                      <w:sz w:val="21"/>
                      <w:szCs w:val="21"/>
                      <w:lang w:eastAsia="zh-CN"/>
                    </w:rPr>
                    <w:t>。</w:t>
                  </w:r>
                </w:p>
              </w:tc>
              <w:tc>
                <w:tcPr>
                  <w:tcW w:w="474" w:type="pct"/>
                  <w:tcBorders>
                    <w:tl2br w:val="nil"/>
                    <w:tr2bl w:val="nil"/>
                  </w:tcBorders>
                  <w:vAlign w:val="center"/>
                </w:tcPr>
                <w:p w14:paraId="62D440F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3A8E1A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59FC66B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2929" w:type="pct"/>
                  <w:tcBorders>
                    <w:tl2br w:val="nil"/>
                    <w:tr2bl w:val="nil"/>
                  </w:tcBorders>
                  <w:vAlign w:val="center"/>
                </w:tcPr>
                <w:p w14:paraId="7F0C695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第二十一条 禁止在合规园区外新建、扩建钢铁、石化、化工、焦化、建材、有色、制浆造纸等高污染项目。</w:t>
                  </w:r>
                </w:p>
              </w:tc>
              <w:tc>
                <w:tcPr>
                  <w:tcW w:w="1195" w:type="pct"/>
                  <w:tcBorders>
                    <w:tl2br w:val="nil"/>
                    <w:tr2bl w:val="nil"/>
                  </w:tcBorders>
                  <w:vAlign w:val="center"/>
                </w:tcPr>
                <w:p w14:paraId="6AB9069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本项目不属于钢铁、石化、化工、焦化、建材、有色、制浆造纸等高污染项目。</w:t>
                  </w:r>
                </w:p>
              </w:tc>
              <w:tc>
                <w:tcPr>
                  <w:tcW w:w="474" w:type="pct"/>
                  <w:tcBorders>
                    <w:tl2br w:val="nil"/>
                    <w:tr2bl w:val="nil"/>
                  </w:tcBorders>
                  <w:vAlign w:val="center"/>
                </w:tcPr>
                <w:p w14:paraId="5E65920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F02DC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12A59B8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w:t>
                  </w:r>
                </w:p>
              </w:tc>
              <w:tc>
                <w:tcPr>
                  <w:tcW w:w="2929" w:type="pct"/>
                  <w:tcBorders>
                    <w:tl2br w:val="nil"/>
                    <w:tr2bl w:val="nil"/>
                  </w:tcBorders>
                  <w:vAlign w:val="center"/>
                </w:tcPr>
                <w:p w14:paraId="1184083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第二十二条 禁止新建、扩建不符合国家石化、现代煤化工等产业布局规划的项目。（一）严格控制新增炼油项目，未列入《石化产业规划布局方案（修订版）》的新增炼油产能一律不得建设。（二）新建煤制烯烃、煤制芳烃项目必须列入《现代煤化工产业创新发展布局方案》，必须符合《现代煤化工建设项目环境准入条件（试行）》要求。</w:t>
                  </w:r>
                </w:p>
              </w:tc>
              <w:tc>
                <w:tcPr>
                  <w:tcW w:w="1195" w:type="pct"/>
                  <w:tcBorders>
                    <w:tl2br w:val="nil"/>
                    <w:tr2bl w:val="nil"/>
                  </w:tcBorders>
                  <w:vAlign w:val="center"/>
                </w:tcPr>
                <w:p w14:paraId="23FE006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本项目不属于石化、现代煤化工项目</w:t>
                  </w:r>
                  <w:r>
                    <w:rPr>
                      <w:rFonts w:hint="eastAsia" w:eastAsia="宋体" w:cs="Times New Roman"/>
                      <w:color w:val="auto"/>
                      <w:sz w:val="21"/>
                      <w:szCs w:val="21"/>
                      <w:lang w:eastAsia="zh-CN"/>
                    </w:rPr>
                    <w:t>。</w:t>
                  </w:r>
                </w:p>
              </w:tc>
              <w:tc>
                <w:tcPr>
                  <w:tcW w:w="474" w:type="pct"/>
                  <w:tcBorders>
                    <w:tl2br w:val="nil"/>
                    <w:tr2bl w:val="nil"/>
                  </w:tcBorders>
                  <w:vAlign w:val="center"/>
                </w:tcPr>
                <w:p w14:paraId="67E638AD">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4F992A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5F65558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17</w:t>
                  </w:r>
                </w:p>
              </w:tc>
              <w:tc>
                <w:tcPr>
                  <w:tcW w:w="2929" w:type="pct"/>
                  <w:tcBorders>
                    <w:tl2br w:val="nil"/>
                    <w:tr2bl w:val="nil"/>
                  </w:tcBorders>
                  <w:vAlign w:val="center"/>
                </w:tcPr>
                <w:p w14:paraId="759C0D86">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第二十三条 禁止新建、扩建法律法规和相关政策明令禁止的落后产能项目。对《产业结构调整指导目录》中淘汰类项目，禁止投资；限制类的新建项目，禁止投资，对属于限制类的现有生产能力，允许企业在一定期限内采取措施改造升级。</w:t>
                  </w:r>
                </w:p>
              </w:tc>
              <w:tc>
                <w:tcPr>
                  <w:tcW w:w="1195" w:type="pct"/>
                  <w:tcBorders>
                    <w:tl2br w:val="nil"/>
                    <w:tr2bl w:val="nil"/>
                  </w:tcBorders>
                  <w:vAlign w:val="center"/>
                </w:tcPr>
                <w:p w14:paraId="0D3777B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本项目不属于淘汰类、限制类项目</w:t>
                  </w:r>
                  <w:r>
                    <w:rPr>
                      <w:rFonts w:hint="eastAsia" w:eastAsia="宋体" w:cs="Times New Roman"/>
                      <w:color w:val="auto"/>
                      <w:sz w:val="21"/>
                      <w:szCs w:val="21"/>
                      <w:lang w:eastAsia="zh-CN"/>
                    </w:rPr>
                    <w:t>。</w:t>
                  </w:r>
                </w:p>
              </w:tc>
              <w:tc>
                <w:tcPr>
                  <w:tcW w:w="474" w:type="pct"/>
                  <w:tcBorders>
                    <w:tl2br w:val="nil"/>
                    <w:tr2bl w:val="nil"/>
                  </w:tcBorders>
                  <w:vAlign w:val="center"/>
                </w:tcPr>
                <w:p w14:paraId="1A0685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287C01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0877A813">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18</w:t>
                  </w:r>
                </w:p>
              </w:tc>
              <w:tc>
                <w:tcPr>
                  <w:tcW w:w="2929" w:type="pct"/>
                  <w:tcBorders>
                    <w:tl2br w:val="nil"/>
                    <w:tr2bl w:val="nil"/>
                  </w:tcBorders>
                  <w:vAlign w:val="center"/>
                </w:tcPr>
                <w:p w14:paraId="385CD01B">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第二十四条 禁止新建、扩建不符合国家产能置换要求的严重过剩产能行业的项目。对于不符合国家产能置换要求的严重过剩产能行业，不得以其他任何名义、任何方式备案新增产能项目。</w:t>
                  </w:r>
                </w:p>
              </w:tc>
              <w:tc>
                <w:tcPr>
                  <w:tcW w:w="1195" w:type="pct"/>
                  <w:tcBorders>
                    <w:tl2br w:val="nil"/>
                    <w:tr2bl w:val="nil"/>
                  </w:tcBorders>
                  <w:vAlign w:val="center"/>
                </w:tcPr>
                <w:p w14:paraId="0C6777C8">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本项目不属于产能过剩项目</w:t>
                  </w:r>
                  <w:r>
                    <w:rPr>
                      <w:rFonts w:hint="eastAsia" w:eastAsia="宋体" w:cs="Times New Roman"/>
                      <w:color w:val="auto"/>
                      <w:sz w:val="21"/>
                      <w:szCs w:val="21"/>
                      <w:lang w:eastAsia="zh-CN"/>
                    </w:rPr>
                    <w:t>。</w:t>
                  </w:r>
                </w:p>
              </w:tc>
              <w:tc>
                <w:tcPr>
                  <w:tcW w:w="474" w:type="pct"/>
                  <w:tcBorders>
                    <w:tl2br w:val="nil"/>
                    <w:tr2bl w:val="nil"/>
                  </w:tcBorders>
                  <w:vAlign w:val="center"/>
                </w:tcPr>
                <w:p w14:paraId="335B399F">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6166B3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2078E380">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19</w:t>
                  </w:r>
                </w:p>
              </w:tc>
              <w:tc>
                <w:tcPr>
                  <w:tcW w:w="2929" w:type="pct"/>
                  <w:tcBorders>
                    <w:tl2br w:val="nil"/>
                    <w:tr2bl w:val="nil"/>
                  </w:tcBorders>
                  <w:vAlign w:val="center"/>
                </w:tcPr>
                <w:p w14:paraId="12A88FE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第二十五条 禁止建设以下燃油汽车投资项目（不在中国境内销售产品的投资项目除外）：（一）新建独立燃油汽车企业；（二）现有汽车企业跨乘用车、商用车类别建设燃油汽车生 产能力；（三）外省现有燃油汽车企业整体搬迁至本省（列入国家级区域发展规划或不改变企业股权结构的项目除外）；（四）对行业管理部门特别公示的燃油汽车企业进行投资（企业原有股东投资或将该企业转为非独立法人的投资项目除外）。</w:t>
                  </w:r>
                </w:p>
              </w:tc>
              <w:tc>
                <w:tcPr>
                  <w:tcW w:w="1195" w:type="pct"/>
                  <w:tcBorders>
                    <w:tl2br w:val="nil"/>
                    <w:tr2bl w:val="nil"/>
                  </w:tcBorders>
                  <w:vAlign w:val="center"/>
                </w:tcPr>
                <w:p w14:paraId="1A6BB812">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本项目不属于燃油汽车投资项目</w:t>
                  </w:r>
                  <w:r>
                    <w:rPr>
                      <w:rFonts w:hint="eastAsia" w:eastAsia="宋体" w:cs="Times New Roman"/>
                      <w:color w:val="auto"/>
                      <w:sz w:val="21"/>
                      <w:szCs w:val="21"/>
                      <w:lang w:eastAsia="zh-CN"/>
                    </w:rPr>
                    <w:t>。</w:t>
                  </w:r>
                </w:p>
              </w:tc>
              <w:tc>
                <w:tcPr>
                  <w:tcW w:w="474" w:type="pct"/>
                  <w:tcBorders>
                    <w:tl2br w:val="nil"/>
                    <w:tr2bl w:val="nil"/>
                  </w:tcBorders>
                  <w:vAlign w:val="center"/>
                </w:tcPr>
                <w:p w14:paraId="7623E43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r w14:paraId="1EFF38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1" w:type="pct"/>
                  <w:tcBorders>
                    <w:tl2br w:val="nil"/>
                    <w:tr2bl w:val="nil"/>
                  </w:tcBorders>
                  <w:vAlign w:val="center"/>
                </w:tcPr>
                <w:p w14:paraId="0379E297">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c>
                <w:tcPr>
                  <w:tcW w:w="2929" w:type="pct"/>
                  <w:tcBorders>
                    <w:tl2br w:val="nil"/>
                    <w:tr2bl w:val="nil"/>
                  </w:tcBorders>
                  <w:vAlign w:val="center"/>
                </w:tcPr>
                <w:p w14:paraId="1ECAFDC4">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第二十六条 禁止新建、扩建不符合要求的高耗能、高排放、低水平项目。</w:t>
                  </w:r>
                </w:p>
              </w:tc>
              <w:tc>
                <w:tcPr>
                  <w:tcW w:w="1195" w:type="pct"/>
                  <w:tcBorders>
                    <w:tl2br w:val="nil"/>
                    <w:tr2bl w:val="nil"/>
                  </w:tcBorders>
                  <w:vAlign w:val="center"/>
                </w:tcPr>
                <w:p w14:paraId="4644C871">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本项目不属于高耗能、高排放、低水平项目</w:t>
                  </w:r>
                  <w:r>
                    <w:rPr>
                      <w:rFonts w:hint="eastAsia" w:eastAsia="宋体" w:cs="Times New Roman"/>
                      <w:color w:val="auto"/>
                      <w:sz w:val="21"/>
                      <w:szCs w:val="21"/>
                      <w:lang w:eastAsia="zh-CN"/>
                    </w:rPr>
                    <w:t>。</w:t>
                  </w:r>
                </w:p>
              </w:tc>
              <w:tc>
                <w:tcPr>
                  <w:tcW w:w="474" w:type="pct"/>
                  <w:tcBorders>
                    <w:tl2br w:val="nil"/>
                    <w:tr2bl w:val="nil"/>
                  </w:tcBorders>
                  <w:vAlign w:val="center"/>
                </w:tcPr>
                <w:p w14:paraId="7C3F7849">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符合</w:t>
                  </w:r>
                </w:p>
              </w:tc>
            </w:tr>
          </w:tbl>
          <w:p w14:paraId="46501597">
            <w:pPr>
              <w:autoSpaceDE w:val="0"/>
              <w:autoSpaceDN w:val="0"/>
              <w:adjustRightInd w:val="0"/>
              <w:snapToGrid w:val="0"/>
              <w:spacing w:line="360" w:lineRule="auto"/>
              <w:ind w:firstLine="482"/>
              <w:rPr>
                <w:bCs/>
                <w:color w:val="auto"/>
                <w:kern w:val="0"/>
                <w:sz w:val="24"/>
              </w:rPr>
            </w:pPr>
            <w:r>
              <w:rPr>
                <w:bCs/>
                <w:color w:val="auto"/>
                <w:kern w:val="0"/>
                <w:sz w:val="24"/>
              </w:rPr>
              <w:t>综上所述，本项目符合</w:t>
            </w:r>
            <w:r>
              <w:rPr>
                <w:bCs/>
                <w:color w:val="auto"/>
                <w:sz w:val="24"/>
              </w:rPr>
              <w:t>《四川省、重庆市长江经济带发展负面清单实施细则（试行，2022年版）》（川长江办（2022）17号）</w:t>
            </w:r>
            <w:r>
              <w:rPr>
                <w:bCs/>
                <w:color w:val="auto"/>
                <w:kern w:val="0"/>
                <w:sz w:val="24"/>
              </w:rPr>
              <w:t>的相关要求。</w:t>
            </w:r>
          </w:p>
          <w:p w14:paraId="19BF4891">
            <w:pPr>
              <w:spacing w:line="360" w:lineRule="auto"/>
              <w:ind w:left="0" w:leftChars="0" w:firstLine="0" w:firstLineChars="0"/>
              <w:rPr>
                <w:rFonts w:eastAsiaTheme="minorEastAsia"/>
                <w:b/>
                <w:bCs/>
                <w:color w:val="auto"/>
                <w:kern w:val="0"/>
                <w:sz w:val="24"/>
              </w:rPr>
            </w:pPr>
            <w:r>
              <w:rPr>
                <w:rFonts w:hint="eastAsia" w:eastAsiaTheme="minorEastAsia"/>
                <w:b/>
                <w:bCs/>
                <w:color w:val="auto"/>
                <w:kern w:val="0"/>
                <w:sz w:val="24"/>
                <w:lang w:val="en-US" w:eastAsia="zh-CN" w:bidi="zh-TW"/>
              </w:rPr>
              <w:t>6</w:t>
            </w:r>
            <w:r>
              <w:rPr>
                <w:rFonts w:hint="eastAsia" w:eastAsiaTheme="minorEastAsia"/>
                <w:b/>
                <w:bCs/>
                <w:color w:val="auto"/>
                <w:kern w:val="0"/>
                <w:sz w:val="24"/>
                <w:lang w:bidi="zh-TW"/>
              </w:rPr>
              <w:t>.</w:t>
            </w:r>
            <w:r>
              <w:rPr>
                <w:rFonts w:eastAsiaTheme="minorEastAsia"/>
                <w:b/>
                <w:bCs/>
                <w:color w:val="auto"/>
                <w:kern w:val="0"/>
                <w:sz w:val="24"/>
                <w:lang w:bidi="zh-TW"/>
              </w:rPr>
              <w:t>与《重庆市大气环境保护“十四五”规划（</w:t>
            </w:r>
            <w:r>
              <w:rPr>
                <w:rFonts w:eastAsiaTheme="minorEastAsia"/>
                <w:b/>
                <w:bCs/>
                <w:color w:val="auto"/>
                <w:kern w:val="0"/>
                <w:sz w:val="24"/>
                <w:lang w:bidi="en-US"/>
              </w:rPr>
              <w:t>2021-2025</w:t>
            </w:r>
            <w:r>
              <w:rPr>
                <w:rFonts w:eastAsiaTheme="minorEastAsia"/>
                <w:b/>
                <w:bCs/>
                <w:color w:val="auto"/>
                <w:kern w:val="0"/>
                <w:sz w:val="24"/>
                <w:lang w:bidi="zh-TW"/>
              </w:rPr>
              <w:t>年）》符合性</w:t>
            </w:r>
          </w:p>
          <w:p w14:paraId="3C42920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color w:val="auto"/>
                <w:kern w:val="0"/>
                <w:sz w:val="21"/>
                <w:szCs w:val="21"/>
                <w:highlight w:val="none"/>
              </w:rPr>
            </w:pPr>
            <w:r>
              <w:rPr>
                <w:color w:val="auto"/>
                <w:kern w:val="0"/>
                <w:sz w:val="21"/>
                <w:szCs w:val="21"/>
                <w:highlight w:val="none"/>
              </w:rPr>
              <w:t>表1</w:t>
            </w:r>
            <w:r>
              <w:rPr>
                <w:rFonts w:hint="eastAsia"/>
                <w:color w:val="auto"/>
                <w:kern w:val="0"/>
                <w:sz w:val="21"/>
                <w:szCs w:val="21"/>
                <w:highlight w:val="none"/>
              </w:rPr>
              <w:t>.</w:t>
            </w:r>
            <w:r>
              <w:rPr>
                <w:rFonts w:hint="eastAsia" w:eastAsia="宋体"/>
                <w:color w:val="auto"/>
                <w:kern w:val="0"/>
                <w:sz w:val="21"/>
                <w:szCs w:val="21"/>
                <w:highlight w:val="none"/>
                <w:lang w:val="en-US" w:eastAsia="zh-CN"/>
              </w:rPr>
              <w:t>6-1</w:t>
            </w:r>
            <w:r>
              <w:rPr>
                <w:rFonts w:hint="eastAsia"/>
                <w:color w:val="auto"/>
                <w:kern w:val="0"/>
                <w:sz w:val="21"/>
                <w:szCs w:val="21"/>
                <w:highlight w:val="none"/>
              </w:rPr>
              <w:t xml:space="preserve"> </w:t>
            </w:r>
            <w:r>
              <w:rPr>
                <w:color w:val="auto"/>
                <w:kern w:val="0"/>
                <w:sz w:val="21"/>
                <w:szCs w:val="21"/>
                <w:highlight w:val="none"/>
              </w:rPr>
              <w:t>与重庆市大气环境保护“十四五”规划符合性</w:t>
            </w:r>
          </w:p>
          <w:tbl>
            <w:tblPr>
              <w:tblStyle w:val="1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787"/>
              <w:gridCol w:w="4572"/>
              <w:gridCol w:w="2091"/>
              <w:gridCol w:w="666"/>
            </w:tblGrid>
            <w:tr w14:paraId="664A7C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301" w:type="pct"/>
                  <w:gridSpan w:val="2"/>
                  <w:tcBorders>
                    <w:tl2br w:val="nil"/>
                    <w:tr2bl w:val="nil"/>
                  </w:tcBorders>
                  <w:shd w:val="clear" w:color="auto" w:fill="auto"/>
                  <w:vAlign w:val="center"/>
                </w:tcPr>
                <w:p w14:paraId="3E1EC4EA">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相关要求</w:t>
                  </w:r>
                </w:p>
              </w:tc>
              <w:tc>
                <w:tcPr>
                  <w:tcW w:w="1288" w:type="pct"/>
                  <w:tcBorders>
                    <w:tl2br w:val="nil"/>
                    <w:tr2bl w:val="nil"/>
                  </w:tcBorders>
                  <w:shd w:val="clear" w:color="auto" w:fill="auto"/>
                  <w:vAlign w:val="center"/>
                </w:tcPr>
                <w:p w14:paraId="592D3D61">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本项目情况</w:t>
                  </w:r>
                </w:p>
              </w:tc>
              <w:tc>
                <w:tcPr>
                  <w:tcW w:w="410" w:type="pct"/>
                  <w:tcBorders>
                    <w:tl2br w:val="nil"/>
                    <w:tr2bl w:val="nil"/>
                  </w:tcBorders>
                  <w:shd w:val="clear" w:color="auto" w:fill="auto"/>
                  <w:vAlign w:val="center"/>
                </w:tcPr>
                <w:p w14:paraId="1E5144D9">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符</w:t>
                  </w:r>
                  <w:r>
                    <w:rPr>
                      <w:rFonts w:hint="eastAsia"/>
                      <w:color w:val="auto"/>
                      <w:sz w:val="21"/>
                      <w:szCs w:val="21"/>
                      <w:lang w:eastAsia="zh-CN"/>
                    </w:rPr>
                    <w:t>合</w:t>
                  </w:r>
                  <w:r>
                    <w:rPr>
                      <w:color w:val="auto"/>
                      <w:sz w:val="21"/>
                      <w:szCs w:val="21"/>
                    </w:rPr>
                    <w:t>性</w:t>
                  </w:r>
                </w:p>
              </w:tc>
            </w:tr>
            <w:tr w14:paraId="7F08FFE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14:paraId="3BA998CE">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加强源头控制</w:t>
                  </w:r>
                </w:p>
              </w:tc>
              <w:tc>
                <w:tcPr>
                  <w:tcW w:w="2815" w:type="pct"/>
                  <w:tcBorders>
                    <w:tl2br w:val="nil"/>
                    <w:tr2bl w:val="nil"/>
                  </w:tcBorders>
                  <w:shd w:val="clear" w:color="auto" w:fill="auto"/>
                  <w:vAlign w:val="center"/>
                </w:tcPr>
                <w:p w14:paraId="688EAFC6">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color w:val="auto"/>
                      <w:sz w:val="21"/>
                      <w:szCs w:val="21"/>
                    </w:rPr>
                  </w:pPr>
                  <w:r>
                    <w:rPr>
                      <w:rFonts w:ascii="Times New Roman" w:hAnsi="Times New Roman" w:cs="Times New Roman"/>
                      <w:color w:val="auto"/>
                      <w:sz w:val="21"/>
                      <w:szCs w:val="21"/>
                    </w:rPr>
                    <w:t>实施</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排放总量控制，涉</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建设项目按照新增排放量进行减量替代。以工业涂装、包装印刷等行业为重点，实施原辅材料和产品源头替代。加快对溶剂型涂料、油墨、胶粘剂、清洗剂使用企业制定低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含量原辅材料替代计划。将生产和使用高</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含量产品的企业列入强制性清洁生产审核名单。到2025年，基本完成汽车、摩托车整车制造底漆、中涂、色漆低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含量涂料替代；在</w:t>
                  </w:r>
                  <w:r>
                    <w:rPr>
                      <w:rFonts w:hint="eastAsia" w:ascii="Times New Roman" w:hAnsi="Times New Roman" w:eastAsia="宋体" w:cs="Times New Roman"/>
                      <w:color w:val="auto"/>
                      <w:sz w:val="21"/>
                      <w:szCs w:val="21"/>
                      <w:lang w:eastAsia="zh-CN"/>
                    </w:rPr>
                    <w:t>木制家具</w:t>
                  </w:r>
                  <w:r>
                    <w:rPr>
                      <w:rFonts w:ascii="Times New Roman" w:hAnsi="Times New Roman" w:cs="Times New Roman"/>
                      <w:color w:val="auto"/>
                      <w:sz w:val="21"/>
                      <w:szCs w:val="21"/>
                    </w:rPr>
                    <w:t>、汽车零部件、工程机械、钢结构、船舶制造等行业技术成熟环节，大力推广低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含量涂料。在房屋建筑、市政工程和城市道路交通标志中，除特殊功能要求外，全面推广使用低</w:t>
                  </w:r>
                  <w:r>
                    <w:rPr>
                      <w:rFonts w:ascii="Times New Roman" w:hAnsi="Times New Roman" w:cs="Times New Roman"/>
                      <w:color w:val="auto"/>
                      <w:sz w:val="21"/>
                      <w:szCs w:val="21"/>
                      <w:lang w:val="en-US" w:eastAsia="zh-CN" w:bidi="en-US"/>
                    </w:rPr>
                    <w:t>VOCs</w:t>
                  </w:r>
                  <w:r>
                    <w:rPr>
                      <w:rFonts w:ascii="Times New Roman" w:hAnsi="Times New Roman" w:cs="Times New Roman"/>
                      <w:color w:val="auto"/>
                      <w:sz w:val="21"/>
                      <w:szCs w:val="21"/>
                    </w:rPr>
                    <w:t>含量的涂料、胶粘剂。到2025年，全市溶剂型工业涂料、溶剂型油墨使用比例分别降低20%、15%，溶剂型胶粘剂使用量下降20%。</w:t>
                  </w:r>
                </w:p>
              </w:tc>
              <w:tc>
                <w:tcPr>
                  <w:tcW w:w="1288" w:type="pct"/>
                  <w:tcBorders>
                    <w:tl2br w:val="nil"/>
                    <w:tr2bl w:val="nil"/>
                  </w:tcBorders>
                  <w:shd w:val="clear" w:color="auto" w:fill="auto"/>
                  <w:vAlign w:val="center"/>
                </w:tcPr>
                <w:p w14:paraId="7646B1FC">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hint="default"/>
                      <w:color w:val="auto"/>
                      <w:sz w:val="21"/>
                      <w:szCs w:val="21"/>
                      <w:lang w:val="en-US" w:eastAsia="zh-CN"/>
                    </w:rPr>
                  </w:pPr>
                  <w:r>
                    <w:rPr>
                      <w:rFonts w:ascii="Times New Roman" w:hAnsi="Times New Roman" w:cs="Times New Roman"/>
                      <w:color w:val="auto"/>
                      <w:sz w:val="21"/>
                      <w:szCs w:val="21"/>
                    </w:rPr>
                    <w:t>本</w:t>
                  </w:r>
                  <w:r>
                    <w:rPr>
                      <w:rFonts w:ascii="Times New Roman" w:hAnsi="Times New Roman" w:cs="Times New Roman"/>
                      <w:color w:val="auto"/>
                      <w:sz w:val="21"/>
                      <w:szCs w:val="21"/>
                      <w:highlight w:val="none"/>
                    </w:rPr>
                    <w:t>项目</w:t>
                  </w:r>
                  <w:r>
                    <w:rPr>
                      <w:rFonts w:hint="eastAsia" w:ascii="Times New Roman" w:hAnsi="Times New Roman" w:cs="Times New Roman"/>
                      <w:color w:val="auto"/>
                      <w:sz w:val="21"/>
                      <w:szCs w:val="21"/>
                      <w:highlight w:val="none"/>
                      <w:lang w:eastAsia="zh-CN"/>
                    </w:rPr>
                    <w:t>不属于工业涂装、包装印刷等行业；本项</w:t>
                  </w:r>
                  <w:r>
                    <w:rPr>
                      <w:rFonts w:hint="default" w:ascii="Times New Roman" w:hAnsi="Times New Roman" w:cs="Times New Roman"/>
                      <w:color w:val="auto"/>
                      <w:sz w:val="21"/>
                      <w:szCs w:val="21"/>
                      <w:highlight w:val="none"/>
                      <w:lang w:eastAsia="zh-CN"/>
                    </w:rPr>
                    <w:t>目</w:t>
                  </w:r>
                  <w:r>
                    <w:rPr>
                      <w:rFonts w:hint="eastAsia" w:ascii="Times New Roman" w:hAnsi="Times New Roman" w:cs="Times New Roman"/>
                      <w:color w:val="auto"/>
                      <w:sz w:val="21"/>
                      <w:szCs w:val="21"/>
                      <w:highlight w:val="none"/>
                      <w:lang w:val="en-US" w:eastAsia="zh-CN"/>
                    </w:rPr>
                    <w:t>挥发性有机物产生量少。</w:t>
                  </w:r>
                </w:p>
              </w:tc>
              <w:tc>
                <w:tcPr>
                  <w:tcW w:w="410" w:type="pct"/>
                  <w:tcBorders>
                    <w:tl2br w:val="nil"/>
                    <w:tr2bl w:val="nil"/>
                  </w:tcBorders>
                  <w:shd w:val="clear" w:color="auto" w:fill="auto"/>
                  <w:vAlign w:val="center"/>
                </w:tcPr>
                <w:p w14:paraId="46BA4ECC">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符合</w:t>
                  </w:r>
                </w:p>
              </w:tc>
            </w:tr>
            <w:tr w14:paraId="762510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14:paraId="52375EA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rFonts w:ascii="Times New Roman" w:hAnsi="Times New Roman" w:cs="Times New Roman"/>
                      <w:color w:val="auto"/>
                      <w:sz w:val="21"/>
                      <w:szCs w:val="21"/>
                    </w:rPr>
                    <w:t>强化VOCs无组织排放管控</w:t>
                  </w:r>
                </w:p>
              </w:tc>
              <w:tc>
                <w:tcPr>
                  <w:tcW w:w="2815" w:type="pct"/>
                  <w:tcBorders>
                    <w:tl2br w:val="nil"/>
                    <w:tr2bl w:val="nil"/>
                  </w:tcBorders>
                  <w:shd w:val="clear" w:color="auto" w:fill="auto"/>
                  <w:vAlign w:val="center"/>
                </w:tcPr>
                <w:p w14:paraId="1126B36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color w:val="auto"/>
                      <w:sz w:val="21"/>
                      <w:szCs w:val="21"/>
                    </w:rPr>
                  </w:pPr>
                  <w:r>
                    <w:rPr>
                      <w:color w:val="auto"/>
                      <w:sz w:val="21"/>
                      <w:szCs w:val="21"/>
                    </w:rPr>
                    <w:t>实</w:t>
                  </w:r>
                  <w:r>
                    <w:rPr>
                      <w:rFonts w:ascii="Times New Roman" w:hAnsi="Times New Roman" w:cs="Times New Roman"/>
                      <w:color w:val="auto"/>
                      <w:sz w:val="21"/>
                      <w:szCs w:val="21"/>
                    </w:rPr>
                    <w:t>施储罐综合治理，浮顶与罐壁之间应采用高效密封方式，重点区域存储汽油、航空煤油、石脑油以及苯、甲苯、二甲苯的浮顶罐应使用全液面接触式浮顶。强化装卸废气收集治理，限期推动装载汽油、航空煤油、石脑油和苯、甲苯、二甲苯等的汽车罐车全部采用底部装载方式，换用自封式快速接头。指导企业规范开展泄漏检测与修复（LDAR）工作，优先在密封点超过2000个的企业推行LDAR技术改造，并加强监督检查。长寿、万州、涪陵及其他重点工业园区，逐步建立统一的LDAR信息管理平台试点。2023年年底前完成万吨级及以上原油、成品油码头油气回收治理。鼓励重点区域年销售汽油5000吨以上加油站完成油气三级回收处理。</w:t>
                  </w:r>
                </w:p>
              </w:tc>
              <w:tc>
                <w:tcPr>
                  <w:tcW w:w="1288" w:type="pct"/>
                  <w:tcBorders>
                    <w:tl2br w:val="nil"/>
                    <w:tr2bl w:val="nil"/>
                  </w:tcBorders>
                  <w:shd w:val="clear" w:color="auto" w:fill="auto"/>
                  <w:vAlign w:val="center"/>
                </w:tcPr>
                <w:p w14:paraId="1604E8F4">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color w:val="auto"/>
                      <w:sz w:val="21"/>
                      <w:szCs w:val="21"/>
                    </w:rPr>
                  </w:pPr>
                  <w:r>
                    <w:rPr>
                      <w:color w:val="auto"/>
                      <w:sz w:val="21"/>
                      <w:szCs w:val="21"/>
                    </w:rPr>
                    <w:t>本项目不使用储罐，原辅料均不涉及汽油、航空煤油、石脑油以及苯、甲苯、二甲苯</w:t>
                  </w:r>
                  <w:r>
                    <w:rPr>
                      <w:rFonts w:hint="eastAsia"/>
                      <w:color w:val="auto"/>
                      <w:sz w:val="21"/>
                      <w:szCs w:val="21"/>
                      <w:lang w:eastAsia="zh-CN"/>
                    </w:rPr>
                    <w:t>储存</w:t>
                  </w:r>
                  <w:r>
                    <w:rPr>
                      <w:color w:val="auto"/>
                      <w:sz w:val="21"/>
                      <w:szCs w:val="21"/>
                    </w:rPr>
                    <w:t>。</w:t>
                  </w:r>
                </w:p>
              </w:tc>
              <w:tc>
                <w:tcPr>
                  <w:tcW w:w="410" w:type="pct"/>
                  <w:tcBorders>
                    <w:tl2br w:val="nil"/>
                    <w:tr2bl w:val="nil"/>
                  </w:tcBorders>
                  <w:shd w:val="clear" w:color="auto" w:fill="auto"/>
                  <w:vAlign w:val="center"/>
                </w:tcPr>
                <w:p w14:paraId="283CE1DD">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符合</w:t>
                  </w:r>
                </w:p>
              </w:tc>
            </w:tr>
            <w:tr w14:paraId="298D80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14:paraId="39089BE5">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持续推进VOCs全过程综合治理</w:t>
                  </w:r>
                </w:p>
              </w:tc>
              <w:tc>
                <w:tcPr>
                  <w:tcW w:w="2815" w:type="pct"/>
                  <w:tcBorders>
                    <w:tl2br w:val="nil"/>
                    <w:tr2bl w:val="nil"/>
                  </w:tcBorders>
                  <w:shd w:val="clear" w:color="auto" w:fill="auto"/>
                  <w:vAlign w:val="center"/>
                </w:tcPr>
                <w:p w14:paraId="3C01A52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color w:val="auto"/>
                      <w:sz w:val="21"/>
                      <w:szCs w:val="21"/>
                    </w:rPr>
                  </w:pPr>
                  <w:r>
                    <w:rPr>
                      <w:rFonts w:ascii="Times New Roman" w:hAnsi="Times New Roman" w:cs="Times New Roman"/>
                      <w:color w:val="auto"/>
                      <w:sz w:val="21"/>
                      <w:szCs w:val="21"/>
                    </w:rPr>
                    <w:t>推动VOCs末端治理升级。推行“一企一策”，引导企业选择多种技术的组合工艺提高VOCs治理效率。石化、化工企业加强火炬系统排放监管，保证燃烧温度和污染物停留时间能有效去除污染物。加强非正常工况废气排放管控，制定非正常工况VOCs管控规程，严格按规程操作。有条件的工业集聚区建设集中喷涂工程中心，配备高效治污设施，替代企业独立喷涂工序，对涉及喷漆、喷粉、印刷等废气进行集中处理。鼓励对中小型企业集群开展企业分散收集一活性炭移动集中再生治理模式的示范推广。</w:t>
                  </w:r>
                </w:p>
              </w:tc>
              <w:tc>
                <w:tcPr>
                  <w:tcW w:w="1288" w:type="pct"/>
                  <w:tcBorders>
                    <w:tl2br w:val="nil"/>
                    <w:tr2bl w:val="nil"/>
                  </w:tcBorders>
                  <w:shd w:val="clear" w:color="auto" w:fill="auto"/>
                  <w:vAlign w:val="center"/>
                </w:tcPr>
                <w:p w14:paraId="49098B5F">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color w:val="auto"/>
                      <w:sz w:val="21"/>
                      <w:szCs w:val="21"/>
                      <w:lang w:eastAsia="zh-CN"/>
                    </w:rPr>
                  </w:pPr>
                  <w:r>
                    <w:rPr>
                      <w:rFonts w:hint="eastAsia" w:ascii="Times New Roman" w:hAnsi="Times New Roman" w:cs="Times New Roman"/>
                      <w:color w:val="auto"/>
                      <w:sz w:val="21"/>
                      <w:szCs w:val="21"/>
                      <w:highlight w:val="none"/>
                      <w:lang w:val="en-US" w:eastAsia="zh-CN"/>
                    </w:rPr>
                    <w:t>本项目不涉及喷涂工艺；</w:t>
                  </w:r>
                  <w:r>
                    <w:rPr>
                      <w:rFonts w:hint="eastAsia" w:ascii="Times New Roman" w:hAnsi="Times New Roman" w:cs="Times New Roman"/>
                      <w:color w:val="auto"/>
                      <w:sz w:val="21"/>
                      <w:szCs w:val="21"/>
                      <w:highlight w:val="none"/>
                      <w:lang w:eastAsia="zh-CN"/>
                    </w:rPr>
                    <w:t>本项</w:t>
                  </w:r>
                  <w:r>
                    <w:rPr>
                      <w:rFonts w:hint="default" w:ascii="Times New Roman" w:hAnsi="Times New Roman" w:cs="Times New Roman"/>
                      <w:color w:val="auto"/>
                      <w:sz w:val="21"/>
                      <w:szCs w:val="21"/>
                      <w:highlight w:val="none"/>
                      <w:lang w:eastAsia="zh-CN"/>
                    </w:rPr>
                    <w:t>目</w:t>
                  </w:r>
                  <w:r>
                    <w:rPr>
                      <w:rFonts w:hint="eastAsia" w:ascii="Times New Roman" w:hAnsi="Times New Roman" w:cs="Times New Roman"/>
                      <w:color w:val="auto"/>
                      <w:sz w:val="21"/>
                      <w:szCs w:val="21"/>
                      <w:highlight w:val="none"/>
                      <w:lang w:val="en-US" w:eastAsia="zh-CN"/>
                    </w:rPr>
                    <w:t>挥发性有机物产生量少。</w:t>
                  </w:r>
                </w:p>
              </w:tc>
              <w:tc>
                <w:tcPr>
                  <w:tcW w:w="410" w:type="pct"/>
                  <w:tcBorders>
                    <w:tl2br w:val="nil"/>
                    <w:tr2bl w:val="nil"/>
                  </w:tcBorders>
                  <w:shd w:val="clear" w:color="auto" w:fill="auto"/>
                  <w:vAlign w:val="center"/>
                </w:tcPr>
                <w:p w14:paraId="30B0E4A7">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符合</w:t>
                  </w:r>
                </w:p>
              </w:tc>
            </w:tr>
            <w:tr w14:paraId="79EB68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85" w:type="pct"/>
                  <w:tcBorders>
                    <w:tl2br w:val="nil"/>
                    <w:tr2bl w:val="nil"/>
                  </w:tcBorders>
                  <w:shd w:val="clear" w:color="auto" w:fill="auto"/>
                  <w:vAlign w:val="center"/>
                </w:tcPr>
                <w:p w14:paraId="36742FDD">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持续优化产业结构和布局</w:t>
                  </w:r>
                </w:p>
              </w:tc>
              <w:tc>
                <w:tcPr>
                  <w:tcW w:w="2815" w:type="pct"/>
                  <w:tcBorders>
                    <w:tl2br w:val="nil"/>
                    <w:tr2bl w:val="nil"/>
                  </w:tcBorders>
                  <w:shd w:val="clear" w:color="auto" w:fill="auto"/>
                  <w:vAlign w:val="center"/>
                </w:tcPr>
                <w:p w14:paraId="0A3FA9E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color w:val="auto"/>
                      <w:sz w:val="21"/>
                      <w:szCs w:val="21"/>
                    </w:rPr>
                  </w:pPr>
                  <w:r>
                    <w:rPr>
                      <w:color w:val="auto"/>
                      <w:sz w:val="21"/>
                      <w:szCs w:val="21"/>
                    </w:rPr>
                    <w:t>坚决遏制高耗能、高排放、低水平项目盲目发展。严格落实国家和本市产业规划、产业政策、“三线一单”、规划环评以及产能置换、煤炭消费减量替代、区域污染物削减等相关要求，严控高耗能、高排放、低水平项目，因地制宜制定“两高”和资源型行业准入标准。适时修订并严格执行产业禁投清单等准入政策，合理控制煤制油气产能规模，未纳入国家有关领域产业规划的新、改、扩建炼油和新建乙烯、对二甲苯、煤制烯烃项目，一律不得建设。新、改、扩建项目所需二氧化硫、氮氧化物、VOCs排放量指标要进行减量替代，PM</w:t>
                  </w:r>
                  <w:r>
                    <w:rPr>
                      <w:color w:val="auto"/>
                      <w:sz w:val="21"/>
                      <w:szCs w:val="21"/>
                      <w:vertAlign w:val="subscript"/>
                    </w:rPr>
                    <w:t>2.5</w:t>
                  </w:r>
                  <w:r>
                    <w:rPr>
                      <w:color w:val="auto"/>
                      <w:sz w:val="21"/>
                      <w:szCs w:val="21"/>
                    </w:rPr>
                    <w:t>或者臭氧未达标区县要加大替代比例。加快推进“两高”和资源型行业依法开展清洁生产审核，推动一批重点企业达到国际清洁生产领先水平，确保新上的“两高”项目达到标杆值水平和污染物排放标准先进值。</w:t>
                  </w:r>
                </w:p>
              </w:tc>
              <w:tc>
                <w:tcPr>
                  <w:tcW w:w="1288" w:type="pct"/>
                  <w:tcBorders>
                    <w:tl2br w:val="nil"/>
                    <w:tr2bl w:val="nil"/>
                  </w:tcBorders>
                  <w:shd w:val="clear" w:color="auto" w:fill="auto"/>
                  <w:vAlign w:val="center"/>
                </w:tcPr>
                <w:p w14:paraId="7C665BFE">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eastAsia="PMingLiU"/>
                      <w:color w:val="auto"/>
                      <w:sz w:val="21"/>
                      <w:szCs w:val="21"/>
                    </w:rPr>
                  </w:pPr>
                  <w:r>
                    <w:rPr>
                      <w:rFonts w:hint="eastAsia"/>
                      <w:color w:val="auto"/>
                      <w:sz w:val="21"/>
                      <w:szCs w:val="21"/>
                      <w:lang w:eastAsia="zh-CN"/>
                    </w:rPr>
                    <w:t>本项目</w:t>
                  </w:r>
                  <w:r>
                    <w:rPr>
                      <w:color w:val="auto"/>
                      <w:sz w:val="21"/>
                      <w:szCs w:val="21"/>
                    </w:rPr>
                    <w:t>符合</w:t>
                  </w:r>
                  <w:r>
                    <w:rPr>
                      <w:rFonts w:hint="eastAsia"/>
                      <w:color w:val="auto"/>
                      <w:sz w:val="21"/>
                      <w:szCs w:val="21"/>
                      <w:highlight w:val="none"/>
                      <w:lang w:eastAsia="zh-CN"/>
                    </w:rPr>
                    <w:t>规划区</w:t>
                  </w:r>
                  <w:r>
                    <w:rPr>
                      <w:color w:val="auto"/>
                      <w:sz w:val="21"/>
                      <w:szCs w:val="21"/>
                    </w:rPr>
                    <w:t>产业定位、规划环评及其审查意见；本项目不属于高能耗、高排放、低水平项目，不属于产业禁投清单项目，不属于炼油和乙烯、对二甲苯、煤制烯烃项目。</w:t>
                  </w:r>
                </w:p>
              </w:tc>
              <w:tc>
                <w:tcPr>
                  <w:tcW w:w="410" w:type="pct"/>
                  <w:tcBorders>
                    <w:tl2br w:val="nil"/>
                    <w:tr2bl w:val="nil"/>
                  </w:tcBorders>
                  <w:shd w:val="clear" w:color="auto" w:fill="auto"/>
                  <w:vAlign w:val="center"/>
                </w:tcPr>
                <w:p w14:paraId="14278B1E">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color w:val="auto"/>
                      <w:sz w:val="21"/>
                      <w:szCs w:val="21"/>
                    </w:rPr>
                  </w:pPr>
                  <w:r>
                    <w:rPr>
                      <w:color w:val="auto"/>
                      <w:sz w:val="21"/>
                      <w:szCs w:val="21"/>
                    </w:rPr>
                    <w:t>符合</w:t>
                  </w:r>
                </w:p>
              </w:tc>
            </w:tr>
          </w:tbl>
          <w:p w14:paraId="6B792073">
            <w:pPr>
              <w:spacing w:line="360" w:lineRule="auto"/>
              <w:ind w:left="0" w:leftChars="0" w:firstLine="480" w:firstLineChars="200"/>
              <w:rPr>
                <w:rFonts w:hint="eastAsia" w:eastAsiaTheme="minorEastAsia"/>
                <w:bCs/>
                <w:color w:val="auto"/>
                <w:kern w:val="0"/>
                <w:sz w:val="24"/>
              </w:rPr>
            </w:pPr>
            <w:r>
              <w:rPr>
                <w:rFonts w:hint="eastAsia" w:eastAsiaTheme="minorEastAsia"/>
                <w:bCs/>
                <w:color w:val="auto"/>
                <w:kern w:val="0"/>
                <w:sz w:val="24"/>
              </w:rPr>
              <w:t>综上分析，项目符合《重庆市大气环境保护“十四五”规划(2021-2025年)》相关要求。</w:t>
            </w:r>
          </w:p>
          <w:p w14:paraId="674BB8E4">
            <w:pPr>
              <w:spacing w:line="360" w:lineRule="auto"/>
              <w:ind w:left="0" w:leftChars="0" w:firstLine="0" w:firstLineChars="0"/>
              <w:rPr>
                <w:rFonts w:eastAsiaTheme="minorEastAsia"/>
                <w:b/>
                <w:color w:val="auto"/>
                <w:spacing w:val="-3"/>
                <w:sz w:val="24"/>
              </w:rPr>
            </w:pPr>
            <w:r>
              <w:rPr>
                <w:rFonts w:hint="eastAsia" w:eastAsia="宋体"/>
                <w:b/>
                <w:color w:val="auto"/>
                <w:kern w:val="0"/>
                <w:lang w:val="en-US" w:eastAsia="zh-CN"/>
              </w:rPr>
              <w:t>7.</w:t>
            </w:r>
            <w:r>
              <w:rPr>
                <w:rFonts w:eastAsiaTheme="minorEastAsia"/>
                <w:b/>
                <w:color w:val="auto"/>
                <w:spacing w:val="-3"/>
                <w:sz w:val="24"/>
              </w:rPr>
              <w:t>与《重庆市生态环境保护“十四五”规划（2021—2025年）》（渝府发〔2022〕11号）符合性分析</w:t>
            </w:r>
          </w:p>
          <w:p w14:paraId="466BC48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color w:val="auto"/>
                <w:kern w:val="0"/>
                <w:sz w:val="21"/>
                <w:szCs w:val="21"/>
                <w:highlight w:val="none"/>
              </w:rPr>
            </w:pPr>
            <w:r>
              <w:rPr>
                <w:color w:val="auto"/>
                <w:kern w:val="0"/>
                <w:sz w:val="21"/>
                <w:szCs w:val="21"/>
                <w:highlight w:val="none"/>
              </w:rPr>
              <w:t>表</w:t>
            </w:r>
            <w:r>
              <w:rPr>
                <w:rFonts w:hint="eastAsia"/>
                <w:color w:val="auto"/>
                <w:kern w:val="0"/>
                <w:sz w:val="21"/>
                <w:szCs w:val="21"/>
                <w:highlight w:val="none"/>
              </w:rPr>
              <w:t>1.</w:t>
            </w:r>
            <w:r>
              <w:rPr>
                <w:rFonts w:hint="eastAsia" w:eastAsia="宋体"/>
                <w:color w:val="auto"/>
                <w:kern w:val="0"/>
                <w:sz w:val="21"/>
                <w:szCs w:val="21"/>
                <w:highlight w:val="none"/>
                <w:lang w:val="en-US" w:eastAsia="zh-CN"/>
              </w:rPr>
              <w:t>7-1</w:t>
            </w:r>
            <w:r>
              <w:rPr>
                <w:rFonts w:hint="eastAsia"/>
                <w:color w:val="auto"/>
                <w:kern w:val="0"/>
                <w:sz w:val="21"/>
                <w:szCs w:val="21"/>
                <w:highlight w:val="none"/>
                <w:lang w:val="en-US" w:eastAsia="zh-CN"/>
              </w:rPr>
              <w:t xml:space="preserve"> </w:t>
            </w:r>
            <w:r>
              <w:rPr>
                <w:color w:val="auto"/>
                <w:kern w:val="0"/>
                <w:sz w:val="21"/>
                <w:szCs w:val="21"/>
                <w:highlight w:val="none"/>
              </w:rPr>
              <w:t>与重庆市生态环境保护</w:t>
            </w:r>
            <w:r>
              <w:rPr>
                <w:color w:val="auto"/>
                <w:kern w:val="0"/>
                <w:sz w:val="21"/>
                <w:szCs w:val="21"/>
                <w:highlight w:val="none"/>
                <w:lang w:val="zh-CN"/>
              </w:rPr>
              <w:t>“十</w:t>
            </w:r>
            <w:r>
              <w:rPr>
                <w:color w:val="auto"/>
                <w:kern w:val="0"/>
                <w:sz w:val="21"/>
                <w:szCs w:val="21"/>
                <w:highlight w:val="none"/>
              </w:rPr>
              <w:t>四五</w:t>
            </w:r>
            <w:r>
              <w:rPr>
                <w:color w:val="auto"/>
                <w:kern w:val="0"/>
                <w:sz w:val="21"/>
                <w:szCs w:val="21"/>
                <w:highlight w:val="none"/>
                <w:lang w:val="zh-CN"/>
              </w:rPr>
              <w:t>”规划</w:t>
            </w:r>
            <w:r>
              <w:rPr>
                <w:color w:val="auto"/>
                <w:kern w:val="0"/>
                <w:sz w:val="21"/>
                <w:szCs w:val="21"/>
                <w:highlight w:val="none"/>
              </w:rPr>
              <w:t>符合性</w:t>
            </w:r>
          </w:p>
          <w:tbl>
            <w:tblPr>
              <w:tblStyle w:val="17"/>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 w:type="dxa"/>
                <w:bottom w:w="0" w:type="dxa"/>
                <w:right w:w="10" w:type="dxa"/>
              </w:tblCellMar>
            </w:tblPr>
            <w:tblGrid>
              <w:gridCol w:w="656"/>
              <w:gridCol w:w="4376"/>
              <w:gridCol w:w="2448"/>
              <w:gridCol w:w="636"/>
            </w:tblGrid>
            <w:tr w14:paraId="17B911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3099" w:type="pct"/>
                  <w:gridSpan w:val="2"/>
                  <w:tcBorders>
                    <w:tl2br w:val="nil"/>
                    <w:tr2bl w:val="nil"/>
                  </w:tcBorders>
                  <w:shd w:val="clear" w:color="auto" w:fill="auto"/>
                  <w:vAlign w:val="center"/>
                </w:tcPr>
                <w:p w14:paraId="4C26A40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相关要求</w:t>
                  </w:r>
                </w:p>
              </w:tc>
              <w:tc>
                <w:tcPr>
                  <w:tcW w:w="1508" w:type="pct"/>
                  <w:tcBorders>
                    <w:tl2br w:val="nil"/>
                    <w:tr2bl w:val="nil"/>
                  </w:tcBorders>
                  <w:shd w:val="clear" w:color="auto" w:fill="auto"/>
                  <w:vAlign w:val="center"/>
                </w:tcPr>
                <w:p w14:paraId="19FEF18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本项目情况</w:t>
                  </w:r>
                </w:p>
              </w:tc>
              <w:tc>
                <w:tcPr>
                  <w:tcW w:w="392" w:type="pct"/>
                  <w:tcBorders>
                    <w:tl2br w:val="nil"/>
                    <w:tr2bl w:val="nil"/>
                  </w:tcBorders>
                  <w:shd w:val="clear" w:color="auto" w:fill="auto"/>
                  <w:vAlign w:val="center"/>
                </w:tcPr>
                <w:p w14:paraId="631D616A">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符合性</w:t>
                  </w:r>
                </w:p>
              </w:tc>
            </w:tr>
            <w:tr w14:paraId="2FBC991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14:paraId="7CF0BE5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改善水环境质量</w:t>
                  </w:r>
                </w:p>
              </w:tc>
              <w:tc>
                <w:tcPr>
                  <w:tcW w:w="2695" w:type="pct"/>
                  <w:tcBorders>
                    <w:tl2br w:val="nil"/>
                    <w:tr2bl w:val="nil"/>
                  </w:tcBorders>
                  <w:shd w:val="clear" w:color="auto" w:fill="auto"/>
                  <w:vAlign w:val="center"/>
                </w:tcPr>
                <w:p w14:paraId="045C26D0">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加强河流水质目标管理。将我市河</w:t>
                  </w:r>
                  <w:r>
                    <w:rPr>
                      <w:rStyle w:val="22"/>
                      <w:rFonts w:hint="default" w:ascii="Times New Roman" w:hAnsi="Times New Roman" w:cs="Times New Roman"/>
                      <w:color w:val="auto"/>
                    </w:rPr>
                    <w:t>湖划分为22个管控单元，将流域生态环境保护责任分解落实到各个断面、水体和行政区域，做深做实</w:t>
                  </w:r>
                  <w:r>
                    <w:rPr>
                      <w:rStyle w:val="22"/>
                      <w:rFonts w:hint="default" w:ascii="Times New Roman" w:hAnsi="Times New Roman" w:cs="Times New Roman"/>
                      <w:color w:val="auto"/>
                      <w:lang w:val="zh-CN" w:eastAsia="zh-CN"/>
                    </w:rPr>
                    <w:t>“一河</w:t>
                  </w:r>
                  <w:r>
                    <w:rPr>
                      <w:rStyle w:val="22"/>
                      <w:rFonts w:hint="default" w:ascii="Times New Roman" w:hAnsi="Times New Roman" w:cs="Times New Roman"/>
                      <w:color w:val="auto"/>
                    </w:rPr>
                    <w:t>一长</w:t>
                  </w:r>
                  <w:r>
                    <w:rPr>
                      <w:rStyle w:val="22"/>
                      <w:rFonts w:hint="default" w:ascii="Times New Roman" w:hAnsi="Times New Roman" w:cs="Times New Roman"/>
                      <w:color w:val="auto"/>
                      <w:lang w:val="zh-CN" w:eastAsia="zh-CN"/>
                    </w:rPr>
                    <w:t>”“一</w:t>
                  </w:r>
                  <w:r>
                    <w:rPr>
                      <w:rStyle w:val="22"/>
                      <w:rFonts w:hint="default" w:ascii="Times New Roman" w:hAnsi="Times New Roman" w:cs="Times New Roman"/>
                      <w:color w:val="auto"/>
                    </w:rPr>
                    <w:t>河一策”</w:t>
                  </w:r>
                  <w:r>
                    <w:rPr>
                      <w:rStyle w:val="22"/>
                      <w:rFonts w:hint="default" w:ascii="Times New Roman" w:hAnsi="Times New Roman" w:cs="Times New Roman"/>
                      <w:color w:val="auto"/>
                      <w:lang w:val="zh-CN" w:eastAsia="zh-CN"/>
                    </w:rPr>
                    <w:t>“一</w:t>
                  </w:r>
                  <w:r>
                    <w:rPr>
                      <w:rStyle w:val="22"/>
                      <w:rFonts w:hint="default" w:ascii="Times New Roman" w:hAnsi="Times New Roman" w:cs="Times New Roman"/>
                      <w:color w:val="auto"/>
                    </w:rPr>
                    <w:t>河一档”。将包含重要</w:t>
                  </w:r>
                  <w:r>
                    <w:rPr>
                      <w:rFonts w:ascii="Times New Roman" w:hAnsi="Times New Roman" w:cs="Times New Roman" w:eastAsiaTheme="minorEastAsia"/>
                      <w:color w:val="auto"/>
                      <w:sz w:val="21"/>
                      <w:szCs w:val="21"/>
                    </w:rPr>
                    <w:t>饮用水水源、具有重要生态功能以及水质达标压力较大的断面、水体列为优先控制对象，综合运用水资源调度、水生态保护、水环境治理等措施提高水环境质量。现状水质良好的断面、水体要防止发生退化，现状水质不达标的断面、水体要逐一制定达标方案，实施精准治理。开展流域水环境治理试点示范。保持长江干流重庆段水质总体优良。</w:t>
                  </w:r>
                </w:p>
              </w:tc>
              <w:tc>
                <w:tcPr>
                  <w:tcW w:w="1508" w:type="pct"/>
                  <w:tcBorders>
                    <w:tl2br w:val="nil"/>
                    <w:tr2bl w:val="nil"/>
                  </w:tcBorders>
                  <w:shd w:val="clear" w:color="auto" w:fill="auto"/>
                  <w:vAlign w:val="center"/>
                </w:tcPr>
                <w:p w14:paraId="03A78479">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周边</w:t>
                  </w:r>
                  <w:r>
                    <w:rPr>
                      <w:rFonts w:ascii="Times New Roman" w:hAnsi="Times New Roman" w:cs="Times New Roman" w:eastAsiaTheme="minorEastAsia"/>
                      <w:color w:val="auto"/>
                      <w:sz w:val="21"/>
                      <w:szCs w:val="21"/>
                    </w:rPr>
                    <w:t>市政管网和污水处理设施已完善；</w:t>
                  </w:r>
                  <w:r>
                    <w:rPr>
                      <w:rFonts w:hint="eastAsia" w:ascii="Times New Roman" w:hAnsi="Times New Roman" w:cs="Times New Roman" w:eastAsiaTheme="minorEastAsia"/>
                      <w:color w:val="auto"/>
                      <w:sz w:val="21"/>
                      <w:szCs w:val="21"/>
                      <w:lang w:eastAsia="zh-CN"/>
                    </w:rPr>
                    <w:t>本项目废水排放量少，废水经处理后</w:t>
                  </w:r>
                  <w:r>
                    <w:rPr>
                      <w:rFonts w:ascii="Times New Roman" w:hAnsi="Times New Roman" w:cs="Times New Roman" w:eastAsiaTheme="minorEastAsia"/>
                      <w:color w:val="auto"/>
                      <w:sz w:val="21"/>
                      <w:szCs w:val="21"/>
                    </w:rPr>
                    <w:t>进入</w:t>
                  </w:r>
                  <w:r>
                    <w:rPr>
                      <w:rFonts w:hint="eastAsia" w:ascii="Times New Roman" w:hAnsi="Times New Roman" w:cs="Times New Roman" w:eastAsiaTheme="minorEastAsia"/>
                      <w:color w:val="auto"/>
                      <w:sz w:val="21"/>
                      <w:szCs w:val="21"/>
                      <w:lang w:eastAsia="zh-CN"/>
                    </w:rPr>
                    <w:t>龙桥污水处理厂</w:t>
                  </w:r>
                  <w:r>
                    <w:rPr>
                      <w:rFonts w:ascii="Times New Roman" w:hAnsi="Times New Roman" w:cs="Times New Roman" w:eastAsiaTheme="minorEastAsia"/>
                      <w:color w:val="auto"/>
                      <w:sz w:val="21"/>
                      <w:szCs w:val="21"/>
                    </w:rPr>
                    <w:t>处理达标后</w:t>
                  </w:r>
                  <w:r>
                    <w:rPr>
                      <w:rFonts w:hint="eastAsia" w:ascii="Times New Roman" w:hAnsi="Times New Roman" w:cs="Times New Roman" w:eastAsiaTheme="minorEastAsia"/>
                      <w:color w:val="auto"/>
                      <w:sz w:val="21"/>
                      <w:szCs w:val="21"/>
                      <w:lang w:eastAsia="zh-CN"/>
                    </w:rPr>
                    <w:t>最终</w:t>
                  </w:r>
                  <w:r>
                    <w:rPr>
                      <w:rFonts w:ascii="Times New Roman" w:hAnsi="Times New Roman" w:cs="Times New Roman" w:eastAsiaTheme="minorEastAsia"/>
                      <w:color w:val="auto"/>
                      <w:sz w:val="21"/>
                      <w:szCs w:val="21"/>
                    </w:rPr>
                    <w:t>排入</w:t>
                  </w:r>
                  <w:r>
                    <w:rPr>
                      <w:rFonts w:hint="eastAsia" w:ascii="Times New Roman" w:hAnsi="Times New Roman" w:cs="Times New Roman" w:eastAsiaTheme="minorEastAsia"/>
                      <w:color w:val="auto"/>
                      <w:sz w:val="21"/>
                      <w:szCs w:val="21"/>
                      <w:lang w:eastAsia="zh-CN"/>
                    </w:rPr>
                    <w:t>长江</w:t>
                  </w:r>
                  <w:r>
                    <w:rPr>
                      <w:rFonts w:ascii="Times New Roman" w:hAnsi="Times New Roman" w:cs="Times New Roman" w:eastAsiaTheme="minorEastAsia"/>
                      <w:color w:val="auto"/>
                      <w:sz w:val="21"/>
                      <w:szCs w:val="21"/>
                    </w:rPr>
                    <w:t>。</w:t>
                  </w:r>
                </w:p>
              </w:tc>
              <w:tc>
                <w:tcPr>
                  <w:tcW w:w="392" w:type="pct"/>
                  <w:tcBorders>
                    <w:tl2br w:val="nil"/>
                    <w:tr2bl w:val="nil"/>
                  </w:tcBorders>
                  <w:shd w:val="clear" w:color="auto" w:fill="auto"/>
                  <w:vAlign w:val="center"/>
                </w:tcPr>
                <w:p w14:paraId="10BC738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458922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59138438">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34EC34A3">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加强重点水环境综合治理。推进生活污水集中处理设施新、改、扩建，补齐城镇污水收集管网短板，实施错接、漏接、老旧破损管网的更新修复，对进水生化需氧量浓度低于100mg/L的</w:t>
                  </w:r>
                  <w:r>
                    <w:rPr>
                      <w:rFonts w:hint="eastAsia" w:ascii="Times New Roman" w:hAnsi="Times New Roman" w:cs="Times New Roman" w:eastAsiaTheme="minorEastAsia"/>
                      <w:color w:val="auto"/>
                      <w:sz w:val="21"/>
                      <w:szCs w:val="21"/>
                      <w:lang w:eastAsia="zh-CN"/>
                    </w:rPr>
                    <w:t>污水处理厂</w:t>
                  </w:r>
                  <w:r>
                    <w:rPr>
                      <w:rFonts w:ascii="Times New Roman" w:hAnsi="Times New Roman" w:cs="Times New Roman" w:eastAsiaTheme="minorEastAsia"/>
                      <w:color w:val="auto"/>
                      <w:sz w:val="21"/>
                      <w:szCs w:val="21"/>
                    </w:rPr>
                    <w:t>实施“一厂一策”改造。</w:t>
                  </w:r>
                </w:p>
              </w:tc>
              <w:tc>
                <w:tcPr>
                  <w:tcW w:w="1508" w:type="pct"/>
                  <w:tcBorders>
                    <w:tl2br w:val="nil"/>
                    <w:tr2bl w:val="nil"/>
                  </w:tcBorders>
                  <w:shd w:val="clear" w:color="auto" w:fill="auto"/>
                  <w:vAlign w:val="center"/>
                </w:tcPr>
                <w:p w14:paraId="62F148E5">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本项目所在园区市政管网和污水处理设施已完善</w:t>
                  </w:r>
                  <w:r>
                    <w:rPr>
                      <w:rFonts w:hint="eastAsia" w:ascii="Times New Roman" w:hAnsi="Times New Roman" w:cs="Times New Roman" w:eastAsiaTheme="minorEastAsia"/>
                      <w:color w:val="auto"/>
                      <w:sz w:val="21"/>
                      <w:szCs w:val="21"/>
                      <w:lang w:eastAsia="zh-CN"/>
                    </w:rPr>
                    <w:t>，废水可进入龙桥污水处理厂</w:t>
                  </w: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不涉及污水处理厂的改造。</w:t>
                  </w:r>
                </w:p>
              </w:tc>
              <w:tc>
                <w:tcPr>
                  <w:tcW w:w="392" w:type="pct"/>
                  <w:tcBorders>
                    <w:tl2br w:val="nil"/>
                    <w:tr2bl w:val="nil"/>
                  </w:tcBorders>
                  <w:shd w:val="clear" w:color="auto" w:fill="auto"/>
                  <w:vAlign w:val="center"/>
                </w:tcPr>
                <w:p w14:paraId="1D0878FC">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1945EB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32287F56">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71891E76">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修复水生态扩大水环境容量。强化水资源开发利用控制、用水效率控制、水功能区限制纳污“三条红线”，实施最严格的水资源管理制度，节约利用水资源。</w:t>
                  </w:r>
                </w:p>
              </w:tc>
              <w:tc>
                <w:tcPr>
                  <w:tcW w:w="1508" w:type="pct"/>
                  <w:tcBorders>
                    <w:tl2br w:val="nil"/>
                    <w:tr2bl w:val="nil"/>
                  </w:tcBorders>
                  <w:shd w:val="clear" w:color="auto" w:fill="auto"/>
                  <w:vAlign w:val="center"/>
                </w:tcPr>
                <w:p w14:paraId="27618513">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本项目用水量少，做到节约用水。</w:t>
                  </w:r>
                </w:p>
              </w:tc>
              <w:tc>
                <w:tcPr>
                  <w:tcW w:w="392" w:type="pct"/>
                  <w:tcBorders>
                    <w:tl2br w:val="nil"/>
                    <w:tr2bl w:val="nil"/>
                  </w:tcBorders>
                  <w:shd w:val="clear" w:color="auto" w:fill="auto"/>
                  <w:vAlign w:val="center"/>
                </w:tcPr>
                <w:p w14:paraId="198DD98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63FB6E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4FC83438">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525981F3">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严格保护饮用水水源地水质安全。加强城市集中式饮用水水源地信息化建设，进一步加大水源地保护区环境管理，保持水质100%达标。</w:t>
                  </w:r>
                </w:p>
              </w:tc>
              <w:tc>
                <w:tcPr>
                  <w:tcW w:w="1508" w:type="pct"/>
                  <w:tcBorders>
                    <w:tl2br w:val="nil"/>
                    <w:tr2bl w:val="nil"/>
                  </w:tcBorders>
                  <w:shd w:val="clear" w:color="auto" w:fill="auto"/>
                  <w:vAlign w:val="center"/>
                </w:tcPr>
                <w:p w14:paraId="1E02A339">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本项目不涉及饮用水源地。</w:t>
                  </w:r>
                </w:p>
              </w:tc>
              <w:tc>
                <w:tcPr>
                  <w:tcW w:w="392" w:type="pct"/>
                  <w:tcBorders>
                    <w:tl2br w:val="nil"/>
                    <w:tr2bl w:val="nil"/>
                  </w:tcBorders>
                  <w:shd w:val="clear" w:color="auto" w:fill="auto"/>
                  <w:vAlign w:val="center"/>
                </w:tcPr>
                <w:p w14:paraId="78ABBD56">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242A6E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14:paraId="62C7B647">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提升大气环境质量</w:t>
                  </w:r>
                </w:p>
              </w:tc>
              <w:tc>
                <w:tcPr>
                  <w:tcW w:w="2695" w:type="pct"/>
                  <w:tcBorders>
                    <w:tl2br w:val="nil"/>
                    <w:tr2bl w:val="nil"/>
                  </w:tcBorders>
                  <w:shd w:val="clear" w:color="auto" w:fill="auto"/>
                  <w:vAlign w:val="center"/>
                </w:tcPr>
                <w:p w14:paraId="7C01CE88">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以挥发性有机物治理和工业炉窑整治为重点深化工业废气污染控制。完成钢铁行业大气污染物超低排放改造。推进实施水泥行业产能等量或减量替代，推动工业炉窑深度治理和升级改造、垃圾焚烧发电厂氮氧化物深度治理。加大化工园区及制药、造纸、化工、燃煤锅炉等集中整治力度。加强火电、水泥、砖瓦、陶瓷、建材加工等行业废气无组织排放监管。严格落实VOCs（挥发性有机物）含量限值标准，大力推进低（无）VOCs原辅材料替代，将生产和使用高VOCs含量产品的企业列入强制性清洁生产审核名单。以工业涂装、包装印刷、家具制造、电子、石化、化工、油品储运销等行业为重点，强化VOCs无组织排放管控。推动适时把挥发性有机物纳入环境保护税征收范围。</w:t>
                  </w:r>
                </w:p>
              </w:tc>
              <w:tc>
                <w:tcPr>
                  <w:tcW w:w="1508" w:type="pct"/>
                  <w:tcBorders>
                    <w:tl2br w:val="nil"/>
                    <w:tr2bl w:val="nil"/>
                  </w:tcBorders>
                  <w:shd w:val="clear" w:color="auto" w:fill="auto"/>
                  <w:vAlign w:val="center"/>
                </w:tcPr>
                <w:p w14:paraId="46DECDFE">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本项目不涉及制药、造纸、化工、燃煤锅炉，不属于钢铁、火电、水泥、砖瓦、陶瓷、建材加工等行业。</w:t>
                  </w:r>
                </w:p>
              </w:tc>
              <w:tc>
                <w:tcPr>
                  <w:tcW w:w="392" w:type="pct"/>
                  <w:tcBorders>
                    <w:tl2br w:val="nil"/>
                    <w:tr2bl w:val="nil"/>
                  </w:tcBorders>
                  <w:shd w:val="clear" w:color="auto" w:fill="auto"/>
                  <w:vAlign w:val="center"/>
                </w:tcPr>
                <w:p w14:paraId="240DBEDE">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44E0C7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353938EF">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4055BD99">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default"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以绿色示范创建和智能监管为重点深化扬尘污染控制。出台并实施建筑施工现场扬尘控制管理标准，持续推行“红黄绿”名单分级管控制度，建设扬尘控制示范工地。开展建筑施工扬尘排放标准和控尘技术规范研究。提高城市道路机械化清扫率，持续开展道路冲洗、洒水，完善质量标准考评，建设扬尘控制示范道路。严格落实“定车辆、定线路、定渣场”要求，加大渣土密闭运输联合执法监管力度。加强企业堆煤、堆料、建筑渣土消纳场和混凝土搅拌站粉尘排放监管。加强城市裸露地块和坡坎崖整治</w:t>
                  </w:r>
                  <w:r>
                    <w:rPr>
                      <w:rFonts w:hint="eastAsia" w:ascii="Times New Roman" w:hAnsi="Times New Roman" w:cs="Times New Roman" w:eastAsiaTheme="minorEastAsia"/>
                      <w:color w:val="auto"/>
                      <w:sz w:val="21"/>
                      <w:szCs w:val="21"/>
                      <w:lang w:eastAsia="zh-CN"/>
                    </w:rPr>
                    <w:t>。</w:t>
                  </w:r>
                </w:p>
              </w:tc>
              <w:tc>
                <w:tcPr>
                  <w:tcW w:w="1508" w:type="pct"/>
                  <w:tcBorders>
                    <w:tl2br w:val="nil"/>
                    <w:tr2bl w:val="nil"/>
                  </w:tcBorders>
                  <w:shd w:val="clear" w:color="auto" w:fill="auto"/>
                  <w:vAlign w:val="center"/>
                </w:tcPr>
                <w:p w14:paraId="7F57529D">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rPr>
                      <w:rFonts w:eastAsiaTheme="minorEastAsia"/>
                      <w:color w:val="auto"/>
                      <w:sz w:val="21"/>
                      <w:szCs w:val="21"/>
                    </w:rPr>
                  </w:pPr>
                  <w:r>
                    <w:rPr>
                      <w:rFonts w:hint="eastAsia" w:eastAsiaTheme="minorEastAsia"/>
                      <w:color w:val="auto"/>
                      <w:sz w:val="21"/>
                      <w:szCs w:val="21"/>
                    </w:rPr>
                    <w:t>本项目利用现有</w:t>
                  </w:r>
                  <w:r>
                    <w:rPr>
                      <w:rFonts w:hint="eastAsia" w:eastAsiaTheme="minorEastAsia"/>
                      <w:color w:val="auto"/>
                      <w:sz w:val="21"/>
                      <w:szCs w:val="21"/>
                      <w:lang w:eastAsia="zh-CN"/>
                    </w:rPr>
                    <w:t>建筑</w:t>
                  </w:r>
                  <w:r>
                    <w:rPr>
                      <w:rFonts w:hint="eastAsia" w:eastAsiaTheme="minorEastAsia"/>
                      <w:color w:val="auto"/>
                      <w:sz w:val="21"/>
                      <w:szCs w:val="21"/>
                    </w:rPr>
                    <w:t>进行</w:t>
                  </w:r>
                  <w:r>
                    <w:rPr>
                      <w:rFonts w:hint="eastAsia" w:eastAsiaTheme="minorEastAsia"/>
                      <w:color w:val="auto"/>
                      <w:sz w:val="21"/>
                      <w:szCs w:val="21"/>
                      <w:lang w:eastAsia="zh-CN"/>
                    </w:rPr>
                    <w:t>建设</w:t>
                  </w:r>
                  <w:r>
                    <w:rPr>
                      <w:rFonts w:hint="eastAsia" w:eastAsiaTheme="minorEastAsia"/>
                      <w:color w:val="auto"/>
                      <w:sz w:val="21"/>
                      <w:szCs w:val="21"/>
                    </w:rPr>
                    <w:t>，无土建工程，施工期仅需对生产设备进行布置、安装、调试，不产生施工扬尘、施工废水、建筑垃圾。</w:t>
                  </w:r>
                </w:p>
              </w:tc>
              <w:tc>
                <w:tcPr>
                  <w:tcW w:w="392" w:type="pct"/>
                  <w:tcBorders>
                    <w:tl2br w:val="nil"/>
                    <w:tr2bl w:val="nil"/>
                  </w:tcBorders>
                  <w:shd w:val="clear" w:color="auto" w:fill="auto"/>
                  <w:vAlign w:val="center"/>
                </w:tcPr>
                <w:p w14:paraId="6E271DB9">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0FAF06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3DB1B9B9">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798CC3F5">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以餐饮油烟综合整治和露天焚烧管控为重点深化生活污染控制。</w:t>
                  </w:r>
                </w:p>
              </w:tc>
              <w:tc>
                <w:tcPr>
                  <w:tcW w:w="1508" w:type="pct"/>
                  <w:tcBorders>
                    <w:tl2br w:val="nil"/>
                    <w:tr2bl w:val="nil"/>
                  </w:tcBorders>
                  <w:shd w:val="clear" w:color="auto" w:fill="auto"/>
                  <w:vAlign w:val="center"/>
                </w:tcPr>
                <w:p w14:paraId="7A0C04A6">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不涉及餐饮油烟、露天焚烧。</w:t>
                  </w:r>
                </w:p>
              </w:tc>
              <w:tc>
                <w:tcPr>
                  <w:tcW w:w="392" w:type="pct"/>
                  <w:tcBorders>
                    <w:tl2br w:val="nil"/>
                    <w:tr2bl w:val="nil"/>
                  </w:tcBorders>
                  <w:shd w:val="clear" w:color="auto" w:fill="auto"/>
                  <w:vAlign w:val="center"/>
                </w:tcPr>
                <w:p w14:paraId="1444C4C9">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31F62F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13570066">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7CB4A2D3">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以精细管控和联防联控为抓手减少污染天气。根据“一区两群”空气质量本底特征建立环境空气质量分类管理体系，已达到现行标准的区县进一步改善大气环境质量，未达标区县分阶段逐步达标，推动“一区一策”精细管控。</w:t>
                  </w:r>
                </w:p>
              </w:tc>
              <w:tc>
                <w:tcPr>
                  <w:tcW w:w="1508" w:type="pct"/>
                  <w:tcBorders>
                    <w:tl2br w:val="nil"/>
                    <w:tr2bl w:val="nil"/>
                  </w:tcBorders>
                  <w:shd w:val="clear" w:color="auto" w:fill="auto"/>
                  <w:vAlign w:val="center"/>
                </w:tcPr>
                <w:p w14:paraId="38AB25B8">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highlight w:val="none"/>
                      <w:lang w:eastAsia="zh-CN"/>
                    </w:rPr>
                    <w:t>本项目位于环境空气质量不</w:t>
                  </w:r>
                  <w:r>
                    <w:rPr>
                      <w:rFonts w:ascii="Times New Roman" w:hAnsi="Times New Roman" w:cs="Times New Roman" w:eastAsiaTheme="minorEastAsia"/>
                      <w:color w:val="auto"/>
                      <w:sz w:val="21"/>
                      <w:szCs w:val="21"/>
                      <w:highlight w:val="none"/>
                    </w:rPr>
                    <w:t>达标区</w:t>
                  </w:r>
                  <w:r>
                    <w:rPr>
                      <w:rFonts w:hint="eastAsia" w:ascii="Times New Roman" w:hAnsi="Times New Roman" w:cs="Times New Roman" w:eastAsiaTheme="minorEastAsia"/>
                      <w:color w:val="auto"/>
                      <w:sz w:val="21"/>
                      <w:szCs w:val="21"/>
                      <w:highlight w:val="none"/>
                      <w:lang w:eastAsia="zh-CN"/>
                    </w:rPr>
                    <w:t>，采取限期达标规划相应措施，项目所在地环境空气质量将得到改善</w:t>
                  </w:r>
                  <w:r>
                    <w:rPr>
                      <w:rFonts w:ascii="Times New Roman" w:hAnsi="Times New Roman" w:cs="Times New Roman" w:eastAsiaTheme="minorEastAsia"/>
                      <w:color w:val="auto"/>
                      <w:sz w:val="21"/>
                      <w:szCs w:val="21"/>
                      <w:highlight w:val="none"/>
                    </w:rPr>
                    <w:t>。</w:t>
                  </w:r>
                </w:p>
              </w:tc>
              <w:tc>
                <w:tcPr>
                  <w:tcW w:w="392" w:type="pct"/>
                  <w:tcBorders>
                    <w:tl2br w:val="nil"/>
                    <w:tr2bl w:val="nil"/>
                  </w:tcBorders>
                  <w:shd w:val="clear" w:color="auto" w:fill="auto"/>
                  <w:vAlign w:val="center"/>
                </w:tcPr>
                <w:p w14:paraId="39E70DD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647BDE4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14:paraId="71578563">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协同防治土壤和地下水污染</w:t>
                  </w:r>
                </w:p>
              </w:tc>
              <w:tc>
                <w:tcPr>
                  <w:tcW w:w="2695" w:type="pct"/>
                  <w:tcBorders>
                    <w:tl2br w:val="nil"/>
                    <w:tr2bl w:val="nil"/>
                  </w:tcBorders>
                  <w:shd w:val="clear" w:color="auto" w:fill="auto"/>
                  <w:vAlign w:val="center"/>
                </w:tcPr>
                <w:p w14:paraId="5A97559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安全利用受污染耕地。根据农用地土壤环境质量监测结果，对耕地土壤环境质量类别单元进行动态调整。</w:t>
                  </w:r>
                </w:p>
                <w:p w14:paraId="61CB711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严格建设用地土壤污染风险管控和修复。落实重点监管单位自行监测、隐患排查、有毒有害物质排放报告制度，防止新增土壤污染。开展城镇人口密集区危险化学品生产企业搬迁改造</w:t>
                  </w:r>
                </w:p>
              </w:tc>
              <w:tc>
                <w:tcPr>
                  <w:tcW w:w="1508" w:type="pct"/>
                  <w:tcBorders>
                    <w:tl2br w:val="nil"/>
                    <w:tr2bl w:val="nil"/>
                  </w:tcBorders>
                  <w:shd w:val="clear" w:color="auto" w:fill="auto"/>
                  <w:vAlign w:val="center"/>
                </w:tcPr>
                <w:p w14:paraId="7D7668E8">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采取了</w:t>
                  </w:r>
                  <w:r>
                    <w:rPr>
                      <w:rFonts w:hint="eastAsia" w:ascii="Times New Roman" w:hAnsi="Times New Roman" w:cs="Times New Roman" w:eastAsiaTheme="minorEastAsia"/>
                      <w:color w:val="auto"/>
                      <w:sz w:val="21"/>
                      <w:szCs w:val="21"/>
                      <w:highlight w:val="none"/>
                      <w:lang w:eastAsia="zh-CN"/>
                    </w:rPr>
                    <w:t>土壤</w:t>
                  </w:r>
                  <w:r>
                    <w:rPr>
                      <w:rFonts w:hint="eastAsia" w:ascii="Times New Roman" w:hAnsi="Times New Roman" w:cs="Times New Roman" w:eastAsiaTheme="minorEastAsia"/>
                      <w:color w:val="auto"/>
                      <w:sz w:val="21"/>
                      <w:szCs w:val="21"/>
                      <w:lang w:eastAsia="zh-CN"/>
                    </w:rPr>
                    <w:t>污染防范管控措施，能有效防止土壤污染；本项目不属于危险化学品生产企业。</w:t>
                  </w:r>
                </w:p>
              </w:tc>
              <w:tc>
                <w:tcPr>
                  <w:tcW w:w="392" w:type="pct"/>
                  <w:tcBorders>
                    <w:tl2br w:val="nil"/>
                    <w:tr2bl w:val="nil"/>
                  </w:tcBorders>
                  <w:shd w:val="clear" w:color="auto" w:fill="auto"/>
                  <w:vAlign w:val="center"/>
                </w:tcPr>
                <w:p w14:paraId="6BAF49F5">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41E715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153E9CB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6CCF835E">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0"/>
                    <w:jc w:val="both"/>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污</w:t>
                  </w:r>
                  <w:r>
                    <w:rPr>
                      <w:rFonts w:ascii="Times New Roman" w:hAnsi="Times New Roman" w:cs="Times New Roman" w:eastAsiaTheme="minorEastAsia"/>
                      <w:color w:val="auto"/>
                      <w:sz w:val="21"/>
                      <w:szCs w:val="21"/>
                    </w:rPr>
                    <w:t>染整治腾退地块专项排查行动，建立高风险地块清单，健全建设用地再开发利用联合监管体系，完善污染地块再开发利用负面清单，分类型、分阶段开展污染地块风险管控和修复。到2025年，确保重点建设用地安全利用。</w:t>
                  </w:r>
                </w:p>
                <w:p w14:paraId="0777B2D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实施重点区域土壤污染综合防控。选择典型行业和企业，开展企业用地及周边农用地土壤污染状况调查，掌握典型行业企业生产经营活动对企业用地及周边农用地土壤生态环境的影响。</w:t>
                  </w:r>
                </w:p>
                <w:p w14:paraId="7A2FAFB9">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建立地下水环境管理体系。以化工园区、页岩气开采区、危险废物处置场、垃圾填埋场等为重点，开展防渗情况检测评估，统筹推进地下水安全源头预防和风险管控。</w:t>
                  </w:r>
                </w:p>
              </w:tc>
              <w:tc>
                <w:tcPr>
                  <w:tcW w:w="1508" w:type="pct"/>
                  <w:tcBorders>
                    <w:tl2br w:val="nil"/>
                    <w:tr2bl w:val="nil"/>
                  </w:tcBorders>
                  <w:shd w:val="clear" w:color="auto" w:fill="auto"/>
                  <w:vAlign w:val="center"/>
                </w:tcPr>
                <w:p w14:paraId="1AC32E50">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eastAsia="zh-CN"/>
                    </w:rPr>
                    <w:t>本项目不涉及重点建设用地安全利用；不涉及土壤污染状况调查；不涉及建立地下水环境管理体系；不涉及防渗情况检测评估</w:t>
                  </w:r>
                  <w:r>
                    <w:rPr>
                      <w:rFonts w:ascii="Times New Roman" w:hAnsi="Times New Roman" w:cs="Times New Roman" w:eastAsiaTheme="minorEastAsia"/>
                      <w:color w:val="auto"/>
                      <w:sz w:val="21"/>
                      <w:szCs w:val="21"/>
                    </w:rPr>
                    <w:t>。</w:t>
                  </w:r>
                </w:p>
              </w:tc>
              <w:tc>
                <w:tcPr>
                  <w:tcW w:w="392" w:type="pct"/>
                  <w:tcBorders>
                    <w:tl2br w:val="nil"/>
                    <w:tr2bl w:val="nil"/>
                  </w:tcBorders>
                  <w:shd w:val="clear" w:color="auto" w:fill="auto"/>
                  <w:vAlign w:val="center"/>
                </w:tcPr>
                <w:p w14:paraId="13957D2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r>
            <w:tr w14:paraId="38D9B5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restart"/>
                  <w:tcBorders>
                    <w:tl2br w:val="nil"/>
                    <w:tr2bl w:val="nil"/>
                  </w:tcBorders>
                  <w:shd w:val="clear" w:color="auto" w:fill="auto"/>
                  <w:vAlign w:val="center"/>
                </w:tcPr>
                <w:p w14:paraId="30A3FE7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管控噪声环境影响</w:t>
                  </w:r>
                </w:p>
              </w:tc>
              <w:tc>
                <w:tcPr>
                  <w:tcW w:w="2695" w:type="pct"/>
                  <w:tcBorders>
                    <w:tl2br w:val="nil"/>
                    <w:tr2bl w:val="nil"/>
                  </w:tcBorders>
                  <w:shd w:val="clear" w:color="auto" w:fill="auto"/>
                  <w:vAlign w:val="center"/>
                </w:tcPr>
                <w:p w14:paraId="7A23D995">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严格管控交通噪声影响。实施交通噪声智能管控工程，加快布局重点交通干线、重要声环境敏感区域噪声智能监控点，完成大数据采集，制定实施管控方案。</w:t>
                  </w:r>
                </w:p>
              </w:tc>
              <w:tc>
                <w:tcPr>
                  <w:tcW w:w="1508" w:type="pct"/>
                  <w:tcBorders>
                    <w:tl2br w:val="nil"/>
                    <w:tr2bl w:val="nil"/>
                  </w:tcBorders>
                  <w:shd w:val="clear" w:color="auto" w:fill="auto"/>
                  <w:vAlign w:val="center"/>
                </w:tcPr>
                <w:p w14:paraId="6164D2D0">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本项目不</w:t>
                  </w:r>
                  <w:r>
                    <w:rPr>
                      <w:rFonts w:hint="eastAsia" w:ascii="Times New Roman" w:hAnsi="Times New Roman" w:cs="Times New Roman" w:eastAsiaTheme="minorEastAsia"/>
                      <w:color w:val="auto"/>
                      <w:sz w:val="21"/>
                      <w:szCs w:val="21"/>
                      <w:lang w:eastAsia="zh-CN"/>
                    </w:rPr>
                    <w:t>涉及交通噪声智能控制工程</w:t>
                  </w:r>
                </w:p>
              </w:tc>
              <w:tc>
                <w:tcPr>
                  <w:tcW w:w="392" w:type="pct"/>
                  <w:tcBorders>
                    <w:tl2br w:val="nil"/>
                    <w:tr2bl w:val="nil"/>
                  </w:tcBorders>
                  <w:shd w:val="clear" w:color="auto" w:fill="auto"/>
                  <w:vAlign w:val="center"/>
                </w:tcPr>
                <w:p w14:paraId="63798979">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w:t>
                  </w:r>
                </w:p>
              </w:tc>
            </w:tr>
            <w:tr w14:paraId="12F62B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2464" w:hRule="atLeast"/>
                <w:jc w:val="center"/>
              </w:trPr>
              <w:tc>
                <w:tcPr>
                  <w:tcW w:w="404" w:type="pct"/>
                  <w:vMerge w:val="continue"/>
                  <w:tcBorders>
                    <w:tl2br w:val="nil"/>
                    <w:tr2bl w:val="nil"/>
                  </w:tcBorders>
                  <w:shd w:val="clear" w:color="auto" w:fill="auto"/>
                  <w:vAlign w:val="center"/>
                </w:tcPr>
                <w:p w14:paraId="44EA8967">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77B86D48">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加强建筑施工噪声监管。完善城市夜间作业审核管理，落实城市建筑施工环保公告制度，依法严格限定施工作业时间，严格限制在敏感区内进行产生噪声污染的夜间施工作业。进一步加大对违法夜间施工行为的巡查和行政处罚力度。推进噪声自动监测系统对建筑施工进行实时监督，鼓励使用低噪声施工设备和工艺，对施工强噪声单元实行全封闭管理。</w:t>
                  </w:r>
                </w:p>
              </w:tc>
              <w:tc>
                <w:tcPr>
                  <w:tcW w:w="1508" w:type="pct"/>
                  <w:tcBorders>
                    <w:tl2br w:val="nil"/>
                    <w:tr2bl w:val="nil"/>
                  </w:tcBorders>
                  <w:shd w:val="clear" w:color="auto" w:fill="auto"/>
                  <w:vAlign w:val="center"/>
                </w:tcPr>
                <w:p w14:paraId="2C40E1FC">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hint="eastAsia"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w:t>
                  </w:r>
                  <w:r>
                    <w:rPr>
                      <w:rFonts w:ascii="Times New Roman" w:hAnsi="Times New Roman" w:cs="Times New Roman" w:eastAsiaTheme="minorEastAsia"/>
                      <w:color w:val="auto"/>
                      <w:sz w:val="21"/>
                      <w:szCs w:val="21"/>
                      <w:highlight w:val="none"/>
                    </w:rPr>
                    <w:t>项目</w:t>
                  </w:r>
                  <w:r>
                    <w:rPr>
                      <w:rFonts w:hint="eastAsia" w:ascii="Times New Roman" w:hAnsi="Times New Roman" w:cs="Times New Roman" w:eastAsiaTheme="minorEastAsia"/>
                      <w:color w:val="auto"/>
                      <w:sz w:val="21"/>
                      <w:szCs w:val="21"/>
                      <w:highlight w:val="none"/>
                      <w:lang w:eastAsia="zh-CN"/>
                    </w:rPr>
                    <w:t>不属于敏感区，施工期仅进行设备的布置、安装，施工期短、影响小，项目施工期</w:t>
                  </w:r>
                  <w:r>
                    <w:rPr>
                      <w:rFonts w:ascii="Times New Roman" w:hAnsi="Times New Roman" w:cs="Times New Roman" w:eastAsiaTheme="minorEastAsia"/>
                      <w:color w:val="auto"/>
                      <w:sz w:val="21"/>
                      <w:szCs w:val="21"/>
                      <w:highlight w:val="none"/>
                    </w:rPr>
                    <w:t>夜</w:t>
                  </w:r>
                  <w:r>
                    <w:rPr>
                      <w:rFonts w:ascii="Times New Roman" w:hAnsi="Times New Roman" w:cs="Times New Roman" w:eastAsiaTheme="minorEastAsia"/>
                      <w:color w:val="auto"/>
                      <w:sz w:val="21"/>
                      <w:szCs w:val="21"/>
                    </w:rPr>
                    <w:t>间不施工</w:t>
                  </w:r>
                  <w:r>
                    <w:rPr>
                      <w:rFonts w:hint="eastAsia" w:ascii="Times New Roman" w:hAnsi="Times New Roman" w:cs="Times New Roman" w:eastAsiaTheme="minorEastAsia"/>
                      <w:color w:val="auto"/>
                      <w:sz w:val="21"/>
                      <w:szCs w:val="21"/>
                      <w:lang w:eastAsia="zh-CN"/>
                    </w:rPr>
                    <w:t>。</w:t>
                  </w:r>
                </w:p>
              </w:tc>
              <w:tc>
                <w:tcPr>
                  <w:tcW w:w="392" w:type="pct"/>
                  <w:tcBorders>
                    <w:tl2br w:val="nil"/>
                    <w:tr2bl w:val="nil"/>
                  </w:tcBorders>
                  <w:shd w:val="clear" w:color="auto" w:fill="auto"/>
                  <w:vAlign w:val="center"/>
                </w:tcPr>
                <w:p w14:paraId="3E43CE24">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73AB60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7979F122">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21559D7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强化工业企业噪声监管。关停、搬迁、治理城市建成区内的噪声污染严重企业，基本消除城区工业噪声扰民污染源。加强工业园区噪声污染防治，禁止在1类声环境功能区、严格限制在2类声环境功能区审批产生噪声污染的工业项目环评。严肃查处工业企业噪声排放超标扰民行为。</w:t>
                  </w:r>
                </w:p>
              </w:tc>
              <w:tc>
                <w:tcPr>
                  <w:tcW w:w="1508" w:type="pct"/>
                  <w:tcBorders>
                    <w:tl2br w:val="nil"/>
                    <w:tr2bl w:val="nil"/>
                  </w:tcBorders>
                  <w:shd w:val="clear" w:color="auto" w:fill="auto"/>
                  <w:vAlign w:val="center"/>
                </w:tcPr>
                <w:p w14:paraId="5791DFBB">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位于</w:t>
                  </w:r>
                  <w:r>
                    <w:rPr>
                      <w:rFonts w:hint="eastAsia" w:ascii="Times New Roman" w:hAnsi="Times New Roman" w:cs="Times New Roman" w:eastAsiaTheme="minorEastAsia"/>
                      <w:color w:val="auto"/>
                      <w:sz w:val="21"/>
                      <w:szCs w:val="21"/>
                      <w:lang w:val="en-US" w:eastAsia="zh-CN"/>
                    </w:rPr>
                    <w:t>3类声环境功能区</w:t>
                  </w:r>
                  <w:r>
                    <w:rPr>
                      <w:rFonts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项目设备噪声</w:t>
                  </w:r>
                  <w:r>
                    <w:rPr>
                      <w:rFonts w:ascii="Times New Roman" w:hAnsi="Times New Roman" w:cs="Times New Roman" w:eastAsiaTheme="minorEastAsia"/>
                      <w:color w:val="auto"/>
                      <w:sz w:val="21"/>
                      <w:szCs w:val="21"/>
                    </w:rPr>
                    <w:t>采取基础减振、建筑隔声后，厂界噪声能达标排放</w:t>
                  </w:r>
                </w:p>
              </w:tc>
              <w:tc>
                <w:tcPr>
                  <w:tcW w:w="392" w:type="pct"/>
                  <w:tcBorders>
                    <w:tl2br w:val="nil"/>
                    <w:tr2bl w:val="nil"/>
                  </w:tcBorders>
                  <w:shd w:val="clear" w:color="auto" w:fill="auto"/>
                  <w:vAlign w:val="center"/>
                </w:tcPr>
                <w:p w14:paraId="4A47F68E">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r w14:paraId="74A2C3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404" w:type="pct"/>
                  <w:vMerge w:val="continue"/>
                  <w:tcBorders>
                    <w:tl2br w:val="nil"/>
                    <w:tr2bl w:val="nil"/>
                  </w:tcBorders>
                  <w:shd w:val="clear" w:color="auto" w:fill="auto"/>
                  <w:vAlign w:val="center"/>
                </w:tcPr>
                <w:p w14:paraId="79AC5266">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Chars="0"/>
                    <w:jc w:val="center"/>
                    <w:textAlignment w:val="auto"/>
                    <w:rPr>
                      <w:rFonts w:ascii="Times New Roman" w:hAnsi="Times New Roman" w:cs="Times New Roman" w:eastAsiaTheme="minorEastAsia"/>
                      <w:color w:val="auto"/>
                      <w:sz w:val="21"/>
                      <w:szCs w:val="21"/>
                    </w:rPr>
                  </w:pPr>
                </w:p>
              </w:tc>
              <w:tc>
                <w:tcPr>
                  <w:tcW w:w="2695" w:type="pct"/>
                  <w:tcBorders>
                    <w:tl2br w:val="nil"/>
                    <w:tr2bl w:val="nil"/>
                  </w:tcBorders>
                  <w:shd w:val="clear" w:color="auto" w:fill="auto"/>
                  <w:vAlign w:val="center"/>
                </w:tcPr>
                <w:p w14:paraId="72FD7220">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420" w:firstLineChars="0"/>
                    <w:jc w:val="both"/>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严格管控生活噪声影响。实施城市声环境功能区划管理，完善声功能区监测网，修订“安静居住小区”创建标准，巩固和深化“安静居住小区”创建成果。</w:t>
                  </w:r>
                </w:p>
              </w:tc>
              <w:tc>
                <w:tcPr>
                  <w:tcW w:w="1508" w:type="pct"/>
                  <w:tcBorders>
                    <w:tl2br w:val="nil"/>
                    <w:tr2bl w:val="nil"/>
                  </w:tcBorders>
                  <w:shd w:val="clear" w:color="auto" w:fill="auto"/>
                  <w:vAlign w:val="center"/>
                </w:tcPr>
                <w:p w14:paraId="2A1D97AA">
                  <w:pPr>
                    <w:pStyle w:val="49"/>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both"/>
                    <w:textAlignment w:val="auto"/>
                    <w:rPr>
                      <w:rFonts w:ascii="Times New Roman" w:hAnsi="Times New Roman" w:cs="Times New Roman" w:eastAsiaTheme="minorEastAsia"/>
                      <w:color w:val="auto"/>
                      <w:sz w:val="21"/>
                      <w:szCs w:val="21"/>
                      <w:lang w:eastAsia="zh-CN"/>
                    </w:rPr>
                  </w:pPr>
                  <w:r>
                    <w:rPr>
                      <w:rFonts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eastAsia="zh-CN"/>
                    </w:rPr>
                    <w:t>不涉及生活噪声</w:t>
                  </w:r>
                </w:p>
              </w:tc>
              <w:tc>
                <w:tcPr>
                  <w:tcW w:w="392" w:type="pct"/>
                  <w:tcBorders>
                    <w:tl2br w:val="nil"/>
                    <w:tr2bl w:val="nil"/>
                  </w:tcBorders>
                  <w:shd w:val="clear" w:color="auto" w:fill="auto"/>
                  <w:vAlign w:val="center"/>
                </w:tcPr>
                <w:p w14:paraId="7C3CD54C">
                  <w:pPr>
                    <w:pStyle w:val="49"/>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符合</w:t>
                  </w:r>
                </w:p>
              </w:tc>
            </w:tr>
          </w:tbl>
          <w:p w14:paraId="42B1160A">
            <w:pPr>
              <w:spacing w:line="360" w:lineRule="auto"/>
              <w:ind w:firstLine="482"/>
              <w:rPr>
                <w:rFonts w:hint="eastAsia" w:eastAsiaTheme="minorEastAsia"/>
                <w:b/>
                <w:bCs/>
                <w:color w:val="auto"/>
                <w:sz w:val="24"/>
                <w:lang w:eastAsia="zh-CN"/>
              </w:rPr>
            </w:pPr>
            <w:r>
              <w:rPr>
                <w:rFonts w:eastAsiaTheme="minorEastAsia"/>
                <w:color w:val="auto"/>
                <w:sz w:val="24"/>
                <w:lang w:bidi="zh-TW"/>
              </w:rPr>
              <w:t>综上分析，项目符合《重庆市生态环境保护“十四五</w:t>
            </w:r>
            <w:r>
              <w:rPr>
                <w:rFonts w:eastAsiaTheme="minorEastAsia"/>
                <w:color w:val="auto"/>
                <w:sz w:val="24"/>
                <w:lang w:bidi="zh-CN"/>
              </w:rPr>
              <w:t>”规划</w:t>
            </w:r>
            <w:r>
              <w:rPr>
                <w:rFonts w:eastAsiaTheme="minorEastAsia"/>
                <w:color w:val="auto"/>
                <w:sz w:val="24"/>
                <w:lang w:bidi="zh-TW"/>
              </w:rPr>
              <w:t>（2021</w:t>
            </w:r>
            <w:r>
              <w:rPr>
                <w:rFonts w:eastAsiaTheme="minorEastAsia"/>
                <w:color w:val="auto"/>
                <w:sz w:val="24"/>
                <w:lang w:bidi="en-US"/>
              </w:rPr>
              <w:t>—2025</w:t>
            </w:r>
            <w:r>
              <w:rPr>
                <w:rFonts w:eastAsiaTheme="minorEastAsia"/>
                <w:color w:val="auto"/>
                <w:sz w:val="24"/>
                <w:lang w:bidi="zh-TW"/>
              </w:rPr>
              <w:t>年）》相关要求。</w:t>
            </w:r>
          </w:p>
          <w:p w14:paraId="176F9EF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rPr>
                <w:b/>
                <w:color w:val="auto"/>
                <w:sz w:val="24"/>
                <w:szCs w:val="24"/>
              </w:rPr>
            </w:pPr>
            <w:r>
              <w:rPr>
                <w:rFonts w:hint="eastAsia" w:eastAsia="宋体"/>
                <w:b/>
                <w:color w:val="auto"/>
                <w:sz w:val="24"/>
                <w:szCs w:val="24"/>
                <w:lang w:val="en-US" w:eastAsia="zh-CN"/>
              </w:rPr>
              <w:t>8</w:t>
            </w:r>
            <w:r>
              <w:rPr>
                <w:rFonts w:hint="eastAsia"/>
                <w:b/>
                <w:color w:val="auto"/>
                <w:sz w:val="24"/>
                <w:szCs w:val="24"/>
              </w:rPr>
              <w:t>.与</w:t>
            </w:r>
            <w:r>
              <w:rPr>
                <w:b/>
                <w:color w:val="auto"/>
                <w:sz w:val="24"/>
                <w:szCs w:val="24"/>
              </w:rPr>
              <w:t>《重庆市产业投资准入工作手册》（</w:t>
            </w:r>
            <w:r>
              <w:rPr>
                <w:rFonts w:hint="eastAsia"/>
                <w:b/>
                <w:color w:val="auto"/>
                <w:sz w:val="24"/>
                <w:szCs w:val="24"/>
              </w:rPr>
              <w:t>渝发改投资</w:t>
            </w:r>
            <w:r>
              <w:rPr>
                <w:rFonts w:hint="eastAsia" w:ascii="宋体" w:hAnsi="宋体" w:cs="宋体"/>
                <w:b/>
                <w:color w:val="auto"/>
                <w:sz w:val="24"/>
                <w:szCs w:val="24"/>
              </w:rPr>
              <w:t>[</w:t>
            </w:r>
            <w:r>
              <w:rPr>
                <w:rFonts w:hint="eastAsia"/>
                <w:b/>
                <w:color w:val="auto"/>
                <w:sz w:val="24"/>
                <w:szCs w:val="24"/>
              </w:rPr>
              <w:t>2022</w:t>
            </w:r>
            <w:r>
              <w:rPr>
                <w:rFonts w:hint="eastAsia" w:ascii="宋体" w:hAnsi="宋体" w:cs="宋体"/>
                <w:b/>
                <w:color w:val="auto"/>
                <w:sz w:val="24"/>
                <w:szCs w:val="24"/>
              </w:rPr>
              <w:t>]</w:t>
            </w:r>
            <w:r>
              <w:rPr>
                <w:rFonts w:hint="eastAsia"/>
                <w:b/>
                <w:color w:val="auto"/>
                <w:sz w:val="24"/>
                <w:szCs w:val="24"/>
              </w:rPr>
              <w:t>1436号</w:t>
            </w:r>
            <w:r>
              <w:rPr>
                <w:b/>
                <w:color w:val="auto"/>
                <w:sz w:val="24"/>
                <w:szCs w:val="24"/>
              </w:rPr>
              <w:t>）符合性分析</w:t>
            </w:r>
          </w:p>
          <w:p w14:paraId="1D9C70A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jc w:val="center"/>
              <w:textAlignment w:val="auto"/>
              <w:rPr>
                <w:color w:val="auto"/>
                <w:kern w:val="0"/>
                <w:sz w:val="21"/>
                <w:szCs w:val="21"/>
                <w:highlight w:val="none"/>
              </w:rPr>
            </w:pPr>
            <w:r>
              <w:rPr>
                <w:color w:val="auto"/>
                <w:kern w:val="0"/>
                <w:sz w:val="21"/>
                <w:szCs w:val="21"/>
                <w:highlight w:val="none"/>
              </w:rPr>
              <w:t>表</w:t>
            </w:r>
            <w:r>
              <w:rPr>
                <w:rFonts w:hint="eastAsia"/>
                <w:color w:val="auto"/>
                <w:kern w:val="0"/>
                <w:sz w:val="21"/>
                <w:szCs w:val="21"/>
                <w:highlight w:val="none"/>
              </w:rPr>
              <w:t>1.</w:t>
            </w:r>
            <w:r>
              <w:rPr>
                <w:rFonts w:hint="eastAsia" w:eastAsia="宋体"/>
                <w:color w:val="auto"/>
                <w:kern w:val="0"/>
                <w:sz w:val="21"/>
                <w:szCs w:val="21"/>
                <w:highlight w:val="none"/>
                <w:lang w:val="en-US" w:eastAsia="zh-CN"/>
              </w:rPr>
              <w:t>8-1</w:t>
            </w:r>
            <w:r>
              <w:rPr>
                <w:color w:val="auto"/>
                <w:kern w:val="0"/>
                <w:sz w:val="21"/>
                <w:szCs w:val="21"/>
                <w:highlight w:val="none"/>
              </w:rPr>
              <w:t xml:space="preserve"> 重庆市产业投资准入工作手册符合性分析表</w:t>
            </w:r>
          </w:p>
          <w:tbl>
            <w:tblPr>
              <w:tblStyle w:val="1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4120"/>
              <w:gridCol w:w="1884"/>
              <w:gridCol w:w="1177"/>
            </w:tblGrid>
            <w:tr w14:paraId="6EE541B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6" w:type="pct"/>
                  <w:tcBorders>
                    <w:top w:val="single" w:color="auto" w:sz="4" w:space="0"/>
                    <w:left w:val="nil"/>
                    <w:bottom w:val="single" w:color="auto" w:sz="4" w:space="0"/>
                    <w:right w:val="single" w:color="auto" w:sz="4" w:space="0"/>
                  </w:tcBorders>
                  <w:vAlign w:val="center"/>
                </w:tcPr>
                <w:p w14:paraId="68B64C8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区域</w:t>
                  </w:r>
                </w:p>
              </w:tc>
              <w:tc>
                <w:tcPr>
                  <w:tcW w:w="2537" w:type="pct"/>
                  <w:tcBorders>
                    <w:top w:val="single" w:color="auto" w:sz="4" w:space="0"/>
                    <w:left w:val="single" w:color="auto" w:sz="4" w:space="0"/>
                    <w:bottom w:val="single" w:color="auto" w:sz="4" w:space="0"/>
                    <w:right w:val="single" w:color="auto" w:sz="4" w:space="0"/>
                  </w:tcBorders>
                  <w:vAlign w:val="center"/>
                </w:tcPr>
                <w:p w14:paraId="54A86B0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不予准入项目</w:t>
                  </w:r>
                </w:p>
              </w:tc>
              <w:tc>
                <w:tcPr>
                  <w:tcW w:w="1160" w:type="pct"/>
                  <w:tcBorders>
                    <w:top w:val="single" w:color="auto" w:sz="4" w:space="0"/>
                    <w:left w:val="single" w:color="auto" w:sz="4" w:space="0"/>
                    <w:bottom w:val="single" w:color="auto" w:sz="4" w:space="0"/>
                    <w:right w:val="single" w:color="auto" w:sz="4" w:space="0"/>
                  </w:tcBorders>
                  <w:vAlign w:val="center"/>
                </w:tcPr>
                <w:p w14:paraId="6C06477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项目情况</w:t>
                  </w:r>
                </w:p>
              </w:tc>
              <w:tc>
                <w:tcPr>
                  <w:tcW w:w="725" w:type="pct"/>
                  <w:tcBorders>
                    <w:top w:val="single" w:color="auto" w:sz="4" w:space="0"/>
                    <w:left w:val="single" w:color="auto" w:sz="4" w:space="0"/>
                    <w:bottom w:val="single" w:color="auto" w:sz="4" w:space="0"/>
                    <w:right w:val="nil"/>
                  </w:tcBorders>
                  <w:vAlign w:val="center"/>
                </w:tcPr>
                <w:p w14:paraId="5FF9D74D">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符合性</w:t>
                  </w:r>
                </w:p>
              </w:tc>
            </w:tr>
            <w:tr w14:paraId="6A553A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76" w:type="pct"/>
                  <w:vMerge w:val="restart"/>
                  <w:tcBorders>
                    <w:top w:val="single" w:color="auto" w:sz="4" w:space="0"/>
                    <w:left w:val="nil"/>
                    <w:right w:val="single" w:color="auto" w:sz="4" w:space="0"/>
                  </w:tcBorders>
                  <w:vAlign w:val="center"/>
                </w:tcPr>
                <w:p w14:paraId="1DEB125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全市范围</w:t>
                  </w:r>
                </w:p>
              </w:tc>
              <w:tc>
                <w:tcPr>
                  <w:tcW w:w="2537" w:type="pct"/>
                  <w:tcBorders>
                    <w:top w:val="single" w:color="auto" w:sz="4" w:space="0"/>
                    <w:left w:val="single" w:color="auto" w:sz="4" w:space="0"/>
                    <w:bottom w:val="single" w:color="auto" w:sz="4" w:space="0"/>
                    <w:right w:val="single" w:color="auto" w:sz="4" w:space="0"/>
                  </w:tcBorders>
                  <w:vAlign w:val="center"/>
                </w:tcPr>
                <w:p w14:paraId="14459EA0">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国家产业结构调整指导目录中的淘汰类项目</w:t>
                  </w:r>
                </w:p>
              </w:tc>
              <w:tc>
                <w:tcPr>
                  <w:tcW w:w="1160" w:type="pct"/>
                  <w:tcBorders>
                    <w:top w:val="single" w:color="auto" w:sz="4" w:space="0"/>
                    <w:left w:val="single" w:color="auto" w:sz="4" w:space="0"/>
                    <w:bottom w:val="single" w:color="auto" w:sz="4" w:space="0"/>
                    <w:right w:val="single" w:color="auto" w:sz="4" w:space="0"/>
                  </w:tcBorders>
                  <w:vAlign w:val="center"/>
                </w:tcPr>
                <w:p w14:paraId="2121E239">
                  <w:pPr>
                    <w:pStyle w:val="3"/>
                    <w:bidi w:val="0"/>
                    <w:jc w:val="both"/>
                    <w:rPr>
                      <w:rFonts w:hint="default"/>
                      <w:color w:val="auto"/>
                    </w:rPr>
                  </w:pPr>
                  <w:r>
                    <w:rPr>
                      <w:rFonts w:hint="default"/>
                      <w:color w:val="auto"/>
                    </w:rPr>
                    <w:t>本项目为允许类</w:t>
                  </w:r>
                </w:p>
              </w:tc>
              <w:tc>
                <w:tcPr>
                  <w:tcW w:w="725" w:type="pct"/>
                  <w:tcBorders>
                    <w:top w:val="single" w:color="auto" w:sz="4" w:space="0"/>
                    <w:left w:val="single" w:color="auto" w:sz="4" w:space="0"/>
                    <w:bottom w:val="single" w:color="auto" w:sz="4" w:space="0"/>
                    <w:right w:val="nil"/>
                  </w:tcBorders>
                  <w:vAlign w:val="center"/>
                </w:tcPr>
                <w:p w14:paraId="3AA9B86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551C99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7F5882F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right w:val="single" w:color="auto" w:sz="4" w:space="0"/>
                  </w:tcBorders>
                  <w:vAlign w:val="center"/>
                </w:tcPr>
                <w:p w14:paraId="624A66A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天然林商业性采伐</w:t>
                  </w:r>
                </w:p>
              </w:tc>
              <w:tc>
                <w:tcPr>
                  <w:tcW w:w="1160" w:type="pct"/>
                  <w:tcBorders>
                    <w:top w:val="single" w:color="auto" w:sz="4" w:space="0"/>
                    <w:left w:val="single" w:color="auto" w:sz="4" w:space="0"/>
                    <w:right w:val="single" w:color="auto" w:sz="4" w:space="0"/>
                  </w:tcBorders>
                  <w:vAlign w:val="center"/>
                </w:tcPr>
                <w:p w14:paraId="56598E2F">
                  <w:pPr>
                    <w:pStyle w:val="3"/>
                    <w:bidi w:val="0"/>
                    <w:jc w:val="both"/>
                    <w:rPr>
                      <w:rFonts w:hint="default"/>
                      <w:color w:val="auto"/>
                    </w:rPr>
                  </w:pPr>
                  <w:r>
                    <w:rPr>
                      <w:rFonts w:hint="default"/>
                      <w:color w:val="auto"/>
                    </w:rPr>
                    <w:t>本项目不进行天然林采伐</w:t>
                  </w:r>
                </w:p>
              </w:tc>
              <w:tc>
                <w:tcPr>
                  <w:tcW w:w="725" w:type="pct"/>
                  <w:tcBorders>
                    <w:top w:val="single" w:color="auto" w:sz="4" w:space="0"/>
                    <w:left w:val="single" w:color="auto" w:sz="4" w:space="0"/>
                    <w:bottom w:val="single" w:color="auto" w:sz="4" w:space="0"/>
                    <w:right w:val="nil"/>
                  </w:tcBorders>
                  <w:vAlign w:val="center"/>
                </w:tcPr>
                <w:p w14:paraId="0784B33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6D0073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4EACEDA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right w:val="single" w:color="auto" w:sz="4" w:space="0"/>
                  </w:tcBorders>
                  <w:vAlign w:val="center"/>
                </w:tcPr>
                <w:p w14:paraId="79300E22">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法律法规和相关政策明令不予准入的其他项目</w:t>
                  </w:r>
                </w:p>
              </w:tc>
              <w:tc>
                <w:tcPr>
                  <w:tcW w:w="1160" w:type="pct"/>
                  <w:tcBorders>
                    <w:top w:val="single" w:color="auto" w:sz="4" w:space="0"/>
                    <w:left w:val="single" w:color="auto" w:sz="4" w:space="0"/>
                    <w:right w:val="single" w:color="auto" w:sz="4" w:space="0"/>
                  </w:tcBorders>
                  <w:vAlign w:val="center"/>
                </w:tcPr>
                <w:p w14:paraId="641AE93C">
                  <w:pPr>
                    <w:pStyle w:val="3"/>
                    <w:bidi w:val="0"/>
                    <w:jc w:val="both"/>
                    <w:rPr>
                      <w:rFonts w:hint="default"/>
                      <w:color w:val="auto"/>
                    </w:rPr>
                  </w:pPr>
                  <w:r>
                    <w:rPr>
                      <w:rFonts w:hint="default"/>
                      <w:color w:val="auto"/>
                    </w:rPr>
                    <w:t>本项目不属于</w:t>
                  </w:r>
                  <w:r>
                    <w:rPr>
                      <w:rFonts w:hint="eastAsia" w:eastAsia="宋体"/>
                      <w:color w:val="auto"/>
                      <w:lang w:eastAsia="zh-CN"/>
                    </w:rPr>
                    <w:t>法律法规</w:t>
                  </w:r>
                  <w:r>
                    <w:rPr>
                      <w:rFonts w:hint="default"/>
                      <w:color w:val="auto"/>
                    </w:rPr>
                    <w:t>和相关政策明令不予准入的其他项目</w:t>
                  </w:r>
                </w:p>
              </w:tc>
              <w:tc>
                <w:tcPr>
                  <w:tcW w:w="725" w:type="pct"/>
                  <w:tcBorders>
                    <w:top w:val="single" w:color="auto" w:sz="4" w:space="0"/>
                    <w:left w:val="single" w:color="auto" w:sz="4" w:space="0"/>
                    <w:bottom w:val="single" w:color="auto" w:sz="4" w:space="0"/>
                    <w:right w:val="nil"/>
                  </w:tcBorders>
                  <w:vAlign w:val="center"/>
                </w:tcPr>
                <w:p w14:paraId="55B32ACA">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5760CB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restart"/>
                  <w:tcBorders>
                    <w:left w:val="nil"/>
                    <w:right w:val="single" w:color="auto" w:sz="4" w:space="0"/>
                  </w:tcBorders>
                  <w:vAlign w:val="center"/>
                </w:tcPr>
                <w:p w14:paraId="3AAD5A7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重点区域范围</w:t>
                  </w:r>
                </w:p>
              </w:tc>
              <w:tc>
                <w:tcPr>
                  <w:tcW w:w="2537" w:type="pct"/>
                  <w:tcBorders>
                    <w:top w:val="single" w:color="auto" w:sz="4" w:space="0"/>
                    <w:left w:val="single" w:color="auto" w:sz="4" w:space="0"/>
                    <w:bottom w:val="single" w:color="auto" w:sz="4" w:space="0"/>
                    <w:right w:val="single" w:color="auto" w:sz="4" w:space="0"/>
                  </w:tcBorders>
                </w:tcPr>
                <w:p w14:paraId="134A3BF4">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外环绕城高速公路以内长江、嘉陵江水域采砂</w:t>
                  </w:r>
                </w:p>
              </w:tc>
              <w:tc>
                <w:tcPr>
                  <w:tcW w:w="1160" w:type="pct"/>
                  <w:tcBorders>
                    <w:top w:val="single" w:color="auto" w:sz="4" w:space="0"/>
                    <w:left w:val="single" w:color="auto" w:sz="4" w:space="0"/>
                    <w:bottom w:val="single" w:color="auto" w:sz="4" w:space="0"/>
                    <w:right w:val="single" w:color="auto" w:sz="4" w:space="0"/>
                  </w:tcBorders>
                  <w:vAlign w:val="center"/>
                </w:tcPr>
                <w:p w14:paraId="0F7C8F71">
                  <w:pPr>
                    <w:pStyle w:val="3"/>
                    <w:bidi w:val="0"/>
                    <w:jc w:val="both"/>
                    <w:rPr>
                      <w:rFonts w:hint="default"/>
                      <w:color w:val="auto"/>
                    </w:rPr>
                  </w:pPr>
                  <w:r>
                    <w:rPr>
                      <w:rFonts w:hint="default"/>
                      <w:color w:val="auto"/>
                    </w:rPr>
                    <w:t>本项目不属于采砂项目</w:t>
                  </w:r>
                </w:p>
              </w:tc>
              <w:tc>
                <w:tcPr>
                  <w:tcW w:w="725" w:type="pct"/>
                  <w:tcBorders>
                    <w:top w:val="single" w:color="auto" w:sz="4" w:space="0"/>
                    <w:left w:val="single" w:color="auto" w:sz="4" w:space="0"/>
                    <w:bottom w:val="single" w:color="auto" w:sz="4" w:space="0"/>
                    <w:right w:val="nil"/>
                  </w:tcBorders>
                  <w:vAlign w:val="center"/>
                </w:tcPr>
                <w:p w14:paraId="42E6CEA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70CC6A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442F50C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1D9018B4">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二十五度以上陡坡地开垦种植农作物</w:t>
                  </w:r>
                </w:p>
              </w:tc>
              <w:tc>
                <w:tcPr>
                  <w:tcW w:w="1160" w:type="pct"/>
                  <w:tcBorders>
                    <w:top w:val="single" w:color="auto" w:sz="4" w:space="0"/>
                    <w:left w:val="single" w:color="auto" w:sz="4" w:space="0"/>
                    <w:bottom w:val="single" w:color="auto" w:sz="4" w:space="0"/>
                    <w:right w:val="single" w:color="auto" w:sz="4" w:space="0"/>
                  </w:tcBorders>
                  <w:vAlign w:val="center"/>
                </w:tcPr>
                <w:p w14:paraId="5E37367D">
                  <w:pPr>
                    <w:pStyle w:val="3"/>
                    <w:bidi w:val="0"/>
                    <w:jc w:val="both"/>
                    <w:rPr>
                      <w:rFonts w:hint="default"/>
                      <w:color w:val="auto"/>
                    </w:rPr>
                  </w:pPr>
                  <w:r>
                    <w:rPr>
                      <w:rFonts w:hint="default"/>
                      <w:color w:val="auto"/>
                    </w:rPr>
                    <w:t>本项目不进行陡坡地开垦种植农作物</w:t>
                  </w:r>
                </w:p>
              </w:tc>
              <w:tc>
                <w:tcPr>
                  <w:tcW w:w="725" w:type="pct"/>
                  <w:tcBorders>
                    <w:top w:val="single" w:color="auto" w:sz="4" w:space="0"/>
                    <w:left w:val="single" w:color="auto" w:sz="4" w:space="0"/>
                    <w:bottom w:val="single" w:color="auto" w:sz="4" w:space="0"/>
                    <w:right w:val="nil"/>
                  </w:tcBorders>
                  <w:vAlign w:val="center"/>
                </w:tcPr>
                <w:p w14:paraId="05F5C7D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77C009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576" w:type="pct"/>
                  <w:vMerge w:val="continue"/>
                  <w:tcBorders>
                    <w:left w:val="nil"/>
                    <w:right w:val="single" w:color="auto" w:sz="4" w:space="0"/>
                  </w:tcBorders>
                  <w:vAlign w:val="center"/>
                </w:tcPr>
                <w:p w14:paraId="60D89E04">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6E79D416">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在自然保护区核心区、缓冲区的岸线和河段范围内投资建设旅游和生产经营项目</w:t>
                  </w:r>
                </w:p>
              </w:tc>
              <w:tc>
                <w:tcPr>
                  <w:tcW w:w="1160" w:type="pct"/>
                  <w:tcBorders>
                    <w:top w:val="single" w:color="auto" w:sz="4" w:space="0"/>
                    <w:left w:val="single" w:color="auto" w:sz="4" w:space="0"/>
                    <w:bottom w:val="single" w:color="auto" w:sz="4" w:space="0"/>
                    <w:right w:val="single" w:color="auto" w:sz="4" w:space="0"/>
                  </w:tcBorders>
                  <w:vAlign w:val="center"/>
                </w:tcPr>
                <w:p w14:paraId="35C7C1AD">
                  <w:pPr>
                    <w:pStyle w:val="3"/>
                    <w:bidi w:val="0"/>
                    <w:jc w:val="both"/>
                    <w:rPr>
                      <w:rFonts w:hint="default"/>
                      <w:color w:val="auto"/>
                    </w:rPr>
                  </w:pPr>
                  <w:r>
                    <w:rPr>
                      <w:rFonts w:hint="default"/>
                      <w:color w:val="auto"/>
                    </w:rPr>
                    <w:t>本项目</w:t>
                  </w:r>
                  <w:r>
                    <w:rPr>
                      <w:rFonts w:hint="eastAsia" w:eastAsia="宋体"/>
                      <w:color w:val="auto"/>
                      <w:lang w:eastAsia="zh-CN"/>
                    </w:rPr>
                    <w:t>不</w:t>
                  </w:r>
                  <w:r>
                    <w:rPr>
                      <w:rFonts w:hint="default"/>
                      <w:color w:val="auto"/>
                    </w:rPr>
                    <w:t>涉及自然保护区核心区、缓冲区的岸线和河段范围</w:t>
                  </w:r>
                </w:p>
              </w:tc>
              <w:tc>
                <w:tcPr>
                  <w:tcW w:w="725" w:type="pct"/>
                  <w:tcBorders>
                    <w:top w:val="single" w:color="auto" w:sz="4" w:space="0"/>
                    <w:left w:val="single" w:color="auto" w:sz="4" w:space="0"/>
                    <w:bottom w:val="single" w:color="auto" w:sz="4" w:space="0"/>
                    <w:right w:val="nil"/>
                  </w:tcBorders>
                  <w:vAlign w:val="center"/>
                </w:tcPr>
                <w:p w14:paraId="5E777A7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073E03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291F62DC">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08A4E601">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饮用水水源一级保护区的岸线和河段范围内新建、改建、扩建与供水设施和保护水源无关的项目，以及网箱养殖、畜禽养殖、放养畜禽、旅游等可能污染饮用水水体的投资建设项目。在饮用水水源二级保护区的岸线和河段范围内新建、改建、扩建排放污染物的投资建设项目。</w:t>
                  </w:r>
                </w:p>
              </w:tc>
              <w:tc>
                <w:tcPr>
                  <w:tcW w:w="1160" w:type="pct"/>
                  <w:tcBorders>
                    <w:top w:val="single" w:color="auto" w:sz="4" w:space="0"/>
                    <w:left w:val="single" w:color="auto" w:sz="4" w:space="0"/>
                    <w:bottom w:val="single" w:color="auto" w:sz="4" w:space="0"/>
                    <w:right w:val="single" w:color="auto" w:sz="4" w:space="0"/>
                  </w:tcBorders>
                  <w:vAlign w:val="center"/>
                </w:tcPr>
                <w:p w14:paraId="64507BCA">
                  <w:pPr>
                    <w:pStyle w:val="3"/>
                    <w:bidi w:val="0"/>
                    <w:jc w:val="both"/>
                    <w:rPr>
                      <w:rFonts w:hint="default"/>
                      <w:color w:val="auto"/>
                    </w:rPr>
                  </w:pPr>
                  <w:r>
                    <w:rPr>
                      <w:rFonts w:hint="default"/>
                      <w:color w:val="auto"/>
                    </w:rPr>
                    <w:t>本项目不涉及饮用水水源一级保护区的岸线和河段，不涉及饮用水水源二级保护区的岸线和河段</w:t>
                  </w:r>
                </w:p>
              </w:tc>
              <w:tc>
                <w:tcPr>
                  <w:tcW w:w="725" w:type="pct"/>
                  <w:tcBorders>
                    <w:top w:val="single" w:color="auto" w:sz="4" w:space="0"/>
                    <w:left w:val="single" w:color="auto" w:sz="4" w:space="0"/>
                    <w:bottom w:val="single" w:color="auto" w:sz="4" w:space="0"/>
                    <w:right w:val="nil"/>
                  </w:tcBorders>
                  <w:vAlign w:val="center"/>
                </w:tcPr>
                <w:p w14:paraId="18A2D5CB">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4F58895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13E1BFF3">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tcPr>
                <w:p w14:paraId="6948A56D">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长江干流岸线3公里范围内和重要支流岸线1公里范围内新建、改建、扩建尾矿库、冶炼渣库和磷石膏库（以提升安全、生态环境保护水平为目的的改建除外）。</w:t>
                  </w:r>
                </w:p>
              </w:tc>
              <w:tc>
                <w:tcPr>
                  <w:tcW w:w="1160" w:type="pct"/>
                  <w:tcBorders>
                    <w:top w:val="single" w:color="auto" w:sz="4" w:space="0"/>
                    <w:left w:val="single" w:color="auto" w:sz="4" w:space="0"/>
                    <w:bottom w:val="single" w:color="auto" w:sz="4" w:space="0"/>
                    <w:right w:val="single" w:color="auto" w:sz="4" w:space="0"/>
                  </w:tcBorders>
                  <w:vAlign w:val="center"/>
                </w:tcPr>
                <w:p w14:paraId="7F1C4ED7">
                  <w:pPr>
                    <w:pStyle w:val="3"/>
                    <w:bidi w:val="0"/>
                    <w:jc w:val="both"/>
                    <w:rPr>
                      <w:rFonts w:hint="default"/>
                      <w:color w:val="auto"/>
                    </w:rPr>
                  </w:pPr>
                  <w:r>
                    <w:rPr>
                      <w:rFonts w:hint="default"/>
                      <w:color w:val="auto"/>
                    </w:rPr>
                    <w:t>本项目不属于尾矿库、冶炼渣库和磷石膏库项目</w:t>
                  </w:r>
                </w:p>
              </w:tc>
              <w:tc>
                <w:tcPr>
                  <w:tcW w:w="725" w:type="pct"/>
                  <w:tcBorders>
                    <w:top w:val="single" w:color="auto" w:sz="4" w:space="0"/>
                    <w:left w:val="single" w:color="auto" w:sz="4" w:space="0"/>
                    <w:bottom w:val="single" w:color="auto" w:sz="4" w:space="0"/>
                    <w:right w:val="nil"/>
                  </w:tcBorders>
                  <w:vAlign w:val="center"/>
                </w:tcPr>
                <w:p w14:paraId="4B631BD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57E555A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32DFE82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20CF680E">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在风景名胜区核心景区的岸线和河段范围内投资建设与风景名胜资源保护无关的项目。</w:t>
                  </w:r>
                </w:p>
              </w:tc>
              <w:tc>
                <w:tcPr>
                  <w:tcW w:w="1160" w:type="pct"/>
                  <w:tcBorders>
                    <w:top w:val="single" w:color="auto" w:sz="4" w:space="0"/>
                    <w:left w:val="single" w:color="auto" w:sz="4" w:space="0"/>
                    <w:bottom w:val="single" w:color="auto" w:sz="4" w:space="0"/>
                    <w:right w:val="single" w:color="auto" w:sz="4" w:space="0"/>
                  </w:tcBorders>
                  <w:vAlign w:val="center"/>
                </w:tcPr>
                <w:p w14:paraId="07A9271A">
                  <w:pPr>
                    <w:pStyle w:val="3"/>
                    <w:bidi w:val="0"/>
                    <w:jc w:val="both"/>
                    <w:rPr>
                      <w:rFonts w:hint="default"/>
                      <w:color w:val="auto"/>
                    </w:rPr>
                  </w:pPr>
                  <w:r>
                    <w:rPr>
                      <w:rFonts w:hint="default"/>
                      <w:color w:val="auto"/>
                    </w:rPr>
                    <w:t>本项目不涉及风景名胜区核心景区的岸线和河段</w:t>
                  </w:r>
                </w:p>
              </w:tc>
              <w:tc>
                <w:tcPr>
                  <w:tcW w:w="725" w:type="pct"/>
                  <w:tcBorders>
                    <w:top w:val="single" w:color="auto" w:sz="4" w:space="0"/>
                    <w:left w:val="single" w:color="auto" w:sz="4" w:space="0"/>
                    <w:bottom w:val="single" w:color="auto" w:sz="4" w:space="0"/>
                    <w:right w:val="nil"/>
                  </w:tcBorders>
                  <w:vAlign w:val="center"/>
                </w:tcPr>
                <w:p w14:paraId="7E56C60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23A54C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74FFE39F">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0309755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在国家湿地公园的岸线和河段范围内挖沙、采矿，以及任何不符合主体功能定位的投资建设项目</w:t>
                  </w:r>
                </w:p>
              </w:tc>
              <w:tc>
                <w:tcPr>
                  <w:tcW w:w="1160" w:type="pct"/>
                  <w:tcBorders>
                    <w:top w:val="single" w:color="auto" w:sz="4" w:space="0"/>
                    <w:left w:val="single" w:color="auto" w:sz="4" w:space="0"/>
                    <w:bottom w:val="single" w:color="auto" w:sz="4" w:space="0"/>
                    <w:right w:val="single" w:color="auto" w:sz="4" w:space="0"/>
                  </w:tcBorders>
                  <w:vAlign w:val="center"/>
                </w:tcPr>
                <w:p w14:paraId="4B306428">
                  <w:pPr>
                    <w:pStyle w:val="3"/>
                    <w:bidi w:val="0"/>
                    <w:jc w:val="both"/>
                    <w:rPr>
                      <w:rFonts w:hint="default"/>
                      <w:color w:val="auto"/>
                    </w:rPr>
                  </w:pPr>
                  <w:r>
                    <w:rPr>
                      <w:rFonts w:hint="default"/>
                      <w:color w:val="auto"/>
                    </w:rPr>
                    <w:t>本项目不涉及国家湿地公园的岸线和河段范围</w:t>
                  </w:r>
                </w:p>
              </w:tc>
              <w:tc>
                <w:tcPr>
                  <w:tcW w:w="725" w:type="pct"/>
                  <w:tcBorders>
                    <w:top w:val="single" w:color="auto" w:sz="4" w:space="0"/>
                    <w:left w:val="single" w:color="auto" w:sz="4" w:space="0"/>
                    <w:bottom w:val="single" w:color="auto" w:sz="4" w:space="0"/>
                    <w:right w:val="nil"/>
                  </w:tcBorders>
                  <w:vAlign w:val="center"/>
                </w:tcPr>
                <w:p w14:paraId="6B7D1DF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52B4F5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63CBC05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4E16952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在《长江岸线保护和开发利用总体规划》划定的岸线保护区和保留区内投资建设除事关公共安全及公众利益的防洪护岸、河道治理、供水、生态环境保护、航道整治、国家重要基础设施以外的项目。</w:t>
                  </w:r>
                </w:p>
              </w:tc>
              <w:tc>
                <w:tcPr>
                  <w:tcW w:w="1160" w:type="pct"/>
                  <w:tcBorders>
                    <w:top w:val="single" w:color="auto" w:sz="4" w:space="0"/>
                    <w:left w:val="single" w:color="auto" w:sz="4" w:space="0"/>
                    <w:bottom w:val="single" w:color="auto" w:sz="4" w:space="0"/>
                    <w:right w:val="single" w:color="auto" w:sz="4" w:space="0"/>
                  </w:tcBorders>
                  <w:vAlign w:val="center"/>
                </w:tcPr>
                <w:p w14:paraId="07C827FE">
                  <w:pPr>
                    <w:pStyle w:val="3"/>
                    <w:bidi w:val="0"/>
                    <w:jc w:val="both"/>
                    <w:rPr>
                      <w:rFonts w:hint="default"/>
                      <w:color w:val="auto"/>
                    </w:rPr>
                  </w:pPr>
                  <w:r>
                    <w:rPr>
                      <w:rFonts w:hint="default"/>
                      <w:color w:val="auto"/>
                    </w:rPr>
                    <w:t>本项目不涉及长江岸线保护和开发利用总体规划》划定的岸线保护区和保留区</w:t>
                  </w:r>
                </w:p>
              </w:tc>
              <w:tc>
                <w:tcPr>
                  <w:tcW w:w="725" w:type="pct"/>
                  <w:tcBorders>
                    <w:top w:val="single" w:color="auto" w:sz="4" w:space="0"/>
                    <w:left w:val="single" w:color="auto" w:sz="4" w:space="0"/>
                    <w:bottom w:val="single" w:color="auto" w:sz="4" w:space="0"/>
                    <w:right w:val="nil"/>
                  </w:tcBorders>
                  <w:vAlign w:val="center"/>
                </w:tcPr>
                <w:p w14:paraId="56040E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00AC2E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62D02DCA">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784D2722">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在《全国重要江河湖泊水功能区划》划定的河段及湖泊保护区、保留区内投资建设不利于水资源及自然生态保护的项目</w:t>
                  </w:r>
                </w:p>
              </w:tc>
              <w:tc>
                <w:tcPr>
                  <w:tcW w:w="1160" w:type="pct"/>
                  <w:tcBorders>
                    <w:top w:val="single" w:color="auto" w:sz="4" w:space="0"/>
                    <w:left w:val="single" w:color="auto" w:sz="4" w:space="0"/>
                    <w:bottom w:val="single" w:color="auto" w:sz="4" w:space="0"/>
                    <w:right w:val="single" w:color="auto" w:sz="4" w:space="0"/>
                  </w:tcBorders>
                  <w:vAlign w:val="center"/>
                </w:tcPr>
                <w:p w14:paraId="39CA151A">
                  <w:pPr>
                    <w:pStyle w:val="3"/>
                    <w:bidi w:val="0"/>
                    <w:jc w:val="both"/>
                    <w:rPr>
                      <w:rFonts w:hint="default"/>
                      <w:color w:val="auto"/>
                    </w:rPr>
                  </w:pPr>
                  <w:r>
                    <w:rPr>
                      <w:rFonts w:hint="default"/>
                      <w:color w:val="auto"/>
                    </w:rPr>
                    <w:t>本项目不涉及《全国重要江河湖泊水功能区划》划定的河段及湖泊保护区、保留区</w:t>
                  </w:r>
                </w:p>
              </w:tc>
              <w:tc>
                <w:tcPr>
                  <w:tcW w:w="725" w:type="pct"/>
                  <w:tcBorders>
                    <w:top w:val="single" w:color="auto" w:sz="4" w:space="0"/>
                    <w:left w:val="single" w:color="auto" w:sz="4" w:space="0"/>
                    <w:bottom w:val="single" w:color="auto" w:sz="4" w:space="0"/>
                    <w:right w:val="nil"/>
                  </w:tcBorders>
                  <w:vAlign w:val="center"/>
                </w:tcPr>
                <w:p w14:paraId="60FFC850">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0FF25E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tcBorders>
                    <w:left w:val="nil"/>
                    <w:right w:val="single" w:color="auto" w:sz="4" w:space="0"/>
                  </w:tcBorders>
                  <w:vAlign w:val="center"/>
                </w:tcPr>
                <w:p w14:paraId="2E96A0B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区域</w:t>
                  </w:r>
                </w:p>
              </w:tc>
              <w:tc>
                <w:tcPr>
                  <w:tcW w:w="2537" w:type="pct"/>
                  <w:tcBorders>
                    <w:top w:val="single" w:color="auto" w:sz="4" w:space="0"/>
                    <w:left w:val="single" w:color="auto" w:sz="4" w:space="0"/>
                    <w:bottom w:val="single" w:color="auto" w:sz="4" w:space="0"/>
                    <w:right w:val="single" w:color="auto" w:sz="4" w:space="0"/>
                  </w:tcBorders>
                  <w:vAlign w:val="center"/>
                </w:tcPr>
                <w:p w14:paraId="7192D98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限制准入项目</w:t>
                  </w:r>
                </w:p>
              </w:tc>
              <w:tc>
                <w:tcPr>
                  <w:tcW w:w="1160" w:type="pct"/>
                  <w:tcBorders>
                    <w:top w:val="single" w:color="auto" w:sz="4" w:space="0"/>
                    <w:left w:val="single" w:color="auto" w:sz="4" w:space="0"/>
                    <w:bottom w:val="single" w:color="auto" w:sz="4" w:space="0"/>
                    <w:right w:val="single" w:color="auto" w:sz="4" w:space="0"/>
                  </w:tcBorders>
                  <w:vAlign w:val="center"/>
                </w:tcPr>
                <w:p w14:paraId="35B22307">
                  <w:pPr>
                    <w:pStyle w:val="3"/>
                    <w:bidi w:val="0"/>
                    <w:jc w:val="both"/>
                    <w:rPr>
                      <w:rFonts w:hint="default"/>
                      <w:color w:val="auto"/>
                    </w:rPr>
                  </w:pPr>
                  <w:r>
                    <w:rPr>
                      <w:rFonts w:hint="default"/>
                      <w:color w:val="auto"/>
                    </w:rPr>
                    <w:t>项目情况</w:t>
                  </w:r>
                </w:p>
              </w:tc>
              <w:tc>
                <w:tcPr>
                  <w:tcW w:w="725" w:type="pct"/>
                  <w:tcBorders>
                    <w:top w:val="single" w:color="auto" w:sz="4" w:space="0"/>
                    <w:left w:val="single" w:color="auto" w:sz="4" w:space="0"/>
                    <w:bottom w:val="single" w:color="auto" w:sz="4" w:space="0"/>
                    <w:right w:val="nil"/>
                  </w:tcBorders>
                  <w:vAlign w:val="center"/>
                </w:tcPr>
                <w:p w14:paraId="7A139417">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符合性</w:t>
                  </w:r>
                </w:p>
              </w:tc>
            </w:tr>
            <w:tr w14:paraId="340FC2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restart"/>
                  <w:tcBorders>
                    <w:left w:val="nil"/>
                    <w:right w:val="single" w:color="auto" w:sz="4" w:space="0"/>
                  </w:tcBorders>
                  <w:vAlign w:val="center"/>
                </w:tcPr>
                <w:p w14:paraId="1FE7CDB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全市范围</w:t>
                  </w:r>
                </w:p>
              </w:tc>
              <w:tc>
                <w:tcPr>
                  <w:tcW w:w="2537" w:type="pct"/>
                  <w:tcBorders>
                    <w:top w:val="single" w:color="auto" w:sz="4" w:space="0"/>
                    <w:left w:val="single" w:color="auto" w:sz="4" w:space="0"/>
                    <w:bottom w:val="single" w:color="auto" w:sz="4" w:space="0"/>
                    <w:right w:val="single" w:color="auto" w:sz="4" w:space="0"/>
                  </w:tcBorders>
                  <w:vAlign w:val="center"/>
                </w:tcPr>
                <w:p w14:paraId="56734330">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新建、扩建不符合国家产能置换要求的严重过剩产能行业的项目。新建、扩建不符合要求的高耗能高排放项目。</w:t>
                  </w:r>
                </w:p>
              </w:tc>
              <w:tc>
                <w:tcPr>
                  <w:tcW w:w="1160" w:type="pct"/>
                  <w:tcBorders>
                    <w:top w:val="single" w:color="auto" w:sz="4" w:space="0"/>
                    <w:left w:val="single" w:color="auto" w:sz="4" w:space="0"/>
                    <w:bottom w:val="single" w:color="auto" w:sz="4" w:space="0"/>
                    <w:right w:val="single" w:color="auto" w:sz="4" w:space="0"/>
                  </w:tcBorders>
                  <w:vAlign w:val="center"/>
                </w:tcPr>
                <w:p w14:paraId="24FCFCAB">
                  <w:pPr>
                    <w:pStyle w:val="3"/>
                    <w:bidi w:val="0"/>
                    <w:jc w:val="both"/>
                    <w:rPr>
                      <w:rFonts w:hint="default"/>
                      <w:color w:val="auto"/>
                    </w:rPr>
                  </w:pPr>
                  <w:r>
                    <w:rPr>
                      <w:rFonts w:hint="default"/>
                      <w:color w:val="auto"/>
                    </w:rPr>
                    <w:t>本项目不属于产能过剩项目，不属于高耗能高排放项目</w:t>
                  </w:r>
                </w:p>
              </w:tc>
              <w:tc>
                <w:tcPr>
                  <w:tcW w:w="725" w:type="pct"/>
                  <w:tcBorders>
                    <w:top w:val="single" w:color="auto" w:sz="4" w:space="0"/>
                    <w:left w:val="single" w:color="auto" w:sz="4" w:space="0"/>
                    <w:bottom w:val="single" w:color="auto" w:sz="4" w:space="0"/>
                    <w:right w:val="nil"/>
                  </w:tcBorders>
                  <w:vAlign w:val="center"/>
                </w:tcPr>
                <w:p w14:paraId="45B3D0D5">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282773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7BA3F9F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2DD6E5A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新建、扩建不符合国家石化、现代煤化工等产业布局规划的项目</w:t>
                  </w:r>
                </w:p>
              </w:tc>
              <w:tc>
                <w:tcPr>
                  <w:tcW w:w="1160" w:type="pct"/>
                  <w:tcBorders>
                    <w:top w:val="single" w:color="auto" w:sz="4" w:space="0"/>
                    <w:left w:val="single" w:color="auto" w:sz="4" w:space="0"/>
                    <w:bottom w:val="single" w:color="auto" w:sz="4" w:space="0"/>
                    <w:right w:val="single" w:color="auto" w:sz="4" w:space="0"/>
                  </w:tcBorders>
                  <w:vAlign w:val="center"/>
                </w:tcPr>
                <w:p w14:paraId="1C56F0FD">
                  <w:pPr>
                    <w:pStyle w:val="3"/>
                    <w:bidi w:val="0"/>
                    <w:jc w:val="both"/>
                    <w:rPr>
                      <w:rFonts w:hint="default"/>
                      <w:color w:val="auto"/>
                    </w:rPr>
                  </w:pPr>
                  <w:r>
                    <w:rPr>
                      <w:rFonts w:hint="default"/>
                      <w:color w:val="auto"/>
                    </w:rPr>
                    <w:t>本项目不属于石化、现代煤化工等产业布局规划的项目</w:t>
                  </w:r>
                </w:p>
              </w:tc>
              <w:tc>
                <w:tcPr>
                  <w:tcW w:w="725" w:type="pct"/>
                  <w:tcBorders>
                    <w:top w:val="single" w:color="auto" w:sz="4" w:space="0"/>
                    <w:left w:val="single" w:color="auto" w:sz="4" w:space="0"/>
                    <w:bottom w:val="single" w:color="auto" w:sz="4" w:space="0"/>
                    <w:right w:val="nil"/>
                  </w:tcBorders>
                  <w:vAlign w:val="center"/>
                </w:tcPr>
                <w:p w14:paraId="29874A4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32BCE0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625008A8">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17695399">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在合规园区外新建、扩建钢铁、石化、化工、焦化、建材、有色、制浆造纸等高污染项目。</w:t>
                  </w:r>
                </w:p>
              </w:tc>
              <w:tc>
                <w:tcPr>
                  <w:tcW w:w="1160" w:type="pct"/>
                  <w:tcBorders>
                    <w:top w:val="single" w:color="auto" w:sz="4" w:space="0"/>
                    <w:left w:val="single" w:color="auto" w:sz="4" w:space="0"/>
                    <w:bottom w:val="single" w:color="auto" w:sz="4" w:space="0"/>
                    <w:right w:val="single" w:color="auto" w:sz="4" w:space="0"/>
                  </w:tcBorders>
                  <w:vAlign w:val="center"/>
                </w:tcPr>
                <w:p w14:paraId="64D85DCF">
                  <w:pPr>
                    <w:pStyle w:val="3"/>
                    <w:bidi w:val="0"/>
                    <w:jc w:val="both"/>
                    <w:rPr>
                      <w:rFonts w:hint="default"/>
                      <w:color w:val="auto"/>
                    </w:rPr>
                  </w:pPr>
                  <w:r>
                    <w:rPr>
                      <w:rFonts w:hint="default"/>
                      <w:color w:val="auto"/>
                    </w:rPr>
                    <w:t>本项目不属于钢铁、石化、化工、焦化、建材、有色、制浆造纸等高污染项目。</w:t>
                  </w:r>
                </w:p>
              </w:tc>
              <w:tc>
                <w:tcPr>
                  <w:tcW w:w="725" w:type="pct"/>
                  <w:tcBorders>
                    <w:top w:val="single" w:color="auto" w:sz="4" w:space="0"/>
                    <w:left w:val="single" w:color="auto" w:sz="4" w:space="0"/>
                    <w:bottom w:val="single" w:color="auto" w:sz="4" w:space="0"/>
                    <w:right w:val="nil"/>
                  </w:tcBorders>
                  <w:vAlign w:val="center"/>
                </w:tcPr>
                <w:p w14:paraId="5BB41B81">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4F4F9E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781C8F5D">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04D5B678">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《汽车产业投资管理规定》（国家发展和改革委员会令第22号）明确禁止建设的汽车投资项目。</w:t>
                  </w:r>
                </w:p>
              </w:tc>
              <w:tc>
                <w:tcPr>
                  <w:tcW w:w="1160" w:type="pct"/>
                  <w:tcBorders>
                    <w:top w:val="single" w:color="auto" w:sz="4" w:space="0"/>
                    <w:left w:val="single" w:color="auto" w:sz="4" w:space="0"/>
                    <w:bottom w:val="single" w:color="auto" w:sz="4" w:space="0"/>
                    <w:right w:val="single" w:color="auto" w:sz="4" w:space="0"/>
                  </w:tcBorders>
                  <w:vAlign w:val="center"/>
                </w:tcPr>
                <w:p w14:paraId="6124C4F8">
                  <w:pPr>
                    <w:pStyle w:val="3"/>
                    <w:bidi w:val="0"/>
                    <w:jc w:val="both"/>
                    <w:rPr>
                      <w:rFonts w:hint="default"/>
                      <w:color w:val="auto"/>
                    </w:rPr>
                  </w:pPr>
                  <w:r>
                    <w:rPr>
                      <w:rFonts w:hint="default"/>
                      <w:color w:val="auto"/>
                    </w:rPr>
                    <w:t>本项目不属于汽车投资项目</w:t>
                  </w:r>
                </w:p>
              </w:tc>
              <w:tc>
                <w:tcPr>
                  <w:tcW w:w="725" w:type="pct"/>
                  <w:tcBorders>
                    <w:top w:val="single" w:color="auto" w:sz="4" w:space="0"/>
                    <w:left w:val="single" w:color="auto" w:sz="4" w:space="0"/>
                    <w:bottom w:val="single" w:color="auto" w:sz="4" w:space="0"/>
                    <w:right w:val="nil"/>
                  </w:tcBorders>
                  <w:vAlign w:val="center"/>
                </w:tcPr>
                <w:p w14:paraId="40151B1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1541BA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restart"/>
                  <w:tcBorders>
                    <w:left w:val="nil"/>
                    <w:right w:val="single" w:color="auto" w:sz="4" w:space="0"/>
                  </w:tcBorders>
                  <w:vAlign w:val="center"/>
                </w:tcPr>
                <w:p w14:paraId="36280C47">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重点区域范围</w:t>
                  </w:r>
                </w:p>
              </w:tc>
              <w:tc>
                <w:tcPr>
                  <w:tcW w:w="2537" w:type="pct"/>
                  <w:tcBorders>
                    <w:top w:val="single" w:color="auto" w:sz="4" w:space="0"/>
                    <w:left w:val="single" w:color="auto" w:sz="4" w:space="0"/>
                    <w:bottom w:val="single" w:color="auto" w:sz="4" w:space="0"/>
                    <w:right w:val="single" w:color="auto" w:sz="4" w:space="0"/>
                  </w:tcBorders>
                  <w:vAlign w:val="center"/>
                </w:tcPr>
                <w:p w14:paraId="01ED84A6">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长江干支流、重要湖泊岸线1公里范围内新建、扩建化工园区和化工项目，长江、嘉陵江、乌江岸线1公里范围内布局新建纸浆制造、印染等存在环境风险的项目。</w:t>
                  </w:r>
                </w:p>
              </w:tc>
              <w:tc>
                <w:tcPr>
                  <w:tcW w:w="1160" w:type="pct"/>
                  <w:tcBorders>
                    <w:top w:val="single" w:color="auto" w:sz="4" w:space="0"/>
                    <w:left w:val="single" w:color="auto" w:sz="4" w:space="0"/>
                    <w:bottom w:val="single" w:color="auto" w:sz="4" w:space="0"/>
                    <w:right w:val="single" w:color="auto" w:sz="4" w:space="0"/>
                  </w:tcBorders>
                  <w:vAlign w:val="center"/>
                </w:tcPr>
                <w:p w14:paraId="02797B9A">
                  <w:pPr>
                    <w:pStyle w:val="3"/>
                    <w:bidi w:val="0"/>
                    <w:jc w:val="both"/>
                    <w:rPr>
                      <w:rFonts w:hint="default"/>
                      <w:color w:val="auto"/>
                    </w:rPr>
                  </w:pPr>
                  <w:r>
                    <w:rPr>
                      <w:rFonts w:hint="default"/>
                      <w:color w:val="auto"/>
                    </w:rPr>
                    <w:t>本项目不属于纸浆制造、印染等存在环境风险的项目</w:t>
                  </w:r>
                </w:p>
              </w:tc>
              <w:tc>
                <w:tcPr>
                  <w:tcW w:w="725" w:type="pct"/>
                  <w:tcBorders>
                    <w:top w:val="single" w:color="auto" w:sz="4" w:space="0"/>
                    <w:left w:val="single" w:color="auto" w:sz="4" w:space="0"/>
                    <w:bottom w:val="single" w:color="auto" w:sz="4" w:space="0"/>
                    <w:right w:val="nil"/>
                  </w:tcBorders>
                  <w:vAlign w:val="center"/>
                </w:tcPr>
                <w:p w14:paraId="1A6A51CE">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r w14:paraId="3681A7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6" w:type="pct"/>
                  <w:vMerge w:val="continue"/>
                  <w:tcBorders>
                    <w:left w:val="nil"/>
                    <w:right w:val="single" w:color="auto" w:sz="4" w:space="0"/>
                  </w:tcBorders>
                  <w:vAlign w:val="center"/>
                </w:tcPr>
                <w:p w14:paraId="22483A2E">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default" w:ascii="Times New Roman" w:hAnsi="Times New Roman" w:cs="Times New Roman"/>
                      <w:color w:val="auto"/>
                      <w:sz w:val="21"/>
                      <w:szCs w:val="21"/>
                    </w:rPr>
                  </w:pPr>
                </w:p>
              </w:tc>
              <w:tc>
                <w:tcPr>
                  <w:tcW w:w="2537" w:type="pct"/>
                  <w:tcBorders>
                    <w:top w:val="single" w:color="auto" w:sz="4" w:space="0"/>
                    <w:left w:val="single" w:color="auto" w:sz="4" w:space="0"/>
                    <w:bottom w:val="single" w:color="auto" w:sz="4" w:space="0"/>
                    <w:right w:val="single" w:color="auto" w:sz="4" w:space="0"/>
                  </w:tcBorders>
                  <w:vAlign w:val="center"/>
                </w:tcPr>
                <w:p w14:paraId="44B0551B">
                  <w:pPr>
                    <w:keepNext w:val="0"/>
                    <w:keepLines w:val="0"/>
                    <w:pageBreakBefore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在水产种质资源保护区的岸线和河段范围内新建围湖造田等投资建设项目。</w:t>
                  </w:r>
                </w:p>
              </w:tc>
              <w:tc>
                <w:tcPr>
                  <w:tcW w:w="1160" w:type="pct"/>
                  <w:tcBorders>
                    <w:top w:val="single" w:color="auto" w:sz="4" w:space="0"/>
                    <w:left w:val="single" w:color="auto" w:sz="4" w:space="0"/>
                    <w:bottom w:val="single" w:color="auto" w:sz="4" w:space="0"/>
                    <w:right w:val="single" w:color="auto" w:sz="4" w:space="0"/>
                  </w:tcBorders>
                  <w:vAlign w:val="center"/>
                </w:tcPr>
                <w:p w14:paraId="37A5AE88">
                  <w:pPr>
                    <w:pStyle w:val="3"/>
                    <w:bidi w:val="0"/>
                    <w:jc w:val="both"/>
                    <w:rPr>
                      <w:rFonts w:hint="default"/>
                      <w:color w:val="auto"/>
                    </w:rPr>
                  </w:pPr>
                  <w:r>
                    <w:rPr>
                      <w:rFonts w:hint="default"/>
                      <w:color w:val="auto"/>
                    </w:rPr>
                    <w:t>本项目不属于围湖造田等投资建设项目</w:t>
                  </w:r>
                </w:p>
              </w:tc>
              <w:tc>
                <w:tcPr>
                  <w:tcW w:w="725" w:type="pct"/>
                  <w:tcBorders>
                    <w:top w:val="single" w:color="auto" w:sz="4" w:space="0"/>
                    <w:left w:val="single" w:color="auto" w:sz="4" w:space="0"/>
                    <w:bottom w:val="single" w:color="auto" w:sz="4" w:space="0"/>
                    <w:right w:val="nil"/>
                  </w:tcBorders>
                  <w:vAlign w:val="center"/>
                </w:tcPr>
                <w:p w14:paraId="2ABCDCB3">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符合</w:t>
                  </w:r>
                </w:p>
              </w:tc>
            </w:tr>
          </w:tbl>
          <w:p w14:paraId="606713E6">
            <w:pPr>
              <w:pStyle w:val="9"/>
              <w:keepNext w:val="0"/>
              <w:keepLines w:val="0"/>
              <w:pageBreakBefore w:val="0"/>
              <w:widowControl w:val="0"/>
              <w:wordWrap/>
              <w:topLinePunct w:val="0"/>
              <w:bidi w:val="0"/>
              <w:adjustRightInd w:val="0"/>
              <w:snapToGrid w:val="0"/>
              <w:spacing w:after="0" w:line="360" w:lineRule="auto"/>
              <w:ind w:left="0" w:leftChars="0" w:firstLine="480" w:firstLineChars="200"/>
              <w:textAlignment w:val="auto"/>
              <w:rPr>
                <w:rFonts w:hint="eastAsia" w:eastAsia="宋体"/>
                <w:color w:val="auto"/>
                <w:sz w:val="24"/>
                <w:lang w:val="en-US" w:eastAsia="zh-CN"/>
              </w:rPr>
            </w:pPr>
            <w:r>
              <w:rPr>
                <w:rFonts w:hint="eastAsia"/>
                <w:color w:val="auto"/>
                <w:sz w:val="24"/>
                <w:lang w:eastAsia="zh-CN"/>
              </w:rPr>
              <w:t>综上所述，</w:t>
            </w:r>
            <w:r>
              <w:rPr>
                <w:color w:val="auto"/>
                <w:sz w:val="24"/>
              </w:rPr>
              <w:t>本项目符合《重庆市产业投资准入工作手册》（渝发改投资[2022]1436号）的要求。</w:t>
            </w:r>
          </w:p>
          <w:p w14:paraId="432427EF">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lang w:eastAsia="zh-CN"/>
              </w:rPr>
              <w:t>与</w:t>
            </w:r>
            <w:r>
              <w:rPr>
                <w:rFonts w:hint="eastAsia" w:ascii="宋体" w:hAnsi="宋体" w:eastAsia="宋体" w:cs="宋体"/>
                <w:b/>
                <w:bCs/>
                <w:color w:val="auto"/>
                <w:sz w:val="24"/>
                <w:szCs w:val="24"/>
              </w:rPr>
              <w:t>《重庆市环境保护局办公室关于具体执行沿江工业布局距离管控有关政策的通知》（渝环办[2017]146号）</w:t>
            </w:r>
            <w:r>
              <w:rPr>
                <w:rFonts w:hint="eastAsia" w:ascii="宋体" w:hAnsi="宋体" w:eastAsia="宋体" w:cs="宋体"/>
                <w:b/>
                <w:bCs/>
                <w:color w:val="auto"/>
                <w:sz w:val="24"/>
                <w:szCs w:val="24"/>
                <w:lang w:eastAsia="zh-CN"/>
              </w:rPr>
              <w:t>符合性分析</w:t>
            </w:r>
          </w:p>
          <w:p w14:paraId="0A13712B">
            <w:pPr>
              <w:pStyle w:val="3"/>
              <w:bidi w:val="0"/>
              <w:rPr>
                <w:rFonts w:hint="default" w:ascii="Times New Roman" w:hAnsi="Times New Roman" w:cs="Times New Roman"/>
                <w:b w:val="0"/>
                <w:bCs w:val="0"/>
                <w:color w:val="auto"/>
                <w:szCs w:val="24"/>
              </w:rPr>
            </w:pPr>
            <w:r>
              <w:rPr>
                <w:rFonts w:hint="default" w:ascii="Times New Roman" w:hAnsi="Times New Roman" w:cs="Times New Roman"/>
                <w:color w:val="auto"/>
              </w:rPr>
              <w:t>表</w:t>
            </w:r>
            <w:r>
              <w:rPr>
                <w:rFonts w:hint="default" w:ascii="Times New Roman" w:hAnsi="Times New Roman" w:cs="Times New Roman"/>
                <w:color w:val="auto"/>
                <w:lang w:val="en-US" w:eastAsia="zh-CN"/>
              </w:rPr>
              <w:t>1.9-1</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w:t>
            </w:r>
            <w:r>
              <w:rPr>
                <w:rFonts w:hint="default" w:ascii="Times New Roman" w:hAnsi="Times New Roman" w:cs="Times New Roman"/>
                <w:color w:val="auto"/>
              </w:rPr>
              <w:t>关于具体执行沿江工业布局距离管控有关政策的通知》符合性</w:t>
            </w:r>
          </w:p>
          <w:tbl>
            <w:tblPr>
              <w:tblStyle w:val="17"/>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4894"/>
              <w:gridCol w:w="1716"/>
              <w:gridCol w:w="855"/>
            </w:tblGrid>
            <w:tr w14:paraId="378F47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6BEE2EF5">
                  <w:pPr>
                    <w:pStyle w:val="3"/>
                    <w:bidi w:val="0"/>
                    <w:rPr>
                      <w:color w:val="auto"/>
                    </w:rPr>
                  </w:pPr>
                  <w:r>
                    <w:rPr>
                      <w:color w:val="auto"/>
                    </w:rPr>
                    <w:t>序号</w:t>
                  </w:r>
                </w:p>
              </w:tc>
              <w:tc>
                <w:tcPr>
                  <w:tcW w:w="3014" w:type="pct"/>
                  <w:noWrap w:val="0"/>
                  <w:vAlign w:val="center"/>
                </w:tcPr>
                <w:p w14:paraId="6C0C60BE">
                  <w:pPr>
                    <w:pStyle w:val="3"/>
                    <w:bidi w:val="0"/>
                    <w:rPr>
                      <w:rFonts w:hint="eastAsia"/>
                      <w:color w:val="auto"/>
                      <w:lang w:eastAsia="zh-CN"/>
                    </w:rPr>
                  </w:pPr>
                  <w:r>
                    <w:rPr>
                      <w:rFonts w:hint="eastAsia"/>
                      <w:color w:val="auto"/>
                      <w:lang w:eastAsia="zh-CN"/>
                    </w:rPr>
                    <w:t>沿江工业布局管控要求</w:t>
                  </w:r>
                </w:p>
              </w:tc>
              <w:tc>
                <w:tcPr>
                  <w:tcW w:w="1057" w:type="pct"/>
                  <w:noWrap w:val="0"/>
                  <w:vAlign w:val="center"/>
                </w:tcPr>
                <w:p w14:paraId="453115F2">
                  <w:pPr>
                    <w:pStyle w:val="3"/>
                    <w:bidi w:val="0"/>
                    <w:rPr>
                      <w:color w:val="auto"/>
                    </w:rPr>
                  </w:pPr>
                  <w:r>
                    <w:rPr>
                      <w:color w:val="auto"/>
                    </w:rPr>
                    <w:t>项目情况</w:t>
                  </w:r>
                </w:p>
              </w:tc>
              <w:tc>
                <w:tcPr>
                  <w:tcW w:w="526" w:type="pct"/>
                  <w:noWrap w:val="0"/>
                  <w:vAlign w:val="center"/>
                </w:tcPr>
                <w:p w14:paraId="50958DF5">
                  <w:pPr>
                    <w:pStyle w:val="3"/>
                    <w:bidi w:val="0"/>
                    <w:rPr>
                      <w:color w:val="auto"/>
                    </w:rPr>
                  </w:pPr>
                  <w:r>
                    <w:rPr>
                      <w:color w:val="auto"/>
                    </w:rPr>
                    <w:t>符合性</w:t>
                  </w:r>
                </w:p>
              </w:tc>
            </w:tr>
            <w:tr w14:paraId="73D527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1" w:type="pct"/>
                  <w:noWrap w:val="0"/>
                  <w:vAlign w:val="center"/>
                </w:tcPr>
                <w:p w14:paraId="3A5816E3">
                  <w:pPr>
                    <w:pStyle w:val="3"/>
                    <w:bidi w:val="0"/>
                    <w:rPr>
                      <w:color w:val="auto"/>
                    </w:rPr>
                  </w:pPr>
                  <w:r>
                    <w:rPr>
                      <w:color w:val="auto"/>
                    </w:rPr>
                    <w:t>1</w:t>
                  </w:r>
                </w:p>
              </w:tc>
              <w:tc>
                <w:tcPr>
                  <w:tcW w:w="3014" w:type="pct"/>
                  <w:noWrap w:val="0"/>
                  <w:vAlign w:val="center"/>
                </w:tcPr>
                <w:p w14:paraId="02A62F65">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rPr>
                    <w:t>严格落实国家对沿江“1公里”范围内的管控政策。除在建项目外，长江干流及主要支流岸线1公里范围内禁止审批新建重化工项目；现有化工项目可实施改造升级，应当采用先进生产工艺或改进现有工艺流程，减少污染物排放量和降低污染排放强度；1公里范围内环保不达标的化工企业要加快搬迁</w:t>
                  </w:r>
                  <w:r>
                    <w:rPr>
                      <w:rFonts w:hint="default" w:ascii="Times New Roman" w:hAnsi="Times New Roman" w:cs="Times New Roman"/>
                      <w:color w:val="auto"/>
                      <w:lang w:eastAsia="zh-CN"/>
                    </w:rPr>
                    <w:t>。</w:t>
                  </w:r>
                </w:p>
              </w:tc>
              <w:tc>
                <w:tcPr>
                  <w:tcW w:w="1057" w:type="pct"/>
                  <w:noWrap w:val="0"/>
                  <w:vAlign w:val="center"/>
                </w:tcPr>
                <w:p w14:paraId="0F527D3A">
                  <w:pPr>
                    <w:pStyle w:val="3"/>
                    <w:bidi w:val="0"/>
                    <w:jc w:val="right"/>
                    <w:rPr>
                      <w:rFonts w:hint="default" w:ascii="Times New Roman" w:hAnsi="Times New Roman" w:cs="Times New Roman"/>
                      <w:color w:val="auto"/>
                      <w:lang w:eastAsia="zh-CN"/>
                    </w:rPr>
                  </w:pPr>
                  <w:r>
                    <w:rPr>
                      <w:rFonts w:hint="default" w:ascii="Times New Roman" w:hAnsi="Times New Roman" w:cs="Times New Roman"/>
                      <w:color w:val="auto"/>
                      <w:lang w:eastAsia="zh-CN"/>
                    </w:rPr>
                    <w:t>本项目主要从事植物油加工，不属于化工类项目</w:t>
                  </w:r>
                </w:p>
              </w:tc>
              <w:tc>
                <w:tcPr>
                  <w:tcW w:w="526" w:type="pct"/>
                  <w:noWrap w:val="0"/>
                  <w:vAlign w:val="center"/>
                </w:tcPr>
                <w:p w14:paraId="2BAF83BC">
                  <w:pPr>
                    <w:pStyle w:val="3"/>
                    <w:bidi w:val="0"/>
                    <w:rPr>
                      <w:color w:val="auto"/>
                    </w:rPr>
                  </w:pPr>
                  <w:r>
                    <w:rPr>
                      <w:color w:val="auto"/>
                    </w:rPr>
                    <w:t>符合</w:t>
                  </w:r>
                </w:p>
              </w:tc>
            </w:tr>
            <w:tr w14:paraId="61EF35C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01" w:type="pct"/>
                  <w:noWrap w:val="0"/>
                  <w:vAlign w:val="center"/>
                </w:tcPr>
                <w:p w14:paraId="08E42E4F">
                  <w:pPr>
                    <w:pStyle w:val="3"/>
                    <w:bidi w:val="0"/>
                    <w:rPr>
                      <w:color w:val="auto"/>
                    </w:rPr>
                  </w:pPr>
                  <w:r>
                    <w:rPr>
                      <w:color w:val="auto"/>
                    </w:rPr>
                    <w:t>2</w:t>
                  </w:r>
                </w:p>
              </w:tc>
              <w:tc>
                <w:tcPr>
                  <w:tcW w:w="3014" w:type="pct"/>
                  <w:noWrap w:val="0"/>
                  <w:vAlign w:val="center"/>
                </w:tcPr>
                <w:p w14:paraId="54300427">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rPr>
                    <w:t>严禁在长江干流及主要支流岸线“5公里”范围内新布局工业园区。除经国家和市政府批准设立、但仍在建设的工业园区可以继续按已批准的园区发展规划确定的主导产业规划、引进和布局工业项目外，长江干流及主要支流岸线5公里范围内不再新布局工业园区</w:t>
                  </w:r>
                  <w:r>
                    <w:rPr>
                      <w:rFonts w:hint="default" w:ascii="Times New Roman" w:hAnsi="Times New Roman" w:cs="Times New Roman"/>
                      <w:color w:val="auto"/>
                      <w:lang w:eastAsia="zh-CN"/>
                    </w:rPr>
                    <w:t>。</w:t>
                  </w:r>
                </w:p>
              </w:tc>
              <w:tc>
                <w:tcPr>
                  <w:tcW w:w="1057" w:type="pct"/>
                  <w:noWrap w:val="0"/>
                  <w:vAlign w:val="center"/>
                </w:tcPr>
                <w:p w14:paraId="41A23A99">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本项目不属于新布局的工业园区类项目</w:t>
                  </w:r>
                </w:p>
              </w:tc>
              <w:tc>
                <w:tcPr>
                  <w:tcW w:w="526" w:type="pct"/>
                  <w:noWrap w:val="0"/>
                  <w:vAlign w:val="center"/>
                </w:tcPr>
                <w:p w14:paraId="03410D9E">
                  <w:pPr>
                    <w:pStyle w:val="3"/>
                    <w:bidi w:val="0"/>
                    <w:rPr>
                      <w:color w:val="auto"/>
                    </w:rPr>
                  </w:pPr>
                  <w:r>
                    <w:rPr>
                      <w:color w:val="auto"/>
                    </w:rPr>
                    <w:t>符合</w:t>
                  </w:r>
                </w:p>
              </w:tc>
            </w:tr>
            <w:tr w14:paraId="10F7DC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01" w:type="pct"/>
                  <w:noWrap w:val="0"/>
                  <w:vAlign w:val="center"/>
                </w:tcPr>
                <w:p w14:paraId="35054499">
                  <w:pPr>
                    <w:pStyle w:val="3"/>
                    <w:bidi w:val="0"/>
                    <w:rPr>
                      <w:color w:val="auto"/>
                    </w:rPr>
                  </w:pPr>
                  <w:r>
                    <w:rPr>
                      <w:color w:val="auto"/>
                    </w:rPr>
                    <w:t>3</w:t>
                  </w:r>
                </w:p>
              </w:tc>
              <w:tc>
                <w:tcPr>
                  <w:tcW w:w="3014" w:type="pct"/>
                  <w:noWrap w:val="0"/>
                  <w:vAlign w:val="center"/>
                </w:tcPr>
                <w:p w14:paraId="5A797B7F">
                  <w:pPr>
                    <w:pStyle w:val="3"/>
                    <w:bidi w:val="0"/>
                    <w:jc w:val="both"/>
                    <w:rPr>
                      <w:rFonts w:hint="default" w:ascii="Times New Roman" w:hAnsi="Times New Roman" w:cs="Times New Roman"/>
                      <w:color w:val="auto"/>
                    </w:rPr>
                  </w:pPr>
                  <w:r>
                    <w:rPr>
                      <w:rFonts w:hint="default" w:ascii="Times New Roman" w:hAnsi="Times New Roman" w:cs="Times New Roman"/>
                      <w:color w:val="auto"/>
                    </w:rPr>
                    <w:t>严格执行工业项目入园规定和环保标准。除能源矿产项目外，新建工业项目必须进入工业园区；在满足前述两条要求的前提下新布局的化工项目必须进行充分论证，采取更加有利于保护生态环境的污染防治和风险防范措施，执行更加严格的环境标准，在符合产业规划、禁投清单和环境准入等的前提下准予建设。</w:t>
                  </w:r>
                </w:p>
              </w:tc>
              <w:tc>
                <w:tcPr>
                  <w:tcW w:w="1057" w:type="pct"/>
                  <w:noWrap w:val="0"/>
                  <w:vAlign w:val="center"/>
                </w:tcPr>
                <w:p w14:paraId="5BB3258D">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本项目属于改扩建项目，不属于化工类项目</w:t>
                  </w:r>
                </w:p>
              </w:tc>
              <w:tc>
                <w:tcPr>
                  <w:tcW w:w="526" w:type="pct"/>
                  <w:noWrap w:val="0"/>
                  <w:vAlign w:val="center"/>
                </w:tcPr>
                <w:p w14:paraId="00BF0BBC">
                  <w:pPr>
                    <w:pStyle w:val="3"/>
                    <w:bidi w:val="0"/>
                    <w:rPr>
                      <w:color w:val="auto"/>
                    </w:rPr>
                  </w:pPr>
                  <w:r>
                    <w:rPr>
                      <w:color w:val="auto"/>
                    </w:rPr>
                    <w:t>符合</w:t>
                  </w:r>
                </w:p>
              </w:tc>
            </w:tr>
          </w:tbl>
          <w:p w14:paraId="5B1D1882">
            <w:pPr>
              <w:spacing w:line="360" w:lineRule="auto"/>
              <w:ind w:firstLine="468" w:firstLineChars="195"/>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综上所述，本</w:t>
            </w:r>
            <w:r>
              <w:rPr>
                <w:rFonts w:hint="eastAsia" w:ascii="宋体" w:hAnsi="宋体" w:eastAsia="宋体" w:cs="宋体"/>
                <w:color w:val="auto"/>
                <w:sz w:val="24"/>
                <w:szCs w:val="24"/>
              </w:rPr>
              <w:t>项目符合《重庆市环境保护局办公室关于具体执行沿江工业布局距离管控有关政策的通知》</w:t>
            </w:r>
            <w:r>
              <w:rPr>
                <w:rFonts w:hint="eastAsia" w:ascii="宋体" w:hAnsi="宋体" w:eastAsia="宋体" w:cs="宋体"/>
                <w:color w:val="auto"/>
                <w:sz w:val="24"/>
                <w:szCs w:val="24"/>
                <w:lang w:eastAsia="zh-CN"/>
              </w:rPr>
              <w:t>相关要求</w:t>
            </w:r>
            <w:r>
              <w:rPr>
                <w:rFonts w:hint="eastAsia" w:ascii="宋体" w:hAnsi="宋体" w:eastAsia="宋体" w:cs="宋体"/>
                <w:color w:val="auto"/>
                <w:sz w:val="24"/>
                <w:szCs w:val="24"/>
              </w:rPr>
              <w:t>。</w:t>
            </w:r>
          </w:p>
          <w:p w14:paraId="4133B0CA">
            <w:pPr>
              <w:pStyle w:val="4"/>
              <w:ind w:left="0" w:leftChars="0" w:firstLine="0" w:firstLineChars="0"/>
              <w:rPr>
                <w:rFonts w:hint="default"/>
                <w:color w:val="auto"/>
                <w:lang w:val="en-US" w:eastAsia="zh-CN"/>
              </w:rPr>
            </w:pPr>
          </w:p>
        </w:tc>
      </w:tr>
    </w:tbl>
    <w:p w14:paraId="174C8653">
      <w:pPr>
        <w:spacing w:line="360" w:lineRule="auto"/>
        <w:outlineLvl w:val="0"/>
        <w:rPr>
          <w:rFonts w:eastAsia="黑体"/>
          <w:color w:val="auto"/>
          <w:sz w:val="30"/>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14:paraId="1CC60DAB">
      <w:pPr>
        <w:pStyle w:val="16"/>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二、建设项目工程分析</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456"/>
        <w:gridCol w:w="8604"/>
      </w:tblGrid>
      <w:tr w14:paraId="3E7FCA2B">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020" w:hRule="atLeast"/>
          <w:jc w:val="center"/>
        </w:trPr>
        <w:tc>
          <w:tcPr>
            <w:tcW w:w="455" w:type="dxa"/>
            <w:tcBorders>
              <w:tl2br w:val="nil"/>
              <w:tr2bl w:val="nil"/>
            </w:tcBorders>
            <w:vAlign w:val="center"/>
          </w:tcPr>
          <w:p w14:paraId="2D76EAE7">
            <w:pPr>
              <w:pStyle w:val="16"/>
              <w:adjustRightInd w:val="0"/>
              <w:snapToGrid w:val="0"/>
              <w:spacing w:before="0" w:beforeAutospacing="0" w:after="0" w:afterAutospacing="0"/>
              <w:ind w:left="0" w:leftChars="0" w:firstLine="0" w:firstLineChars="0"/>
              <w:jc w:val="both"/>
              <w:rPr>
                <w:rFonts w:cs="宋体"/>
                <w:color w:val="auto"/>
                <w:sz w:val="21"/>
                <w:szCs w:val="21"/>
              </w:rPr>
            </w:pPr>
            <w:r>
              <w:rPr>
                <w:rFonts w:hint="eastAsia" w:cs="宋体"/>
                <w:color w:val="auto"/>
                <w:sz w:val="24"/>
                <w:szCs w:val="24"/>
              </w:rPr>
              <w:t>建设内容</w:t>
            </w:r>
          </w:p>
        </w:tc>
        <w:tc>
          <w:tcPr>
            <w:tcW w:w="8605" w:type="dxa"/>
            <w:tcBorders>
              <w:tl2br w:val="nil"/>
              <w:tr2bl w:val="nil"/>
            </w:tcBorders>
            <w:vAlign w:val="top"/>
          </w:tcPr>
          <w:p w14:paraId="76CD2DAD">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default" w:ascii="Times New Roman" w:hAnsi="Times New Roman" w:cs="Times New Roman"/>
                <w:b/>
                <w:bCs/>
                <w:color w:val="auto"/>
                <w:sz w:val="24"/>
                <w:szCs w:val="24"/>
              </w:rPr>
            </w:pPr>
            <w:r>
              <w:rPr>
                <w:rFonts w:hint="eastAsia" w:eastAsia="宋体" w:cs="Times New Roman"/>
                <w:b/>
                <w:bCs/>
                <w:color w:val="auto"/>
                <w:sz w:val="24"/>
                <w:szCs w:val="24"/>
                <w:lang w:val="en-US" w:eastAsia="zh-CN"/>
              </w:rPr>
              <w:t>1.</w:t>
            </w:r>
            <w:r>
              <w:rPr>
                <w:rFonts w:hint="default" w:ascii="Times New Roman" w:hAnsi="Times New Roman" w:cs="Times New Roman"/>
                <w:b/>
                <w:bCs/>
                <w:color w:val="auto"/>
                <w:sz w:val="24"/>
                <w:szCs w:val="24"/>
              </w:rPr>
              <w:t>项目由来</w:t>
            </w:r>
          </w:p>
          <w:p w14:paraId="7EDBEBF4">
            <w:pPr>
              <w:bidi w:val="0"/>
              <w:rPr>
                <w:rFonts w:hint="default" w:ascii="Times New Roman" w:hAnsi="Times New Roman" w:cs="Times New Roman"/>
                <w:color w:val="auto"/>
                <w:sz w:val="24"/>
                <w:szCs w:val="24"/>
                <w:lang w:val="en-US"/>
              </w:rPr>
            </w:pPr>
            <w:r>
              <w:rPr>
                <w:rFonts w:hint="default" w:ascii="Times New Roman" w:hAnsi="Times New Roman" w:eastAsia="宋体" w:cs="Times New Roman"/>
                <w:color w:val="auto"/>
                <w:kern w:val="2"/>
                <w:sz w:val="24"/>
                <w:szCs w:val="24"/>
                <w:lang w:val="en-US" w:eastAsia="zh-CN" w:bidi="ar-SA"/>
              </w:rPr>
              <w:t>重庆新涪食品有限公司</w:t>
            </w:r>
            <w:r>
              <w:rPr>
                <w:rFonts w:hint="default" w:ascii="Times New Roman" w:hAnsi="Times New Roman" w:cs="Times New Roman"/>
                <w:color w:val="auto"/>
                <w:sz w:val="24"/>
                <w:szCs w:val="24"/>
              </w:rPr>
              <w:t>位于重庆市涪陵区龙桥镇龙兴东路88号，由新加坡长城投资公司投资创建</w:t>
            </w:r>
            <w:r>
              <w:rPr>
                <w:rFonts w:hint="eastAsia" w:cs="Times New Roman"/>
                <w:color w:val="auto"/>
                <w:sz w:val="24"/>
                <w:szCs w:val="24"/>
                <w:lang w:eastAsia="zh-CN"/>
              </w:rPr>
              <w:t>，</w:t>
            </w:r>
            <w:r>
              <w:rPr>
                <w:rFonts w:hint="default" w:ascii="Times New Roman" w:hAnsi="Times New Roman" w:cs="Times New Roman"/>
                <w:color w:val="auto"/>
                <w:sz w:val="24"/>
                <w:szCs w:val="24"/>
              </w:rPr>
              <w:t>主要</w:t>
            </w:r>
            <w:r>
              <w:rPr>
                <w:rFonts w:hint="eastAsia" w:ascii="Times New Roman" w:hAnsi="Times New Roman" w:cs="Times New Roman"/>
                <w:color w:val="auto"/>
                <w:sz w:val="24"/>
                <w:szCs w:val="24"/>
                <w:lang w:eastAsia="zh-CN"/>
              </w:rPr>
              <w:t>从事大豆油、豆</w:t>
            </w:r>
            <w:r>
              <w:rPr>
                <w:rFonts w:hint="default" w:ascii="Times New Roman" w:hAnsi="Times New Roman" w:cs="Times New Roman"/>
                <w:color w:val="auto"/>
                <w:sz w:val="24"/>
                <w:szCs w:val="24"/>
              </w:rPr>
              <w:t>粕</w:t>
            </w:r>
            <w:r>
              <w:rPr>
                <w:rFonts w:hint="eastAsia" w:ascii="Times New Roman" w:hAnsi="Times New Roman" w:cs="Times New Roman"/>
                <w:color w:val="auto"/>
                <w:sz w:val="24"/>
                <w:szCs w:val="24"/>
                <w:lang w:eastAsia="zh-CN"/>
              </w:rPr>
              <w:t>的生产及</w:t>
            </w:r>
            <w:r>
              <w:rPr>
                <w:rFonts w:hint="default" w:ascii="Times New Roman" w:hAnsi="Times New Roman" w:cs="Times New Roman"/>
                <w:color w:val="auto"/>
                <w:sz w:val="24"/>
                <w:szCs w:val="24"/>
              </w:rPr>
              <w:t>销售业务。</w:t>
            </w:r>
            <w:r>
              <w:rPr>
                <w:rFonts w:hint="eastAsia" w:cs="Times New Roman"/>
                <w:color w:val="auto"/>
                <w:sz w:val="24"/>
                <w:szCs w:val="24"/>
                <w:lang w:val="en-US" w:eastAsia="zh-CN"/>
              </w:rPr>
              <w:t>2020年1月14日经重庆市涪陵区市场监督管理局批准，“</w:t>
            </w:r>
            <w:r>
              <w:rPr>
                <w:rFonts w:hint="default" w:ascii="Times New Roman" w:hAnsi="Times New Roman" w:eastAsia="宋体" w:cs="Times New Roman"/>
                <w:color w:val="auto"/>
                <w:kern w:val="2"/>
                <w:sz w:val="24"/>
                <w:szCs w:val="24"/>
                <w:lang w:val="en-US" w:eastAsia="zh-CN" w:bidi="ar-SA"/>
              </w:rPr>
              <w:t>重庆新涪食品有限公司</w:t>
            </w:r>
            <w:r>
              <w:rPr>
                <w:rFonts w:hint="eastAsia" w:cs="Times New Roman"/>
                <w:color w:val="auto"/>
                <w:sz w:val="24"/>
                <w:szCs w:val="24"/>
                <w:lang w:val="en-US" w:eastAsia="zh-CN"/>
              </w:rPr>
              <w:t>”变更为“</w:t>
            </w:r>
            <w:r>
              <w:rPr>
                <w:rFonts w:hint="default" w:ascii="Times New Roman" w:hAnsi="Times New Roman" w:cs="Times New Roman"/>
                <w:color w:val="auto"/>
                <w:sz w:val="24"/>
                <w:szCs w:val="24"/>
              </w:rPr>
              <w:t>中粮油脂（重庆）有限公司</w:t>
            </w:r>
            <w:r>
              <w:rPr>
                <w:rFonts w:hint="eastAsia" w:cs="Times New Roman"/>
                <w:color w:val="auto"/>
                <w:sz w:val="24"/>
                <w:szCs w:val="24"/>
                <w:lang w:val="en-US" w:eastAsia="zh-CN"/>
              </w:rPr>
              <w:t>”</w:t>
            </w:r>
            <w:r>
              <w:rPr>
                <w:rFonts w:hint="default" w:ascii="Times New Roman" w:hAnsi="Times New Roman" w:cs="Times New Roman"/>
                <w:color w:val="auto"/>
                <w:sz w:val="24"/>
                <w:szCs w:val="24"/>
              </w:rPr>
              <w:t>（以下简称“中粮油脂”）。</w:t>
            </w:r>
            <w:r>
              <w:rPr>
                <w:rFonts w:hint="default"/>
                <w:color w:val="auto"/>
              </w:rPr>
              <w:t>该企业</w:t>
            </w:r>
            <w:r>
              <w:rPr>
                <w:rFonts w:hint="default"/>
                <w:color w:val="auto"/>
                <w:lang w:eastAsia="zh-CN"/>
              </w:rPr>
              <w:t>于</w:t>
            </w:r>
            <w:r>
              <w:rPr>
                <w:rFonts w:hint="eastAsia"/>
                <w:color w:val="auto"/>
                <w:lang w:val="en-US" w:eastAsia="zh-CN"/>
              </w:rPr>
              <w:t>2004</w:t>
            </w:r>
            <w:r>
              <w:rPr>
                <w:rFonts w:hint="default"/>
                <w:color w:val="auto"/>
                <w:lang w:val="en-US" w:eastAsia="zh-CN"/>
              </w:rPr>
              <w:t>年～202</w:t>
            </w:r>
            <w:r>
              <w:rPr>
                <w:rFonts w:hint="eastAsia"/>
                <w:color w:val="auto"/>
                <w:lang w:val="en-US" w:eastAsia="zh-CN"/>
              </w:rPr>
              <w:t>1</w:t>
            </w:r>
            <w:r>
              <w:rPr>
                <w:rFonts w:hint="default"/>
                <w:color w:val="auto"/>
                <w:lang w:val="en-US" w:eastAsia="zh-CN"/>
              </w:rPr>
              <w:t>年间先后</w:t>
            </w:r>
            <w:r>
              <w:rPr>
                <w:rFonts w:hint="eastAsia"/>
                <w:color w:val="auto"/>
                <w:lang w:val="en-US" w:eastAsia="zh-CN"/>
              </w:rPr>
              <w:t>完成了“</w:t>
            </w:r>
            <w:r>
              <w:rPr>
                <w:rFonts w:hint="default" w:ascii="Times New Roman" w:hAnsi="Times New Roman" w:eastAsia="宋体" w:cs="Times New Roman"/>
                <w:color w:val="auto"/>
                <w:kern w:val="2"/>
                <w:sz w:val="24"/>
                <w:szCs w:val="24"/>
                <w:lang w:val="en-US" w:eastAsia="zh-CN" w:bidi="ar-SA"/>
              </w:rPr>
              <w:t>重庆新涪食品有限公司日榨大豆（菜籽）6000吨及深加工项目环境报告书</w:t>
            </w:r>
            <w:r>
              <w:rPr>
                <w:rFonts w:hint="eastAsia"/>
                <w:color w:val="auto"/>
                <w:lang w:val="en-US" w:eastAsia="zh-CN"/>
              </w:rPr>
              <w:t>”、“</w:t>
            </w:r>
            <w:r>
              <w:rPr>
                <w:rFonts w:hint="default" w:ascii="Times New Roman" w:hAnsi="Times New Roman" w:eastAsia="宋体" w:cs="Times New Roman"/>
                <w:color w:val="auto"/>
                <w:kern w:val="2"/>
                <w:sz w:val="24"/>
                <w:szCs w:val="24"/>
                <w:lang w:val="en-US" w:eastAsia="zh-CN" w:bidi="ar-SA"/>
              </w:rPr>
              <w:t>新涪食品二期扩建工程环境报告表</w:t>
            </w:r>
            <w:r>
              <w:rPr>
                <w:rFonts w:hint="eastAsia"/>
                <w:color w:val="auto"/>
                <w:lang w:val="en-US" w:eastAsia="zh-CN"/>
              </w:rPr>
              <w:t>”、“</w:t>
            </w:r>
            <w:r>
              <w:rPr>
                <w:rFonts w:hint="default" w:ascii="Times New Roman" w:hAnsi="Times New Roman" w:cs="Times New Roman"/>
                <w:bCs/>
                <w:color w:val="auto"/>
                <w:sz w:val="24"/>
                <w:szCs w:val="24"/>
              </w:rPr>
              <w:t>重庆市涪陵区龙桥镇中粮油脂项目（重庆）有限公司2020年技</w:t>
            </w:r>
            <w:r>
              <w:rPr>
                <w:rFonts w:hint="default" w:ascii="Times New Roman" w:hAnsi="Times New Roman" w:eastAsia="宋体" w:cs="Times New Roman"/>
                <w:b w:val="0"/>
                <w:bCs/>
                <w:color w:val="auto"/>
                <w:sz w:val="24"/>
                <w:szCs w:val="24"/>
              </w:rPr>
              <w:t>改项目</w:t>
            </w:r>
            <w:r>
              <w:rPr>
                <w:rFonts w:hint="default" w:ascii="Times New Roman" w:hAnsi="Times New Roman" w:eastAsia="宋体" w:cs="Times New Roman"/>
                <w:b w:val="0"/>
                <w:bCs/>
                <w:color w:val="auto"/>
                <w:sz w:val="24"/>
                <w:szCs w:val="24"/>
                <w:lang w:eastAsia="zh-CN"/>
              </w:rPr>
              <w:t>环境影响报告表</w:t>
            </w:r>
            <w:r>
              <w:rPr>
                <w:rFonts w:hint="eastAsia"/>
                <w:color w:val="auto"/>
                <w:lang w:val="en-US" w:eastAsia="zh-CN"/>
              </w:rPr>
              <w:t>”等项目的环评手续并通过了竣工环境保护验收。</w:t>
            </w:r>
          </w:p>
          <w:p w14:paraId="52719C73">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eastAsia="宋体"/>
                <w:color w:val="auto"/>
                <w:sz w:val="24"/>
                <w:szCs w:val="24"/>
                <w:highlight w:val="none"/>
                <w:lang w:val="en-US" w:eastAsia="zh-CN"/>
              </w:rPr>
            </w:pPr>
            <w:r>
              <w:rPr>
                <w:rFonts w:hint="eastAsia"/>
                <w:color w:val="auto"/>
                <w:sz w:val="24"/>
                <w:szCs w:val="24"/>
                <w:lang w:val="en-US" w:eastAsia="zh-CN"/>
              </w:rPr>
              <w:t>为满足市场需求，同时减少精炼生产线中一般工业固废（皂脚）的产生量，</w:t>
            </w:r>
            <w:r>
              <w:rPr>
                <w:rFonts w:hint="default" w:ascii="Times New Roman" w:hAnsi="Times New Roman" w:cs="Times New Roman"/>
                <w:color w:val="auto"/>
                <w:sz w:val="24"/>
                <w:szCs w:val="24"/>
              </w:rPr>
              <w:t>中粮油脂</w:t>
            </w:r>
            <w:r>
              <w:rPr>
                <w:rFonts w:hint="eastAsia"/>
                <w:color w:val="auto"/>
                <w:sz w:val="24"/>
                <w:szCs w:val="24"/>
                <w:lang w:val="en-US" w:eastAsia="zh-CN"/>
              </w:rPr>
              <w:t>拟在现有厂区内投资</w:t>
            </w:r>
            <w:r>
              <w:rPr>
                <w:rFonts w:hint="eastAsia"/>
                <w:color w:val="auto"/>
                <w:sz w:val="24"/>
                <w:szCs w:val="24"/>
                <w:highlight w:val="none"/>
                <w:lang w:val="en-US" w:eastAsia="zh-CN"/>
              </w:rPr>
              <w:t>3000</w:t>
            </w:r>
            <w:r>
              <w:rPr>
                <w:rFonts w:hint="eastAsia"/>
                <w:color w:val="auto"/>
                <w:sz w:val="24"/>
                <w:szCs w:val="24"/>
                <w:lang w:val="en-US" w:eastAsia="zh-CN"/>
              </w:rPr>
              <w:t>万元建设“</w:t>
            </w:r>
            <w:r>
              <w:rPr>
                <w:rFonts w:hint="default" w:ascii="Times New Roman" w:hAnsi="Times New Roman" w:eastAsia="宋体" w:cs="Times New Roman"/>
                <w:color w:val="auto"/>
                <w:sz w:val="24"/>
                <w:szCs w:val="24"/>
                <w:lang w:eastAsia="zh-CN"/>
              </w:rPr>
              <w:t>中粮油脂重庆新建</w:t>
            </w:r>
            <w:r>
              <w:rPr>
                <w:rFonts w:hint="default" w:ascii="Times New Roman" w:hAnsi="Times New Roman" w:eastAsia="宋体" w:cs="Times New Roman"/>
                <w:color w:val="auto"/>
                <w:sz w:val="24"/>
                <w:szCs w:val="24"/>
                <w:lang w:val="en-US" w:eastAsia="zh-CN"/>
              </w:rPr>
              <w:t>膨化大豆粉生产线及磷脂生产线项目</w:t>
            </w:r>
            <w:r>
              <w:rPr>
                <w:rFonts w:hint="eastAsia"/>
                <w:color w:val="auto"/>
                <w:sz w:val="24"/>
                <w:szCs w:val="24"/>
                <w:lang w:val="en-US" w:eastAsia="zh-CN"/>
              </w:rPr>
              <w:t>”</w:t>
            </w:r>
            <w:r>
              <w:rPr>
                <w:rFonts w:hint="default" w:ascii="Times New Roman" w:hAnsi="Times New Roman" w:cs="Times New Roman"/>
                <w:color w:val="auto"/>
                <w:sz w:val="24"/>
                <w:szCs w:val="24"/>
              </w:rPr>
              <w:t>（以下简称“</w:t>
            </w:r>
            <w:r>
              <w:rPr>
                <w:rFonts w:hint="eastAsia" w:cs="Times New Roman"/>
                <w:color w:val="auto"/>
                <w:sz w:val="24"/>
                <w:szCs w:val="24"/>
                <w:lang w:eastAsia="zh-CN"/>
              </w:rPr>
              <w:t>本项目</w:t>
            </w:r>
            <w:r>
              <w:rPr>
                <w:rFonts w:hint="default" w:ascii="Times New Roman" w:hAnsi="Times New Roman" w:cs="Times New Roman"/>
                <w:color w:val="auto"/>
                <w:sz w:val="24"/>
                <w:szCs w:val="24"/>
              </w:rPr>
              <w:t>”）</w:t>
            </w:r>
            <w:r>
              <w:rPr>
                <w:rFonts w:hint="eastAsia" w:cs="Times New Roman"/>
                <w:color w:val="auto"/>
                <w:sz w:val="24"/>
                <w:szCs w:val="24"/>
                <w:lang w:eastAsia="zh-CN"/>
              </w:rPr>
              <w:t>，本项目新增</w:t>
            </w:r>
            <w:r>
              <w:rPr>
                <w:rFonts w:hint="eastAsia" w:cs="Times New Roman"/>
                <w:color w:val="auto"/>
                <w:sz w:val="24"/>
                <w:szCs w:val="24"/>
                <w:lang w:val="en-US" w:eastAsia="zh-CN"/>
              </w:rPr>
              <w:t>1条大豆粉膨化生产线；</w:t>
            </w:r>
            <w:r>
              <w:rPr>
                <w:rFonts w:hint="eastAsia" w:cs="Times New Roman"/>
                <w:color w:val="auto"/>
                <w:sz w:val="24"/>
                <w:szCs w:val="24"/>
                <w:lang w:val="en-US" w:eastAsia="zh-CN"/>
              </w:rPr>
              <w:t>另外对现有的精炼生产线进行技术改造，酸化工序前新增1条磷脂线分线，磷脂分线的主要作用是将毛油中的磷脂分离出来，</w:t>
            </w:r>
            <w:r>
              <w:rPr>
                <w:rFonts w:hint="eastAsia" w:ascii="Times New Roman" w:cs="Times New Roman"/>
                <w:color w:val="auto"/>
                <w:sz w:val="24"/>
                <w:szCs w:val="24"/>
                <w:lang w:val="en-US" w:eastAsia="zh-CN"/>
              </w:rPr>
              <w:t>经浓缩后得到副产品磷脂</w:t>
            </w:r>
            <w:r>
              <w:rPr>
                <w:rFonts w:hint="eastAsia" w:cs="Times New Roman"/>
                <w:color w:val="auto"/>
                <w:sz w:val="24"/>
                <w:szCs w:val="24"/>
                <w:lang w:val="en-US" w:eastAsia="zh-CN"/>
              </w:rPr>
              <w:t>，从而减少固体废物皂脚的产生量，毛油进入磷脂分线后通过离心分离得到油脚、脱胶油，油脚再进行深加工得到磷脂，脱胶油则进入精炼线后续的生产工序得到大豆油</w:t>
            </w:r>
            <w:r>
              <w:rPr>
                <w:rFonts w:hint="eastAsia" w:cs="Times New Roman"/>
                <w:color w:val="auto"/>
                <w:sz w:val="24"/>
                <w:szCs w:val="24"/>
                <w:lang w:eastAsia="zh-CN"/>
              </w:rPr>
              <w:t>。</w:t>
            </w:r>
            <w:r>
              <w:rPr>
                <w:rFonts w:hint="default" w:ascii="Times New Roman" w:hAnsi="Times New Roman" w:cs="Times New Roman"/>
                <w:color w:val="auto"/>
                <w:sz w:val="24"/>
                <w:szCs w:val="24"/>
              </w:rPr>
              <w:t>本项目已获得《重庆市企业投资项目备案证</w:t>
            </w:r>
            <w:r>
              <w:rPr>
                <w:rFonts w:hint="default" w:ascii="Times New Roman" w:hAnsi="Times New Roman" w:cs="Times New Roman"/>
                <w:color w:val="auto"/>
                <w:sz w:val="24"/>
                <w:szCs w:val="24"/>
                <w:highlight w:val="none"/>
              </w:rPr>
              <w:t>》（备案证号：</w:t>
            </w:r>
            <w:r>
              <w:rPr>
                <w:rFonts w:hint="eastAsia"/>
                <w:color w:val="auto"/>
                <w:highlight w:val="none"/>
                <w:lang w:val="en-US" w:eastAsia="zh-CN"/>
              </w:rPr>
              <w:t>2407-500102-04-05-983967</w:t>
            </w:r>
            <w:r>
              <w:rPr>
                <w:rFonts w:hint="default" w:ascii="Times New Roman" w:hAnsi="Times New Roman" w:cs="Times New Roman"/>
                <w:color w:val="auto"/>
                <w:sz w:val="24"/>
                <w:szCs w:val="24"/>
                <w:highlight w:val="none"/>
              </w:rPr>
              <w:t>）。</w:t>
            </w:r>
          </w:p>
          <w:p w14:paraId="365706C8">
            <w:pPr>
              <w:ind w:firstLine="480"/>
              <w:rPr>
                <w:rFonts w:hint="eastAsia" w:ascii="Times New Roman" w:hAnsi="Times New Roman" w:eastAsia="宋体" w:cs="Times New Roman"/>
                <w:b/>
                <w:bCs/>
                <w:color w:val="auto"/>
                <w:sz w:val="24"/>
                <w:highlight w:val="yellow"/>
                <w:lang w:val="en-US" w:eastAsia="zh-CN"/>
              </w:rPr>
            </w:pPr>
            <w:r>
              <w:rPr>
                <w:rFonts w:hint="default" w:ascii="Times New Roman" w:hAnsi="Times New Roman" w:cs="Times New Roman"/>
                <w:color w:val="auto"/>
                <w:kern w:val="0"/>
                <w:sz w:val="24"/>
                <w:highlight w:val="none"/>
              </w:rPr>
              <w:t>根据《</w:t>
            </w:r>
            <w:r>
              <w:rPr>
                <w:rFonts w:hint="eastAsia" w:eastAsia="宋体" w:cs="Times New Roman"/>
                <w:color w:val="auto"/>
                <w:kern w:val="0"/>
                <w:sz w:val="24"/>
                <w:highlight w:val="none"/>
                <w:lang w:eastAsia="zh-CN"/>
              </w:rPr>
              <w:t>中华人民共和国环境保护法</w:t>
            </w:r>
            <w:r>
              <w:rPr>
                <w:rFonts w:hint="default" w:ascii="Times New Roman" w:hAnsi="Times New Roman" w:cs="Times New Roman"/>
                <w:color w:val="auto"/>
                <w:kern w:val="0"/>
                <w:sz w:val="24"/>
              </w:rPr>
              <w:t>》、《中华人民共和国环境影响评价法》、《建设项目环境保护管理条例》等法律法规的要求，本项目应开展环境影响评价。</w:t>
            </w:r>
            <w:r>
              <w:rPr>
                <w:rFonts w:hint="default" w:ascii="Times New Roman" w:hAnsi="Times New Roman" w:cs="Times New Roman"/>
                <w:color w:val="auto"/>
                <w:sz w:val="24"/>
              </w:rPr>
              <w:t>根据《建设项目环境影响评价分类管理名录》（2021年版），本项目属于分类管理名录中“</w:t>
            </w:r>
            <w:r>
              <w:rPr>
                <w:rFonts w:hint="default" w:ascii="Times New Roman" w:hAnsi="Times New Roman" w:cs="Times New Roman"/>
                <w:color w:val="auto"/>
                <w:sz w:val="24"/>
                <w:lang w:eastAsia="zh-CN"/>
              </w:rPr>
              <w:t>十</w:t>
            </w:r>
            <w:r>
              <w:rPr>
                <w:rFonts w:hint="default" w:ascii="Times New Roman" w:hAnsi="Times New Roman" w:cs="Times New Roman"/>
                <w:color w:val="auto"/>
                <w:sz w:val="24"/>
              </w:rPr>
              <w:t>、</w:t>
            </w:r>
            <w:r>
              <w:rPr>
                <w:rFonts w:hint="eastAsia" w:cs="Times New Roman"/>
                <w:color w:val="auto"/>
                <w:sz w:val="24"/>
                <w:lang w:eastAsia="zh-CN"/>
              </w:rPr>
              <w:t>农副食品加工业</w:t>
            </w:r>
            <w:r>
              <w:rPr>
                <w:rFonts w:hint="default" w:ascii="Times New Roman" w:hAnsi="Times New Roman" w:cs="Times New Roman"/>
                <w:color w:val="auto"/>
                <w:sz w:val="24"/>
              </w:rPr>
              <w:t>—</w:t>
            </w:r>
            <w:r>
              <w:rPr>
                <w:color w:val="auto"/>
                <w:sz w:val="24"/>
              </w:rPr>
              <w:t>—</w:t>
            </w:r>
            <w:r>
              <w:rPr>
                <w:rFonts w:hint="eastAsia" w:eastAsia="宋体"/>
                <w:color w:val="auto"/>
                <w:sz w:val="24"/>
                <w:lang w:val="en-US" w:eastAsia="zh-CN"/>
              </w:rPr>
              <w:t>16植物油加工133</w:t>
            </w:r>
            <w:r>
              <w:rPr>
                <w:color w:val="auto"/>
                <w:kern w:val="0"/>
                <w:sz w:val="24"/>
                <w:lang w:bidi="ar"/>
              </w:rPr>
              <w:t>；</w:t>
            </w:r>
            <w:r>
              <w:rPr>
                <w:rFonts w:hint="default" w:ascii="Times New Roman" w:hAnsi="Times New Roman" w:cs="Times New Roman"/>
                <w:color w:val="auto"/>
                <w:sz w:val="24"/>
              </w:rPr>
              <w:t>—</w:t>
            </w:r>
            <w:r>
              <w:rPr>
                <w:color w:val="auto"/>
                <w:sz w:val="24"/>
              </w:rPr>
              <w:t>—</w:t>
            </w:r>
            <w:r>
              <w:rPr>
                <w:rFonts w:hint="eastAsia" w:eastAsia="宋体"/>
                <w:b/>
                <w:bCs/>
                <w:color w:val="auto"/>
                <w:sz w:val="24"/>
                <w:lang w:eastAsia="zh-CN"/>
              </w:rPr>
              <w:t>除单纯分装、调和外的</w:t>
            </w:r>
            <w:r>
              <w:rPr>
                <w:color w:val="auto"/>
                <w:sz w:val="24"/>
              </w:rPr>
              <w:t>”</w:t>
            </w:r>
            <w:r>
              <w:rPr>
                <w:rFonts w:hint="eastAsia" w:eastAsia="宋体"/>
                <w:color w:val="auto"/>
                <w:sz w:val="24"/>
                <w:lang w:eastAsia="zh-CN"/>
              </w:rPr>
              <w:t>；</w:t>
            </w:r>
            <w:r>
              <w:rPr>
                <w:rFonts w:hint="default" w:ascii="Times New Roman" w:hAnsi="Times New Roman" w:cs="Times New Roman"/>
                <w:color w:val="auto"/>
                <w:sz w:val="24"/>
                <w:highlight w:val="none"/>
                <w:lang w:eastAsia="zh-CN"/>
              </w:rPr>
              <w:t>本项目应编制“环境影响报告表”</w:t>
            </w:r>
            <w:r>
              <w:rPr>
                <w:rFonts w:hint="default" w:ascii="Times New Roman" w:hAnsi="Times New Roman" w:cs="Times New Roman"/>
                <w:color w:val="auto"/>
                <w:sz w:val="24"/>
                <w:highlight w:val="none"/>
              </w:rPr>
              <w:t>。</w:t>
            </w:r>
          </w:p>
          <w:p w14:paraId="75C97CE2">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default" w:ascii="Times New Roman" w:hAnsi="Times New Roman" w:cs="Times New Roman"/>
                <w:b/>
                <w:bCs/>
                <w:color w:val="auto"/>
                <w:sz w:val="24"/>
                <w:szCs w:val="24"/>
              </w:rPr>
            </w:pPr>
            <w:r>
              <w:rPr>
                <w:rFonts w:hint="eastAsia" w:eastAsia="宋体" w:cs="Times New Roman"/>
                <w:b/>
                <w:bCs/>
                <w:color w:val="auto"/>
                <w:sz w:val="24"/>
                <w:szCs w:val="24"/>
                <w:lang w:val="en-US" w:eastAsia="zh-CN"/>
              </w:rPr>
              <w:t>2.</w:t>
            </w:r>
            <w:r>
              <w:rPr>
                <w:rFonts w:hint="default" w:ascii="Times New Roman" w:hAnsi="Times New Roman" w:cs="Times New Roman"/>
                <w:b/>
                <w:bCs/>
                <w:color w:val="auto"/>
                <w:sz w:val="24"/>
                <w:szCs w:val="24"/>
              </w:rPr>
              <w:t>项目组成</w:t>
            </w:r>
          </w:p>
          <w:p w14:paraId="02859013">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iCs/>
                <w:color w:val="auto"/>
                <w:kern w:val="0"/>
                <w:sz w:val="24"/>
                <w:szCs w:val="24"/>
              </w:rPr>
            </w:pPr>
            <w:r>
              <w:rPr>
                <w:color w:val="auto"/>
                <w:kern w:val="0"/>
                <w:sz w:val="24"/>
                <w:szCs w:val="24"/>
              </w:rPr>
              <w:t>项目名称：</w:t>
            </w:r>
            <w:r>
              <w:rPr>
                <w:rFonts w:hint="default" w:ascii="Times New Roman" w:hAnsi="Times New Roman" w:eastAsia="宋体" w:cs="Times New Roman"/>
                <w:color w:val="auto"/>
                <w:sz w:val="24"/>
                <w:szCs w:val="24"/>
                <w:lang w:eastAsia="zh-CN"/>
              </w:rPr>
              <w:t>中粮油脂重庆新建</w:t>
            </w:r>
            <w:r>
              <w:rPr>
                <w:rFonts w:hint="default" w:ascii="Times New Roman" w:hAnsi="Times New Roman" w:eastAsia="宋体" w:cs="Times New Roman"/>
                <w:color w:val="auto"/>
                <w:sz w:val="24"/>
                <w:szCs w:val="24"/>
                <w:lang w:val="en-US" w:eastAsia="zh-CN"/>
              </w:rPr>
              <w:t>膨化大豆粉生产线及磷脂生产线项目</w:t>
            </w:r>
          </w:p>
          <w:p w14:paraId="064CA21A">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iCs/>
                <w:color w:val="auto"/>
                <w:kern w:val="0"/>
                <w:sz w:val="24"/>
                <w:szCs w:val="24"/>
              </w:rPr>
            </w:pPr>
            <w:r>
              <w:rPr>
                <w:iCs/>
                <w:color w:val="auto"/>
                <w:kern w:val="0"/>
                <w:sz w:val="24"/>
                <w:szCs w:val="24"/>
              </w:rPr>
              <w:t>建设单位：</w:t>
            </w:r>
            <w:r>
              <w:rPr>
                <w:rFonts w:hint="default" w:ascii="Times New Roman" w:hAnsi="Times New Roman" w:cs="Times New Roman"/>
                <w:color w:val="auto"/>
                <w:sz w:val="24"/>
                <w:szCs w:val="24"/>
              </w:rPr>
              <w:t>中粮油脂（重庆）有限公司</w:t>
            </w:r>
          </w:p>
          <w:p w14:paraId="1AB01CB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eastAsia="宋体"/>
                <w:iCs/>
                <w:color w:val="auto"/>
                <w:kern w:val="0"/>
                <w:sz w:val="24"/>
                <w:szCs w:val="24"/>
                <w:lang w:val="en-US" w:eastAsia="zh-CN"/>
              </w:rPr>
            </w:pPr>
            <w:r>
              <w:rPr>
                <w:iCs/>
                <w:color w:val="auto"/>
                <w:kern w:val="0"/>
                <w:sz w:val="24"/>
                <w:szCs w:val="24"/>
              </w:rPr>
              <w:t>项目性质：</w:t>
            </w:r>
            <w:r>
              <w:rPr>
                <w:rFonts w:hint="eastAsia"/>
                <w:iCs/>
                <w:color w:val="auto"/>
                <w:kern w:val="0"/>
                <w:sz w:val="24"/>
                <w:szCs w:val="24"/>
                <w:lang w:eastAsia="zh-CN"/>
              </w:rPr>
              <w:t>改扩建</w:t>
            </w:r>
          </w:p>
          <w:p w14:paraId="74A2C6A7">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color w:val="auto"/>
                <w:kern w:val="0"/>
                <w:sz w:val="24"/>
                <w:szCs w:val="24"/>
              </w:rPr>
            </w:pPr>
            <w:r>
              <w:rPr>
                <w:iCs/>
                <w:color w:val="auto"/>
                <w:kern w:val="0"/>
                <w:sz w:val="24"/>
                <w:szCs w:val="24"/>
              </w:rPr>
              <w:t>建设地点：</w:t>
            </w:r>
            <w:r>
              <w:rPr>
                <w:rFonts w:hint="default" w:ascii="Times New Roman" w:hAnsi="Times New Roman" w:cs="Times New Roman"/>
                <w:color w:val="auto"/>
                <w:sz w:val="24"/>
                <w:szCs w:val="24"/>
              </w:rPr>
              <w:t>重庆市涪陵区龙桥镇龙兴东路88号</w:t>
            </w:r>
          </w:p>
          <w:p w14:paraId="06A6A220">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default" w:ascii="Times New Roman" w:hAnsi="Times New Roman" w:cs="Times New Roman"/>
                <w:color w:val="auto"/>
                <w:kern w:val="0"/>
                <w:sz w:val="24"/>
                <w:szCs w:val="24"/>
                <w:highlight w:val="none"/>
              </w:rPr>
            </w:pPr>
            <w:r>
              <w:rPr>
                <w:color w:val="auto"/>
                <w:kern w:val="0"/>
                <w:sz w:val="24"/>
                <w:szCs w:val="24"/>
              </w:rPr>
              <w:t>总 投</w:t>
            </w:r>
            <w:r>
              <w:rPr>
                <w:rFonts w:hint="default" w:ascii="Times New Roman" w:hAnsi="Times New Roman" w:cs="Times New Roman"/>
                <w:color w:val="auto"/>
                <w:kern w:val="0"/>
                <w:sz w:val="24"/>
                <w:szCs w:val="24"/>
              </w:rPr>
              <w:t xml:space="preserve"> 资：</w:t>
            </w:r>
            <w:r>
              <w:rPr>
                <w:rFonts w:hint="eastAsia" w:cs="Times New Roman"/>
                <w:color w:val="auto"/>
                <w:kern w:val="0"/>
                <w:sz w:val="24"/>
                <w:szCs w:val="24"/>
                <w:highlight w:val="none"/>
                <w:lang w:val="en-US" w:eastAsia="zh-CN"/>
              </w:rPr>
              <w:t>3000</w:t>
            </w:r>
            <w:r>
              <w:rPr>
                <w:rFonts w:hint="default" w:ascii="Times New Roman" w:hAnsi="Times New Roman" w:cs="Times New Roman"/>
                <w:color w:val="auto"/>
                <w:kern w:val="0"/>
                <w:sz w:val="24"/>
                <w:szCs w:val="24"/>
                <w:highlight w:val="none"/>
              </w:rPr>
              <w:t>万元</w:t>
            </w:r>
          </w:p>
          <w:p w14:paraId="745216C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eastAsia="宋体" w:cs="Times New Roman"/>
                <w:color w:val="auto"/>
                <w:kern w:val="0"/>
                <w:sz w:val="24"/>
                <w:szCs w:val="24"/>
                <w:highlight w:val="yellow"/>
                <w:lang w:eastAsia="zh-CN"/>
              </w:rPr>
            </w:pPr>
            <w:r>
              <w:rPr>
                <w:rFonts w:hint="default" w:ascii="Times New Roman" w:hAnsi="Times New Roman" w:eastAsia="宋体" w:cs="Times New Roman"/>
                <w:b w:val="0"/>
                <w:bCs w:val="0"/>
                <w:color w:val="auto"/>
                <w:sz w:val="24"/>
                <w:szCs w:val="24"/>
              </w:rPr>
              <w:t>劳动定员及工作制度</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cs="Times New Roman"/>
                <w:color w:val="auto"/>
                <w:sz w:val="24"/>
                <w:szCs w:val="24"/>
              </w:rPr>
              <w:t>现有工程配备员工</w:t>
            </w:r>
            <w:r>
              <w:rPr>
                <w:rFonts w:hint="default" w:ascii="Times New Roman" w:hAnsi="Times New Roman" w:cs="Times New Roman"/>
                <w:color w:val="auto"/>
                <w:sz w:val="24"/>
                <w:szCs w:val="24"/>
                <w:lang w:val="en-US" w:eastAsia="zh-CN"/>
              </w:rPr>
              <w:t>218</w:t>
            </w:r>
            <w:r>
              <w:rPr>
                <w:rFonts w:hint="default" w:ascii="Times New Roman" w:hAnsi="Times New Roman" w:cs="Times New Roman"/>
                <w:color w:val="auto"/>
                <w:sz w:val="24"/>
                <w:szCs w:val="24"/>
              </w:rPr>
              <w:t>人，通过厂区内人员结构调整</w:t>
            </w:r>
            <w:r>
              <w:rPr>
                <w:rFonts w:hint="eastAsia" w:eastAsia="宋体" w:cs="Times New Roman"/>
                <w:color w:val="auto"/>
                <w:sz w:val="24"/>
                <w:szCs w:val="24"/>
                <w:lang w:eastAsia="zh-CN"/>
              </w:rPr>
              <w:t>，</w:t>
            </w:r>
            <w:r>
              <w:rPr>
                <w:rFonts w:hint="default" w:ascii="Times New Roman" w:hAnsi="Times New Roman" w:cs="Times New Roman"/>
                <w:b w:val="0"/>
                <w:bCs w:val="0"/>
                <w:color w:val="auto"/>
                <w:sz w:val="24"/>
                <w:szCs w:val="24"/>
                <w:lang w:eastAsia="zh-CN"/>
              </w:rPr>
              <w:t>不新增劳动定员</w:t>
            </w:r>
            <w:r>
              <w:rPr>
                <w:rFonts w:hint="default" w:ascii="Times New Roman" w:hAnsi="Times New Roman" w:cs="Times New Roman"/>
                <w:color w:val="auto"/>
                <w:kern w:val="0"/>
                <w:sz w:val="24"/>
                <w:szCs w:val="24"/>
              </w:rPr>
              <w:t>；</w:t>
            </w:r>
            <w:r>
              <w:rPr>
                <w:rFonts w:hint="eastAsia" w:cs="Times New Roman"/>
                <w:color w:val="auto"/>
                <w:kern w:val="0"/>
                <w:sz w:val="24"/>
                <w:szCs w:val="24"/>
                <w:lang w:eastAsia="zh-CN"/>
              </w:rPr>
              <w:t>本</w:t>
            </w:r>
            <w:r>
              <w:rPr>
                <w:rFonts w:hint="default" w:ascii="Times New Roman" w:hAnsi="Times New Roman" w:cs="Times New Roman"/>
                <w:color w:val="auto"/>
                <w:kern w:val="0"/>
                <w:sz w:val="24"/>
                <w:szCs w:val="24"/>
              </w:rPr>
              <w:t>项目实行</w:t>
            </w:r>
            <w:r>
              <w:rPr>
                <w:rFonts w:hint="eastAsia" w:cs="Times New Roman"/>
                <w:color w:val="auto"/>
                <w:kern w:val="0"/>
                <w:sz w:val="24"/>
                <w:szCs w:val="24"/>
                <w:lang w:val="en-US" w:eastAsia="zh-CN"/>
              </w:rPr>
              <w:t>2</w:t>
            </w:r>
            <w:r>
              <w:rPr>
                <w:rFonts w:hint="default" w:ascii="Times New Roman" w:hAnsi="Times New Roman" w:cs="Times New Roman"/>
                <w:color w:val="auto"/>
                <w:kern w:val="0"/>
                <w:sz w:val="24"/>
                <w:szCs w:val="24"/>
              </w:rPr>
              <w:t>班制，每班工作时间为</w:t>
            </w:r>
            <w:r>
              <w:rPr>
                <w:rFonts w:hint="eastAsia" w:eastAsia="宋体" w:cs="Times New Roman"/>
                <w:color w:val="auto"/>
                <w:kern w:val="0"/>
                <w:sz w:val="24"/>
                <w:szCs w:val="24"/>
                <w:lang w:val="en-US" w:eastAsia="zh-CN"/>
              </w:rPr>
              <w:t>12</w:t>
            </w:r>
            <w:r>
              <w:rPr>
                <w:rFonts w:hint="default" w:ascii="Times New Roman" w:hAnsi="Times New Roman" w:cs="Times New Roman"/>
                <w:color w:val="auto"/>
                <w:kern w:val="0"/>
                <w:sz w:val="24"/>
                <w:szCs w:val="24"/>
              </w:rPr>
              <w:t>小时，</w:t>
            </w:r>
            <w:r>
              <w:rPr>
                <w:rFonts w:hint="eastAsia" w:ascii="Times New Roman" w:cs="Times New Roman"/>
                <w:b w:val="0"/>
                <w:bCs w:val="0"/>
                <w:color w:val="auto"/>
                <w:sz w:val="24"/>
                <w:szCs w:val="24"/>
                <w:lang w:val="en-US" w:eastAsia="zh-CN"/>
              </w:rPr>
              <w:t>由于磷脂分线仅加工毛油，磷脂分线全年工作天数为</w:t>
            </w:r>
            <w:r>
              <w:rPr>
                <w:rFonts w:hint="eastAsia" w:cs="Times New Roman"/>
                <w:b w:val="0"/>
                <w:bCs w:val="0"/>
                <w:color w:val="auto"/>
                <w:sz w:val="24"/>
                <w:szCs w:val="24"/>
                <w:lang w:val="en-US" w:eastAsia="zh-CN"/>
              </w:rPr>
              <w:t>295</w:t>
            </w:r>
            <w:r>
              <w:rPr>
                <w:rFonts w:hint="eastAsia" w:ascii="Times New Roman" w:cs="Times New Roman"/>
                <w:b w:val="0"/>
                <w:bCs w:val="0"/>
                <w:color w:val="auto"/>
                <w:sz w:val="24"/>
                <w:szCs w:val="24"/>
                <w:lang w:val="en-US" w:eastAsia="zh-CN"/>
              </w:rPr>
              <w:t>天</w:t>
            </w:r>
            <w:r>
              <w:rPr>
                <w:rFonts w:hint="eastAsia" w:eastAsia="宋体" w:cs="Times New Roman"/>
                <w:color w:val="auto"/>
                <w:kern w:val="0"/>
                <w:sz w:val="24"/>
                <w:szCs w:val="24"/>
                <w:highlight w:val="none"/>
                <w:lang w:val="en-US" w:eastAsia="zh-CN"/>
              </w:rPr>
              <w:t>，</w:t>
            </w:r>
            <w:r>
              <w:rPr>
                <w:rFonts w:hint="eastAsia" w:eastAsia="宋体" w:cs="Times New Roman"/>
                <w:color w:val="auto"/>
                <w:kern w:val="0"/>
                <w:sz w:val="24"/>
                <w:szCs w:val="24"/>
                <w:lang w:val="en-US" w:eastAsia="zh-CN"/>
              </w:rPr>
              <w:t>其他工序</w:t>
            </w:r>
            <w:r>
              <w:rPr>
                <w:rFonts w:hint="default" w:ascii="Times New Roman" w:hAnsi="Times New Roman" w:cs="Times New Roman"/>
                <w:color w:val="auto"/>
                <w:kern w:val="0"/>
                <w:sz w:val="24"/>
                <w:szCs w:val="24"/>
              </w:rPr>
              <w:t>全年工作天数为300天。</w:t>
            </w:r>
          </w:p>
          <w:p w14:paraId="1CFDB2F8">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lang w:val="en-US" w:eastAsia="zh-CN"/>
              </w:rPr>
            </w:pPr>
            <w:r>
              <w:rPr>
                <w:rFonts w:hint="default" w:ascii="Times New Roman" w:hAnsi="Times New Roman" w:eastAsia="宋体" w:cs="Times New Roman"/>
                <w:b w:val="0"/>
                <w:bCs w:val="0"/>
                <w:color w:val="auto"/>
                <w:sz w:val="24"/>
                <w:szCs w:val="24"/>
              </w:rPr>
              <w:t>产品方案</w:t>
            </w:r>
            <w:r>
              <w:rPr>
                <w:rFonts w:hint="eastAsia" w:ascii="Times New Roman" w:eastAsia="宋体" w:cs="Times New Roman"/>
                <w:b w:val="0"/>
                <w:bCs w:val="0"/>
                <w:color w:val="auto"/>
                <w:sz w:val="24"/>
                <w:szCs w:val="24"/>
                <w:lang w:eastAsia="zh-CN"/>
              </w:rPr>
              <w:t>：新增的大豆膨化生产线以大豆为原材料生产大豆粉；精炼生产线以企业自产毛油、外购毛油、外购脱胶油为原材料，精炼生产线增加</w:t>
            </w:r>
            <w:r>
              <w:rPr>
                <w:rFonts w:hint="eastAsia" w:ascii="Times New Roman" w:eastAsia="宋体" w:cs="Times New Roman"/>
                <w:b w:val="0"/>
                <w:bCs w:val="0"/>
                <w:color w:val="auto"/>
                <w:sz w:val="24"/>
                <w:szCs w:val="24"/>
                <w:lang w:val="en-US" w:eastAsia="zh-CN"/>
              </w:rPr>
              <w:t>1条</w:t>
            </w:r>
            <w:r>
              <w:rPr>
                <w:rFonts w:hint="eastAsia" w:ascii="Times New Roman" w:eastAsia="宋体" w:cs="Times New Roman"/>
                <w:b w:val="0"/>
                <w:bCs w:val="0"/>
                <w:color w:val="auto"/>
                <w:sz w:val="24"/>
                <w:szCs w:val="24"/>
                <w:lang w:eastAsia="zh-CN"/>
              </w:rPr>
              <w:t>磷脂分线，</w:t>
            </w:r>
            <w:r>
              <w:rPr>
                <w:rFonts w:hint="eastAsia" w:cs="Times New Roman"/>
                <w:color w:val="auto"/>
                <w:sz w:val="24"/>
                <w:szCs w:val="24"/>
                <w:lang w:val="en-US" w:eastAsia="zh-CN"/>
              </w:rPr>
              <w:t>磷脂分线的主要作用是将毛油中的磷脂分离处理，</w:t>
            </w:r>
            <w:r>
              <w:rPr>
                <w:rFonts w:hint="eastAsia" w:ascii="Times New Roman" w:cs="Times New Roman"/>
                <w:color w:val="auto"/>
                <w:sz w:val="24"/>
                <w:szCs w:val="24"/>
                <w:lang w:val="en-US" w:eastAsia="zh-CN"/>
              </w:rPr>
              <w:t>经浓缩后得到副产品磷脂，</w:t>
            </w:r>
            <w:r>
              <w:rPr>
                <w:rFonts w:hint="eastAsia" w:cs="Times New Roman"/>
                <w:color w:val="auto"/>
                <w:sz w:val="24"/>
                <w:szCs w:val="24"/>
                <w:lang w:val="en-US" w:eastAsia="zh-CN"/>
              </w:rPr>
              <w:t>从而减少固体废物皂脚的产生量，毛油进入磷脂分线后通过离心分离得到油脚、脱胶油，油脚再进行深加工得到磷脂，脱胶油则进入精炼线后续的生产工序得到大豆油，外购</w:t>
            </w:r>
            <w:r>
              <w:rPr>
                <w:rFonts w:hint="eastAsia" w:ascii="Times New Roman" w:cs="Times New Roman"/>
                <w:color w:val="auto"/>
                <w:sz w:val="24"/>
                <w:szCs w:val="24"/>
                <w:lang w:val="en-US" w:eastAsia="zh-CN"/>
              </w:rPr>
              <w:t>脱胶油则不进入磷脂分线，直接进入精炼线主线进行加工得到成品大豆油。</w:t>
            </w:r>
            <w:r>
              <w:rPr>
                <w:rFonts w:hint="eastAsia" w:ascii="Times New Roman" w:eastAsia="宋体" w:cs="Times New Roman"/>
                <w:b w:val="0"/>
                <w:bCs w:val="0"/>
                <w:color w:val="auto"/>
                <w:sz w:val="24"/>
                <w:szCs w:val="24"/>
                <w:lang w:eastAsia="zh-CN"/>
              </w:rPr>
              <w:t>精炼生产线技术改造完成后主产品为大豆油，副产品为大豆磷脂，</w:t>
            </w:r>
            <w:r>
              <w:rPr>
                <w:rFonts w:hint="eastAsia" w:cs="Times New Roman"/>
                <w:color w:val="auto"/>
                <w:sz w:val="24"/>
                <w:szCs w:val="24"/>
                <w:lang w:eastAsia="zh-CN"/>
              </w:rPr>
              <w:t>其</w:t>
            </w:r>
            <w:r>
              <w:rPr>
                <w:rFonts w:hint="default" w:ascii="Times New Roman" w:hAnsi="Times New Roman" w:cs="Times New Roman"/>
                <w:color w:val="auto"/>
                <w:sz w:val="24"/>
                <w:szCs w:val="24"/>
                <w:lang w:eastAsia="zh-CN"/>
              </w:rPr>
              <w:t>产品方案见表</w:t>
            </w:r>
            <w:r>
              <w:rPr>
                <w:rFonts w:hint="default" w:ascii="Times New Roman" w:hAnsi="Times New Roman" w:cs="Times New Roman"/>
                <w:color w:val="auto"/>
                <w:sz w:val="24"/>
                <w:szCs w:val="24"/>
                <w:lang w:val="en-US" w:eastAsia="zh-CN"/>
              </w:rPr>
              <w:t>2.</w:t>
            </w:r>
            <w:r>
              <w:rPr>
                <w:rFonts w:hint="eastAsia" w:ascii="Times New Roman" w:cs="Times New Roman"/>
                <w:color w:val="auto"/>
                <w:sz w:val="24"/>
                <w:szCs w:val="24"/>
                <w:lang w:val="en-US" w:eastAsia="zh-CN"/>
              </w:rPr>
              <w:t>2-1</w:t>
            </w:r>
            <w:r>
              <w:rPr>
                <w:rFonts w:hint="default" w:ascii="Times New Roman" w:hAnsi="Times New Roman" w:cs="Times New Roman"/>
                <w:color w:val="auto"/>
                <w:lang w:val="en-US" w:eastAsia="zh-CN"/>
              </w:rPr>
              <w:t>。</w:t>
            </w:r>
          </w:p>
          <w:p w14:paraId="01315CC3">
            <w:pPr>
              <w:keepNext w:val="0"/>
              <w:keepLines w:val="0"/>
              <w:pageBreakBefore w:val="0"/>
              <w:widowControl w:val="0"/>
              <w:kinsoku/>
              <w:wordWrap/>
              <w:overflowPunct/>
              <w:topLinePunct w:val="0"/>
              <w:bidi w:val="0"/>
              <w:adjustRightInd w:val="0"/>
              <w:snapToGrid w:val="0"/>
              <w:spacing w:line="360" w:lineRule="auto"/>
              <w:jc w:val="center"/>
              <w:textAlignment w:val="auto"/>
              <w:rPr>
                <w:rFonts w:hint="default" w:ascii="Times New Roman" w:hAnsi="Times New Roman" w:cs="Times New Roman"/>
                <w:iCs/>
                <w:color w:val="auto"/>
                <w:sz w:val="21"/>
                <w:szCs w:val="21"/>
                <w:highlight w:val="none"/>
              </w:rPr>
            </w:pPr>
            <w:r>
              <w:rPr>
                <w:rFonts w:hint="default" w:ascii="Times New Roman" w:hAnsi="Times New Roman" w:cs="Times New Roman"/>
                <w:iCs/>
                <w:color w:val="auto"/>
                <w:sz w:val="21"/>
                <w:szCs w:val="21"/>
                <w:highlight w:val="none"/>
              </w:rPr>
              <w:t>表</w:t>
            </w:r>
            <w:r>
              <w:rPr>
                <w:rFonts w:hint="default" w:ascii="Times New Roman" w:hAnsi="Times New Roman" w:cs="Times New Roman"/>
                <w:iCs/>
                <w:color w:val="auto"/>
                <w:sz w:val="21"/>
                <w:szCs w:val="21"/>
                <w:highlight w:val="none"/>
                <w:lang w:val="en-US" w:eastAsia="zh-CN"/>
              </w:rPr>
              <w:t>2.</w:t>
            </w:r>
            <w:r>
              <w:rPr>
                <w:rFonts w:hint="eastAsia" w:cs="Times New Roman"/>
                <w:iCs/>
                <w:color w:val="auto"/>
                <w:sz w:val="21"/>
                <w:szCs w:val="21"/>
                <w:highlight w:val="none"/>
                <w:lang w:val="en-US" w:eastAsia="zh-CN"/>
              </w:rPr>
              <w:t>2-1</w:t>
            </w:r>
            <w:r>
              <w:rPr>
                <w:rFonts w:hint="default" w:ascii="Times New Roman" w:hAnsi="Times New Roman" w:cs="Times New Roman"/>
                <w:iCs/>
                <w:color w:val="auto"/>
                <w:sz w:val="21"/>
                <w:szCs w:val="21"/>
                <w:highlight w:val="none"/>
              </w:rPr>
              <w:t xml:space="preserve"> </w:t>
            </w:r>
            <w:r>
              <w:rPr>
                <w:rFonts w:hint="eastAsia" w:ascii="Times New Roman" w:hAnsi="Times New Roman" w:cs="Times New Roman"/>
                <w:iCs/>
                <w:color w:val="auto"/>
                <w:sz w:val="21"/>
                <w:szCs w:val="21"/>
                <w:highlight w:val="none"/>
                <w:lang w:eastAsia="zh-CN"/>
              </w:rPr>
              <w:t>本项目</w:t>
            </w:r>
            <w:r>
              <w:rPr>
                <w:rFonts w:hint="default" w:ascii="Times New Roman" w:hAnsi="Times New Roman" w:cs="Times New Roman"/>
                <w:iCs/>
                <w:color w:val="auto"/>
                <w:sz w:val="21"/>
                <w:szCs w:val="21"/>
                <w:highlight w:val="none"/>
              </w:rPr>
              <w:t>产品方案</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36"/>
              <w:gridCol w:w="1201"/>
              <w:gridCol w:w="1197"/>
              <w:gridCol w:w="1675"/>
              <w:gridCol w:w="1675"/>
              <w:gridCol w:w="1201"/>
            </w:tblGrid>
            <w:tr w14:paraId="46490CE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pct"/>
                  <w:gridSpan w:val="2"/>
                  <w:tcBorders>
                    <w:top w:val="single" w:color="auto" w:sz="4" w:space="0"/>
                    <w:left w:val="nil"/>
                    <w:bottom w:val="single" w:color="auto" w:sz="4" w:space="0"/>
                    <w:right w:val="single" w:color="auto" w:sz="4" w:space="0"/>
                  </w:tcBorders>
                  <w:noWrap w:val="0"/>
                  <w:vAlign w:val="center"/>
                </w:tcPr>
                <w:p w14:paraId="5DEBCF58">
                  <w:pPr>
                    <w:pStyle w:val="3"/>
                    <w:bidi w:val="0"/>
                    <w:rPr>
                      <w:rFonts w:hint="eastAsia"/>
                      <w:color w:val="auto"/>
                      <w:lang w:eastAsia="zh-CN"/>
                    </w:rPr>
                  </w:pPr>
                  <w:r>
                    <w:rPr>
                      <w:rFonts w:hint="eastAsia"/>
                      <w:color w:val="auto"/>
                      <w:lang w:eastAsia="zh-CN"/>
                    </w:rPr>
                    <w:t>生产线</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5B2C9936">
                  <w:pPr>
                    <w:pStyle w:val="3"/>
                    <w:bidi w:val="0"/>
                    <w:rPr>
                      <w:rFonts w:hint="eastAsia"/>
                      <w:color w:val="auto"/>
                      <w:lang w:eastAsia="zh-CN"/>
                    </w:rPr>
                  </w:pPr>
                  <w:r>
                    <w:rPr>
                      <w:rFonts w:hint="eastAsia"/>
                      <w:color w:val="auto"/>
                      <w:lang w:eastAsia="zh-CN"/>
                    </w:rPr>
                    <w:t>产品名称</w:t>
                  </w:r>
                </w:p>
              </w:tc>
              <w:tc>
                <w:tcPr>
                  <w:tcW w:w="999" w:type="pct"/>
                  <w:tcBorders>
                    <w:top w:val="single" w:color="auto" w:sz="4" w:space="0"/>
                    <w:left w:val="single" w:color="auto" w:sz="4" w:space="0"/>
                    <w:bottom w:val="single" w:color="auto" w:sz="4" w:space="0"/>
                    <w:right w:val="nil"/>
                  </w:tcBorders>
                  <w:noWrap w:val="0"/>
                  <w:vAlign w:val="center"/>
                </w:tcPr>
                <w:p w14:paraId="3A1B28C8">
                  <w:pPr>
                    <w:pStyle w:val="3"/>
                    <w:bidi w:val="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改扩建前</w:t>
                  </w:r>
                </w:p>
              </w:tc>
              <w:tc>
                <w:tcPr>
                  <w:tcW w:w="999" w:type="pct"/>
                  <w:tcBorders>
                    <w:top w:val="single" w:color="auto" w:sz="4" w:space="0"/>
                    <w:left w:val="single" w:color="auto" w:sz="4" w:space="0"/>
                    <w:bottom w:val="single" w:color="auto" w:sz="4" w:space="0"/>
                    <w:right w:val="nil"/>
                  </w:tcBorders>
                  <w:noWrap w:val="0"/>
                  <w:vAlign w:val="center"/>
                </w:tcPr>
                <w:p w14:paraId="490AD5E8">
                  <w:pPr>
                    <w:pStyle w:val="3"/>
                    <w:bidi w:val="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改扩建后</w:t>
                  </w:r>
                </w:p>
              </w:tc>
              <w:tc>
                <w:tcPr>
                  <w:tcW w:w="714" w:type="pct"/>
                  <w:tcBorders>
                    <w:top w:val="single" w:color="auto" w:sz="4" w:space="0"/>
                    <w:left w:val="single" w:color="auto" w:sz="4" w:space="0"/>
                    <w:bottom w:val="single" w:color="auto" w:sz="4" w:space="0"/>
                    <w:right w:val="nil"/>
                  </w:tcBorders>
                  <w:noWrap w:val="0"/>
                  <w:vAlign w:val="center"/>
                </w:tcPr>
                <w:p w14:paraId="1E387D9E">
                  <w:pPr>
                    <w:pStyle w:val="3"/>
                    <w:bidi w:val="0"/>
                    <w:rPr>
                      <w:rFonts w:hint="eastAsia"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变化情况</w:t>
                  </w:r>
                </w:p>
              </w:tc>
            </w:tr>
            <w:tr w14:paraId="2250D2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72" w:type="pct"/>
                  <w:gridSpan w:val="2"/>
                  <w:tcBorders>
                    <w:top w:val="single" w:color="auto" w:sz="4" w:space="0"/>
                    <w:left w:val="nil"/>
                    <w:right w:val="single" w:color="auto" w:sz="4" w:space="0"/>
                  </w:tcBorders>
                  <w:noWrap w:val="0"/>
                  <w:vAlign w:val="center"/>
                </w:tcPr>
                <w:p w14:paraId="3096920F">
                  <w:pPr>
                    <w:pStyle w:val="3"/>
                    <w:bidi w:val="0"/>
                    <w:rPr>
                      <w:rFonts w:hint="default"/>
                      <w:color w:val="auto"/>
                      <w:lang w:val="en-US" w:eastAsia="zh-CN"/>
                    </w:rPr>
                  </w:pPr>
                  <w:r>
                    <w:rPr>
                      <w:rFonts w:hint="eastAsia"/>
                      <w:color w:val="auto"/>
                      <w:lang w:val="en-US" w:eastAsia="zh-CN"/>
                    </w:rPr>
                    <w:t>大豆膨化线</w:t>
                  </w:r>
                </w:p>
              </w:tc>
              <w:tc>
                <w:tcPr>
                  <w:tcW w:w="714" w:type="pct"/>
                  <w:tcBorders>
                    <w:top w:val="single" w:color="auto" w:sz="4" w:space="0"/>
                    <w:left w:val="single" w:color="auto" w:sz="4" w:space="0"/>
                    <w:right w:val="single" w:color="auto" w:sz="4" w:space="0"/>
                  </w:tcBorders>
                  <w:noWrap w:val="0"/>
                  <w:vAlign w:val="center"/>
                </w:tcPr>
                <w:p w14:paraId="110D60F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大豆粉</w:t>
                  </w:r>
                </w:p>
              </w:tc>
              <w:tc>
                <w:tcPr>
                  <w:tcW w:w="999" w:type="pct"/>
                  <w:tcBorders>
                    <w:top w:val="single" w:color="auto" w:sz="4" w:space="0"/>
                    <w:left w:val="single" w:color="auto" w:sz="4" w:space="0"/>
                    <w:bottom w:val="single" w:color="auto" w:sz="4" w:space="0"/>
                    <w:right w:val="nil"/>
                  </w:tcBorders>
                  <w:noWrap w:val="0"/>
                  <w:vAlign w:val="center"/>
                </w:tcPr>
                <w:p w14:paraId="6ACB0B68">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0t/a</w:t>
                  </w:r>
                </w:p>
              </w:tc>
              <w:tc>
                <w:tcPr>
                  <w:tcW w:w="999" w:type="pct"/>
                  <w:tcBorders>
                    <w:top w:val="single" w:color="auto" w:sz="4" w:space="0"/>
                    <w:left w:val="single" w:color="auto" w:sz="4" w:space="0"/>
                    <w:right w:val="nil"/>
                  </w:tcBorders>
                  <w:noWrap w:val="0"/>
                  <w:vAlign w:val="center"/>
                </w:tcPr>
                <w:p w14:paraId="46E81DF2">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73125t/a</w:t>
                  </w:r>
                </w:p>
              </w:tc>
              <w:tc>
                <w:tcPr>
                  <w:tcW w:w="714" w:type="pct"/>
                  <w:tcBorders>
                    <w:top w:val="single" w:color="auto" w:sz="4" w:space="0"/>
                    <w:left w:val="single" w:color="auto" w:sz="4" w:space="0"/>
                    <w:right w:val="nil"/>
                  </w:tcBorders>
                  <w:noWrap w:val="0"/>
                  <w:vAlign w:val="center"/>
                </w:tcPr>
                <w:p w14:paraId="3F67126F">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+73125t/a</w:t>
                  </w:r>
                </w:p>
              </w:tc>
            </w:tr>
            <w:tr w14:paraId="56C1D2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856" w:type="pct"/>
                  <w:vMerge w:val="restart"/>
                  <w:tcBorders>
                    <w:top w:val="single" w:color="auto" w:sz="4" w:space="0"/>
                    <w:left w:val="nil"/>
                    <w:right w:val="single" w:color="auto" w:sz="4" w:space="0"/>
                  </w:tcBorders>
                  <w:noWrap w:val="0"/>
                  <w:vAlign w:val="center"/>
                </w:tcPr>
                <w:p w14:paraId="59BC71A9">
                  <w:pPr>
                    <w:pStyle w:val="3"/>
                    <w:bidi w:val="0"/>
                    <w:rPr>
                      <w:rFonts w:hint="eastAsia"/>
                      <w:color w:val="auto"/>
                      <w:lang w:val="en-US" w:eastAsia="zh-CN"/>
                    </w:rPr>
                  </w:pPr>
                  <w:r>
                    <w:rPr>
                      <w:rFonts w:hint="eastAsia"/>
                      <w:color w:val="auto"/>
                      <w:lang w:val="en-US" w:eastAsia="zh-CN"/>
                    </w:rPr>
                    <w:t>精炼生产线</w:t>
                  </w:r>
                </w:p>
              </w:tc>
              <w:tc>
                <w:tcPr>
                  <w:tcW w:w="716" w:type="pct"/>
                  <w:vMerge w:val="restart"/>
                  <w:tcBorders>
                    <w:top w:val="single" w:color="auto" w:sz="4" w:space="0"/>
                    <w:left w:val="single" w:color="auto" w:sz="4" w:space="0"/>
                    <w:right w:val="single" w:color="auto" w:sz="4" w:space="0"/>
                  </w:tcBorders>
                  <w:noWrap w:val="0"/>
                  <w:vAlign w:val="center"/>
                </w:tcPr>
                <w:p w14:paraId="24258592">
                  <w:pPr>
                    <w:pStyle w:val="3"/>
                    <w:bidi w:val="0"/>
                    <w:rPr>
                      <w:rFonts w:hint="eastAsia"/>
                      <w:color w:val="auto"/>
                      <w:lang w:val="en-US" w:eastAsia="zh-CN"/>
                    </w:rPr>
                  </w:pPr>
                  <w:r>
                    <w:rPr>
                      <w:rFonts w:hint="eastAsia"/>
                      <w:color w:val="auto"/>
                      <w:lang w:val="en-US" w:eastAsia="zh-CN"/>
                    </w:rPr>
                    <w:t>主线</w:t>
                  </w:r>
                </w:p>
              </w:tc>
              <w:tc>
                <w:tcPr>
                  <w:tcW w:w="714" w:type="pct"/>
                  <w:tcBorders>
                    <w:top w:val="single" w:color="auto" w:sz="4" w:space="0"/>
                    <w:left w:val="single" w:color="auto" w:sz="4" w:space="0"/>
                    <w:right w:val="single" w:color="auto" w:sz="4" w:space="0"/>
                  </w:tcBorders>
                  <w:noWrap w:val="0"/>
                  <w:vAlign w:val="center"/>
                </w:tcPr>
                <w:p w14:paraId="6969354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大豆油</w:t>
                  </w:r>
                </w:p>
              </w:tc>
              <w:tc>
                <w:tcPr>
                  <w:tcW w:w="999" w:type="pct"/>
                  <w:tcBorders>
                    <w:top w:val="single" w:color="auto" w:sz="4" w:space="0"/>
                    <w:left w:val="single" w:color="auto" w:sz="4" w:space="0"/>
                    <w:right w:val="nil"/>
                  </w:tcBorders>
                  <w:noWrap w:val="0"/>
                  <w:vAlign w:val="center"/>
                </w:tcPr>
                <w:p w14:paraId="496081AD">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31万t/a</w:t>
                  </w:r>
                </w:p>
              </w:tc>
              <w:tc>
                <w:tcPr>
                  <w:tcW w:w="999" w:type="pct"/>
                  <w:tcBorders>
                    <w:top w:val="single" w:color="auto" w:sz="4" w:space="0"/>
                    <w:left w:val="single" w:color="auto" w:sz="4" w:space="0"/>
                    <w:right w:val="nil"/>
                  </w:tcBorders>
                  <w:noWrap w:val="0"/>
                  <w:vAlign w:val="center"/>
                </w:tcPr>
                <w:p w14:paraId="3AB781A6">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31万t/a</w:t>
                  </w:r>
                </w:p>
              </w:tc>
              <w:tc>
                <w:tcPr>
                  <w:tcW w:w="714" w:type="pct"/>
                  <w:tcBorders>
                    <w:top w:val="single" w:color="auto" w:sz="4" w:space="0"/>
                    <w:left w:val="single" w:color="auto" w:sz="4" w:space="0"/>
                    <w:right w:val="nil"/>
                  </w:tcBorders>
                  <w:noWrap w:val="0"/>
                  <w:vAlign w:val="center"/>
                </w:tcPr>
                <w:p w14:paraId="14709C42">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不变</w:t>
                  </w:r>
                </w:p>
              </w:tc>
            </w:tr>
            <w:tr w14:paraId="5AE6A2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pct"/>
                  <w:vMerge w:val="continue"/>
                  <w:tcBorders>
                    <w:left w:val="nil"/>
                    <w:right w:val="single" w:color="auto" w:sz="4" w:space="0"/>
                  </w:tcBorders>
                  <w:noWrap w:val="0"/>
                  <w:vAlign w:val="center"/>
                </w:tcPr>
                <w:p w14:paraId="4CACC8DD">
                  <w:pPr>
                    <w:pStyle w:val="3"/>
                    <w:bidi w:val="0"/>
                    <w:rPr>
                      <w:rFonts w:hint="eastAsia"/>
                      <w:color w:val="auto"/>
                      <w:lang w:val="en-US" w:eastAsia="zh-CN"/>
                    </w:rPr>
                  </w:pPr>
                </w:p>
              </w:tc>
              <w:tc>
                <w:tcPr>
                  <w:tcW w:w="716" w:type="pct"/>
                  <w:vMerge w:val="continue"/>
                  <w:tcBorders>
                    <w:left w:val="single" w:color="auto" w:sz="4" w:space="0"/>
                    <w:right w:val="single" w:color="auto" w:sz="4" w:space="0"/>
                  </w:tcBorders>
                  <w:noWrap w:val="0"/>
                  <w:vAlign w:val="center"/>
                </w:tcPr>
                <w:p w14:paraId="516C7F0C">
                  <w:pPr>
                    <w:pStyle w:val="3"/>
                    <w:bidi w:val="0"/>
                    <w:rPr>
                      <w:rFonts w:hint="eastAsia"/>
                      <w:color w:val="auto"/>
                      <w:lang w:val="en-US" w:eastAsia="zh-CN"/>
                    </w:rPr>
                  </w:pPr>
                </w:p>
              </w:tc>
              <w:tc>
                <w:tcPr>
                  <w:tcW w:w="714" w:type="pct"/>
                  <w:tcBorders>
                    <w:top w:val="single" w:color="auto" w:sz="4" w:space="0"/>
                    <w:left w:val="single" w:color="auto" w:sz="4" w:space="0"/>
                    <w:right w:val="single" w:color="auto" w:sz="4" w:space="0"/>
                  </w:tcBorders>
                  <w:noWrap w:val="0"/>
                  <w:vAlign w:val="center"/>
                </w:tcPr>
                <w:p w14:paraId="0D93F70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皂脚</w:t>
                  </w:r>
                </w:p>
              </w:tc>
              <w:tc>
                <w:tcPr>
                  <w:tcW w:w="999" w:type="pct"/>
                  <w:tcBorders>
                    <w:top w:val="single" w:color="auto" w:sz="4" w:space="0"/>
                    <w:left w:val="single" w:color="auto" w:sz="4" w:space="0"/>
                    <w:right w:val="nil"/>
                  </w:tcBorders>
                  <w:noWrap w:val="0"/>
                  <w:vAlign w:val="center"/>
                </w:tcPr>
                <w:p w14:paraId="4B35F83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19231</w:t>
                  </w:r>
                  <w:r>
                    <w:rPr>
                      <w:rFonts w:hint="default" w:ascii="Times New Roman" w:hAnsi="Times New Roman" w:cs="Times New Roman"/>
                      <w:color w:val="auto"/>
                      <w:lang w:val="en-US" w:eastAsia="zh-CN"/>
                    </w:rPr>
                    <w:t>t/a</w:t>
                  </w:r>
                </w:p>
              </w:tc>
              <w:tc>
                <w:tcPr>
                  <w:tcW w:w="999" w:type="pct"/>
                  <w:tcBorders>
                    <w:top w:val="single" w:color="auto" w:sz="4" w:space="0"/>
                    <w:left w:val="single" w:color="auto" w:sz="4" w:space="0"/>
                    <w:right w:val="nil"/>
                  </w:tcBorders>
                  <w:noWrap w:val="0"/>
                  <w:vAlign w:val="center"/>
                </w:tcPr>
                <w:p w14:paraId="0958E30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11093</w:t>
                  </w:r>
                  <w:r>
                    <w:rPr>
                      <w:rFonts w:hint="default" w:ascii="Times New Roman" w:hAnsi="Times New Roman" w:cs="Times New Roman"/>
                      <w:color w:val="auto"/>
                      <w:lang w:val="en-US" w:eastAsia="zh-CN"/>
                    </w:rPr>
                    <w:t>t/a</w:t>
                  </w:r>
                </w:p>
              </w:tc>
              <w:tc>
                <w:tcPr>
                  <w:tcW w:w="714" w:type="pct"/>
                  <w:tcBorders>
                    <w:top w:val="single" w:color="auto" w:sz="4" w:space="0"/>
                    <w:left w:val="single" w:color="auto" w:sz="4" w:space="0"/>
                    <w:right w:val="nil"/>
                  </w:tcBorders>
                  <w:noWrap w:val="0"/>
                  <w:vAlign w:val="center"/>
                </w:tcPr>
                <w:p w14:paraId="73E8D26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w:t>
                  </w:r>
                  <w:r>
                    <w:rPr>
                      <w:rFonts w:hint="eastAsia" w:ascii="Times New Roman" w:hAnsi="Times New Roman" w:cs="Times New Roman"/>
                      <w:color w:val="auto"/>
                      <w:lang w:val="en-US" w:eastAsia="zh-CN"/>
                    </w:rPr>
                    <w:t>138</w:t>
                  </w:r>
                  <w:r>
                    <w:rPr>
                      <w:rFonts w:hint="default" w:ascii="Times New Roman" w:hAnsi="Times New Roman" w:cs="Times New Roman"/>
                      <w:color w:val="auto"/>
                      <w:lang w:val="en-US" w:eastAsia="zh-CN"/>
                    </w:rPr>
                    <w:t>t/a</w:t>
                  </w:r>
                </w:p>
              </w:tc>
            </w:tr>
            <w:tr w14:paraId="08A5C89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pct"/>
                  <w:vMerge w:val="continue"/>
                  <w:tcBorders>
                    <w:left w:val="nil"/>
                    <w:right w:val="single" w:color="auto" w:sz="4" w:space="0"/>
                  </w:tcBorders>
                  <w:noWrap w:val="0"/>
                  <w:vAlign w:val="center"/>
                </w:tcPr>
                <w:p w14:paraId="39397590">
                  <w:pPr>
                    <w:pStyle w:val="3"/>
                    <w:bidi w:val="0"/>
                    <w:rPr>
                      <w:rFonts w:hint="eastAsia"/>
                      <w:color w:val="auto"/>
                      <w:lang w:val="en-US" w:eastAsia="zh-CN"/>
                    </w:rPr>
                  </w:pPr>
                </w:p>
              </w:tc>
              <w:tc>
                <w:tcPr>
                  <w:tcW w:w="716" w:type="pct"/>
                  <w:vMerge w:val="continue"/>
                  <w:tcBorders>
                    <w:left w:val="single" w:color="auto" w:sz="4" w:space="0"/>
                    <w:right w:val="single" w:color="auto" w:sz="4" w:space="0"/>
                  </w:tcBorders>
                  <w:noWrap w:val="0"/>
                  <w:vAlign w:val="center"/>
                </w:tcPr>
                <w:p w14:paraId="66877AA0">
                  <w:pPr>
                    <w:pStyle w:val="3"/>
                    <w:bidi w:val="0"/>
                    <w:rPr>
                      <w:rFonts w:hint="eastAsia"/>
                      <w:color w:val="auto"/>
                      <w:lang w:val="en-US" w:eastAsia="zh-CN"/>
                    </w:rPr>
                  </w:pPr>
                </w:p>
              </w:tc>
              <w:tc>
                <w:tcPr>
                  <w:tcW w:w="714" w:type="pct"/>
                  <w:tcBorders>
                    <w:top w:val="single" w:color="auto" w:sz="4" w:space="0"/>
                    <w:left w:val="single" w:color="auto" w:sz="4" w:space="0"/>
                    <w:right w:val="single" w:color="auto" w:sz="4" w:space="0"/>
                  </w:tcBorders>
                  <w:noWrap w:val="0"/>
                  <w:vAlign w:val="center"/>
                </w:tcPr>
                <w:p w14:paraId="3EDAE0D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脂肪酸</w:t>
                  </w:r>
                </w:p>
              </w:tc>
              <w:tc>
                <w:tcPr>
                  <w:tcW w:w="999" w:type="pct"/>
                  <w:tcBorders>
                    <w:top w:val="single" w:color="auto" w:sz="4" w:space="0"/>
                    <w:left w:val="single" w:color="auto" w:sz="4" w:space="0"/>
                    <w:right w:val="nil"/>
                  </w:tcBorders>
                  <w:noWrap w:val="0"/>
                  <w:vAlign w:val="center"/>
                </w:tcPr>
                <w:p w14:paraId="70E567F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655t/a</w:t>
                  </w:r>
                </w:p>
              </w:tc>
              <w:tc>
                <w:tcPr>
                  <w:tcW w:w="999" w:type="pct"/>
                  <w:tcBorders>
                    <w:top w:val="single" w:color="auto" w:sz="4" w:space="0"/>
                    <w:left w:val="single" w:color="auto" w:sz="4" w:space="0"/>
                    <w:right w:val="nil"/>
                  </w:tcBorders>
                  <w:noWrap w:val="0"/>
                  <w:vAlign w:val="center"/>
                </w:tcPr>
                <w:p w14:paraId="113E192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655t/a</w:t>
                  </w:r>
                </w:p>
              </w:tc>
              <w:tc>
                <w:tcPr>
                  <w:tcW w:w="714" w:type="pct"/>
                  <w:tcBorders>
                    <w:top w:val="single" w:color="auto" w:sz="4" w:space="0"/>
                    <w:left w:val="single" w:color="auto" w:sz="4" w:space="0"/>
                    <w:right w:val="nil"/>
                  </w:tcBorders>
                  <w:noWrap w:val="0"/>
                  <w:vAlign w:val="center"/>
                </w:tcPr>
                <w:p w14:paraId="61BFEB5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不变</w:t>
                  </w:r>
                </w:p>
              </w:tc>
            </w:tr>
            <w:tr w14:paraId="269404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pct"/>
                  <w:vMerge w:val="continue"/>
                  <w:tcBorders>
                    <w:left w:val="nil"/>
                    <w:right w:val="single" w:color="auto" w:sz="4" w:space="0"/>
                  </w:tcBorders>
                  <w:noWrap w:val="0"/>
                  <w:vAlign w:val="center"/>
                </w:tcPr>
                <w:p w14:paraId="59F11F54">
                  <w:pPr>
                    <w:pStyle w:val="3"/>
                    <w:bidi w:val="0"/>
                    <w:rPr>
                      <w:rFonts w:hint="eastAsia"/>
                      <w:color w:val="auto"/>
                      <w:lang w:val="en-US" w:eastAsia="zh-CN"/>
                    </w:rPr>
                  </w:pPr>
                </w:p>
              </w:tc>
              <w:tc>
                <w:tcPr>
                  <w:tcW w:w="716" w:type="pct"/>
                  <w:vMerge w:val="continue"/>
                  <w:tcBorders>
                    <w:left w:val="single" w:color="auto" w:sz="4" w:space="0"/>
                    <w:right w:val="single" w:color="auto" w:sz="4" w:space="0"/>
                  </w:tcBorders>
                  <w:noWrap w:val="0"/>
                  <w:vAlign w:val="center"/>
                </w:tcPr>
                <w:p w14:paraId="28473BBC">
                  <w:pPr>
                    <w:pStyle w:val="3"/>
                    <w:bidi w:val="0"/>
                    <w:rPr>
                      <w:rFonts w:hint="eastAsia"/>
                      <w:color w:val="auto"/>
                      <w:lang w:val="en-US" w:eastAsia="zh-CN"/>
                    </w:rPr>
                  </w:pPr>
                </w:p>
              </w:tc>
              <w:tc>
                <w:tcPr>
                  <w:tcW w:w="714" w:type="pct"/>
                  <w:tcBorders>
                    <w:top w:val="single" w:color="auto" w:sz="4" w:space="0"/>
                    <w:left w:val="single" w:color="auto" w:sz="4" w:space="0"/>
                    <w:right w:val="single" w:color="auto" w:sz="4" w:space="0"/>
                  </w:tcBorders>
                  <w:noWrap w:val="0"/>
                  <w:vAlign w:val="center"/>
                </w:tcPr>
                <w:p w14:paraId="5D3CDA7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废白土</w:t>
                  </w:r>
                </w:p>
              </w:tc>
              <w:tc>
                <w:tcPr>
                  <w:tcW w:w="999" w:type="pct"/>
                  <w:tcBorders>
                    <w:top w:val="single" w:color="auto" w:sz="4" w:space="0"/>
                    <w:left w:val="single" w:color="auto" w:sz="4" w:space="0"/>
                    <w:right w:val="nil"/>
                  </w:tcBorders>
                  <w:noWrap w:val="0"/>
                  <w:vAlign w:val="center"/>
                </w:tcPr>
                <w:p w14:paraId="2492621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3277t/a</w:t>
                  </w:r>
                </w:p>
              </w:tc>
              <w:tc>
                <w:tcPr>
                  <w:tcW w:w="999" w:type="pct"/>
                  <w:tcBorders>
                    <w:top w:val="single" w:color="auto" w:sz="4" w:space="0"/>
                    <w:left w:val="single" w:color="auto" w:sz="4" w:space="0"/>
                    <w:right w:val="nil"/>
                  </w:tcBorders>
                  <w:noWrap w:val="0"/>
                  <w:vAlign w:val="center"/>
                </w:tcPr>
                <w:p w14:paraId="081EF65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3277t/a</w:t>
                  </w:r>
                </w:p>
              </w:tc>
              <w:tc>
                <w:tcPr>
                  <w:tcW w:w="714" w:type="pct"/>
                  <w:tcBorders>
                    <w:top w:val="single" w:color="auto" w:sz="4" w:space="0"/>
                    <w:left w:val="single" w:color="auto" w:sz="4" w:space="0"/>
                    <w:right w:val="nil"/>
                  </w:tcBorders>
                  <w:noWrap w:val="0"/>
                  <w:vAlign w:val="center"/>
                </w:tcPr>
                <w:p w14:paraId="511FE7E1">
                  <w:pPr>
                    <w:pStyle w:val="3"/>
                    <w:bidi w:val="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不变</w:t>
                  </w:r>
                </w:p>
              </w:tc>
            </w:tr>
            <w:tr w14:paraId="239DB7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6" w:type="pct"/>
                  <w:vMerge w:val="continue"/>
                  <w:tcBorders>
                    <w:left w:val="nil"/>
                    <w:right w:val="single" w:color="auto" w:sz="4" w:space="0"/>
                  </w:tcBorders>
                  <w:noWrap w:val="0"/>
                  <w:vAlign w:val="center"/>
                </w:tcPr>
                <w:p w14:paraId="248AF919">
                  <w:pPr>
                    <w:pStyle w:val="3"/>
                    <w:bidi w:val="0"/>
                    <w:rPr>
                      <w:rFonts w:hint="eastAsia"/>
                      <w:color w:val="auto"/>
                      <w:lang w:val="en-US" w:eastAsia="zh-CN"/>
                    </w:rPr>
                  </w:pPr>
                </w:p>
              </w:tc>
              <w:tc>
                <w:tcPr>
                  <w:tcW w:w="716" w:type="pct"/>
                  <w:tcBorders>
                    <w:top w:val="single" w:color="auto" w:sz="4" w:space="0"/>
                    <w:left w:val="single" w:color="auto" w:sz="4" w:space="0"/>
                    <w:bottom w:val="single" w:color="auto" w:sz="4" w:space="0"/>
                    <w:right w:val="single" w:color="auto" w:sz="4" w:space="0"/>
                  </w:tcBorders>
                  <w:noWrap w:val="0"/>
                  <w:vAlign w:val="center"/>
                </w:tcPr>
                <w:p w14:paraId="4A280542">
                  <w:pPr>
                    <w:pStyle w:val="3"/>
                    <w:bidi w:val="0"/>
                    <w:rPr>
                      <w:rFonts w:hint="eastAsia"/>
                      <w:color w:val="auto"/>
                      <w:lang w:val="en-US" w:eastAsia="zh-CN"/>
                    </w:rPr>
                  </w:pPr>
                  <w:r>
                    <w:rPr>
                      <w:rFonts w:hint="eastAsia"/>
                      <w:color w:val="auto"/>
                      <w:lang w:val="en-US" w:eastAsia="zh-CN"/>
                    </w:rPr>
                    <w:t>磷脂分线</w:t>
                  </w:r>
                </w:p>
              </w:tc>
              <w:tc>
                <w:tcPr>
                  <w:tcW w:w="714" w:type="pct"/>
                  <w:tcBorders>
                    <w:top w:val="single" w:color="auto" w:sz="4" w:space="0"/>
                    <w:left w:val="single" w:color="auto" w:sz="4" w:space="0"/>
                    <w:bottom w:val="single" w:color="auto" w:sz="4" w:space="0"/>
                    <w:right w:val="single" w:color="auto" w:sz="4" w:space="0"/>
                  </w:tcBorders>
                  <w:noWrap w:val="0"/>
                  <w:vAlign w:val="center"/>
                </w:tcPr>
                <w:p w14:paraId="3F5CD06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大豆磷脂</w:t>
                  </w:r>
                </w:p>
              </w:tc>
              <w:tc>
                <w:tcPr>
                  <w:tcW w:w="999" w:type="pct"/>
                  <w:tcBorders>
                    <w:top w:val="single" w:color="auto" w:sz="4" w:space="0"/>
                    <w:left w:val="single" w:color="auto" w:sz="4" w:space="0"/>
                    <w:bottom w:val="single" w:color="auto" w:sz="4" w:space="0"/>
                    <w:right w:val="nil"/>
                  </w:tcBorders>
                  <w:noWrap w:val="0"/>
                  <w:vAlign w:val="center"/>
                </w:tcPr>
                <w:p w14:paraId="5E62EB65">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0t/a</w:t>
                  </w:r>
                </w:p>
              </w:tc>
              <w:tc>
                <w:tcPr>
                  <w:tcW w:w="999" w:type="pct"/>
                  <w:tcBorders>
                    <w:left w:val="single" w:color="auto" w:sz="4" w:space="0"/>
                    <w:right w:val="nil"/>
                  </w:tcBorders>
                  <w:noWrap w:val="0"/>
                  <w:vAlign w:val="center"/>
                </w:tcPr>
                <w:p w14:paraId="75129812">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7976t/a</w:t>
                  </w:r>
                </w:p>
              </w:tc>
              <w:tc>
                <w:tcPr>
                  <w:tcW w:w="714" w:type="pct"/>
                  <w:tcBorders>
                    <w:left w:val="single" w:color="auto" w:sz="4" w:space="0"/>
                    <w:right w:val="nil"/>
                  </w:tcBorders>
                  <w:noWrap w:val="0"/>
                  <w:vAlign w:val="center"/>
                </w:tcPr>
                <w:p w14:paraId="35312DED">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+7976t/a</w:t>
                  </w:r>
                </w:p>
              </w:tc>
            </w:tr>
            <w:tr w14:paraId="254ED6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tcBorders>
                    <w:left w:val="nil"/>
                    <w:right w:val="nil"/>
                  </w:tcBorders>
                  <w:noWrap w:val="0"/>
                  <w:vAlign w:val="center"/>
                </w:tcPr>
                <w:p w14:paraId="081066A8">
                  <w:pPr>
                    <w:pStyle w:val="3"/>
                    <w:bidi w:val="0"/>
                    <w:jc w:val="both"/>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备注：皂脚、脂肪酸、废白土均属于精炼线主线产生的一般工业固废，磷脂分线的加入使得皂脚的产生量减少，成品大豆油、脂肪酸、废白土的产生量不发生变化。</w:t>
                  </w:r>
                </w:p>
              </w:tc>
            </w:tr>
          </w:tbl>
          <w:p w14:paraId="3C54DAA8">
            <w:pPr>
              <w:pStyle w:val="2"/>
              <w:bidi w:val="0"/>
              <w:ind w:left="0" w:leftChars="0" w:firstLine="480" w:firstLineChars="200"/>
              <w:rPr>
                <w:rFonts w:hint="default" w:ascii="Times New Roman" w:hAnsi="Times New Roman" w:eastAsia="宋体" w:cs="Times New Roman"/>
                <w:color w:val="auto"/>
              </w:rPr>
            </w:pPr>
            <w:r>
              <w:rPr>
                <w:rFonts w:hint="default" w:ascii="Times New Roman" w:hAnsi="Times New Roman" w:cs="Times New Roman"/>
                <w:color w:val="auto"/>
                <w:sz w:val="24"/>
                <w:szCs w:val="24"/>
                <w:lang w:eastAsia="zh-CN"/>
              </w:rPr>
              <w:t>建设内容：本项目在豆粕打包车间内新增</w:t>
            </w:r>
            <w:r>
              <w:rPr>
                <w:rFonts w:hint="default" w:ascii="Times New Roman" w:hAnsi="Times New Roman" w:cs="Times New Roman"/>
                <w:color w:val="auto"/>
                <w:kern w:val="0"/>
                <w:sz w:val="24"/>
                <w:szCs w:val="24"/>
                <w:lang w:val="en-US" w:eastAsia="zh-CN"/>
              </w:rPr>
              <w:t>1条大豆膨化生产线，大豆粉生产能力为</w:t>
            </w:r>
            <w:r>
              <w:rPr>
                <w:rFonts w:hint="eastAsia" w:ascii="Times New Roman" w:hAnsi="Times New Roman" w:cs="Times New Roman"/>
                <w:color w:val="auto"/>
                <w:kern w:val="0"/>
                <w:sz w:val="24"/>
                <w:szCs w:val="24"/>
                <w:lang w:val="en-US" w:eastAsia="zh-CN"/>
              </w:rPr>
              <w:t>73125</w:t>
            </w:r>
            <w:r>
              <w:rPr>
                <w:rFonts w:hint="default" w:ascii="Times New Roman" w:hAnsi="Times New Roman" w:cs="Times New Roman"/>
                <w:color w:val="auto"/>
                <w:kern w:val="0"/>
                <w:sz w:val="24"/>
                <w:szCs w:val="24"/>
                <w:lang w:val="en-US" w:eastAsia="zh-CN"/>
              </w:rPr>
              <w:t>t/a</w:t>
            </w:r>
            <w:r>
              <w:rPr>
                <w:rFonts w:hint="default" w:ascii="Times New Roman" w:hAnsi="Times New Roman" w:cs="Times New Roman"/>
                <w:color w:val="auto"/>
                <w:sz w:val="24"/>
                <w:szCs w:val="24"/>
                <w:lang w:val="en-US" w:eastAsia="zh-CN"/>
              </w:rPr>
              <w:t>；另外对精炼车间内的</w:t>
            </w:r>
            <w:r>
              <w:rPr>
                <w:rFonts w:hint="default" w:ascii="Times New Roman" w:hAnsi="Times New Roman" w:cs="Times New Roman"/>
                <w:color w:val="auto"/>
                <w:kern w:val="0"/>
                <w:sz w:val="24"/>
                <w:szCs w:val="24"/>
                <w:lang w:eastAsia="zh-CN"/>
              </w:rPr>
              <w:t>精炼生产线进行技术改造，在</w:t>
            </w:r>
            <w:r>
              <w:rPr>
                <w:rFonts w:hint="default" w:ascii="Times New Roman" w:hAnsi="Times New Roman" w:cs="Times New Roman"/>
                <w:color w:val="auto"/>
                <w:sz w:val="24"/>
                <w:szCs w:val="24"/>
                <w:lang w:val="en-US" w:eastAsia="zh-CN"/>
              </w:rPr>
              <w:t>酸化工序前新增1条磷脂线分支，从毛油中</w:t>
            </w:r>
            <w:r>
              <w:rPr>
                <w:rFonts w:hint="eastAsia" w:ascii="Times New Roman" w:hAnsi="Times New Roman" w:cs="Times New Roman"/>
                <w:color w:val="auto"/>
                <w:sz w:val="24"/>
                <w:szCs w:val="24"/>
                <w:lang w:val="en-US" w:eastAsia="zh-CN"/>
              </w:rPr>
              <w:t>离心分离</w:t>
            </w:r>
            <w:r>
              <w:rPr>
                <w:rFonts w:hint="default" w:ascii="Times New Roman" w:hAnsi="Times New Roman" w:cs="Times New Roman"/>
                <w:color w:val="auto"/>
                <w:sz w:val="24"/>
                <w:szCs w:val="24"/>
                <w:lang w:val="en-US" w:eastAsia="zh-CN"/>
              </w:rPr>
              <w:t>出油脚、脱胶油，油脚再进行后续加工得到磷脂，</w:t>
            </w:r>
            <w:r>
              <w:rPr>
                <w:rFonts w:hint="default" w:ascii="Times New Roman" w:hAnsi="Times New Roman" w:cs="Times New Roman"/>
                <w:color w:val="auto"/>
                <w:sz w:val="24"/>
                <w:szCs w:val="24"/>
                <w:lang w:val="en-US" w:eastAsia="zh-CN"/>
              </w:rPr>
              <w:t>脱胶油则进</w:t>
            </w:r>
            <w:r>
              <w:rPr>
                <w:rFonts w:hint="eastAsia" w:cs="Times New Roman"/>
                <w:color w:val="auto"/>
                <w:sz w:val="24"/>
                <w:szCs w:val="24"/>
                <w:lang w:val="en-US" w:eastAsia="zh-CN"/>
              </w:rPr>
              <w:t>入精炼线主线生产得到大豆油</w:t>
            </w:r>
            <w:r>
              <w:rPr>
                <w:rFonts w:hint="eastAsia" w:cs="Times New Roman"/>
                <w:color w:val="auto"/>
                <w:sz w:val="24"/>
                <w:szCs w:val="24"/>
                <w:lang w:val="en-US" w:eastAsia="zh-CN"/>
              </w:rPr>
              <w:t>，</w:t>
            </w:r>
            <w:r>
              <w:rPr>
                <w:rFonts w:hint="default" w:ascii="Times New Roman" w:hAnsi="Times New Roman" w:cs="Times New Roman"/>
                <w:color w:val="auto"/>
                <w:sz w:val="24"/>
                <w:highlight w:val="none"/>
              </w:rPr>
              <w:t>本项目给排水、供电、供气和依托厂区现有设施</w:t>
            </w:r>
            <w:r>
              <w:rPr>
                <w:rFonts w:hint="default" w:ascii="Times New Roman" w:hAnsi="Times New Roman" w:cs="Times New Roman"/>
                <w:color w:val="auto"/>
                <w:kern w:val="0"/>
                <w:sz w:val="24"/>
              </w:rPr>
              <w:t>，</w:t>
            </w:r>
            <w:r>
              <w:rPr>
                <w:rFonts w:hint="default" w:ascii="Times New Roman" w:hAnsi="Times New Roman" w:cs="Times New Roman"/>
                <w:color w:val="auto"/>
                <w:sz w:val="24"/>
              </w:rPr>
              <w:t>本项目组成见表2.2</w:t>
            </w:r>
            <w:r>
              <w:rPr>
                <w:rFonts w:hint="eastAsia" w:ascii="Times New Roman" w:hAnsi="Times New Roman" w:eastAsia="宋体" w:cs="Times New Roman"/>
                <w:color w:val="auto"/>
                <w:sz w:val="24"/>
                <w:lang w:val="en-US" w:eastAsia="zh-CN"/>
              </w:rPr>
              <w:t>-2</w:t>
            </w:r>
            <w:r>
              <w:rPr>
                <w:rFonts w:hint="default" w:ascii="Times New Roman" w:hAnsi="Times New Roman" w:cs="Times New Roman"/>
                <w:color w:val="auto"/>
                <w:sz w:val="24"/>
              </w:rPr>
              <w:t>。</w:t>
            </w:r>
          </w:p>
          <w:p w14:paraId="2BC718C1">
            <w:pPr>
              <w:pStyle w:val="3"/>
              <w:bidi w:val="0"/>
              <w:rPr>
                <w:rFonts w:hint="default" w:ascii="Times New Roman" w:hAnsi="Times New Roman" w:eastAsia="宋体" w:cs="Times New Roman"/>
                <w:color w:val="auto"/>
              </w:rPr>
            </w:pPr>
            <w:r>
              <w:rPr>
                <w:rFonts w:hint="default" w:ascii="Times New Roman" w:hAnsi="Times New Roman" w:eastAsia="宋体" w:cs="Times New Roman"/>
                <w:color w:val="auto"/>
              </w:rPr>
              <w:t>表2.</w:t>
            </w:r>
            <w:r>
              <w:rPr>
                <w:rFonts w:hint="default" w:ascii="Times New Roman" w:hAnsi="Times New Roman" w:eastAsia="宋体" w:cs="Times New Roman"/>
                <w:color w:val="auto"/>
                <w:lang w:val="en-US" w:eastAsia="zh-CN"/>
              </w:rPr>
              <w:t>2-2</w:t>
            </w:r>
            <w:r>
              <w:rPr>
                <w:rFonts w:hint="default" w:ascii="Times New Roman" w:hAnsi="Times New Roman" w:eastAsia="宋体" w:cs="Times New Roman"/>
                <w:color w:val="auto"/>
              </w:rPr>
              <w:t xml:space="preserve"> </w:t>
            </w:r>
            <w:r>
              <w:rPr>
                <w:rFonts w:hint="default" w:ascii="Times New Roman" w:hAnsi="Times New Roman" w:eastAsia="宋体" w:cs="Times New Roman"/>
                <w:color w:val="auto"/>
                <w:lang w:eastAsia="zh-CN"/>
              </w:rPr>
              <w:t>本</w:t>
            </w:r>
            <w:r>
              <w:rPr>
                <w:rFonts w:hint="default" w:ascii="Times New Roman" w:hAnsi="Times New Roman" w:eastAsia="宋体" w:cs="Times New Roman"/>
                <w:color w:val="auto"/>
              </w:rPr>
              <w:t>项目组成一览表</w:t>
            </w:r>
          </w:p>
          <w:tbl>
            <w:tblPr>
              <w:tblStyle w:val="17"/>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695"/>
              <w:gridCol w:w="445"/>
              <w:gridCol w:w="1087"/>
              <w:gridCol w:w="5049"/>
              <w:gridCol w:w="664"/>
            </w:tblGrid>
            <w:tr w14:paraId="4C90864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774868E8">
                  <w:pPr>
                    <w:pStyle w:val="3"/>
                    <w:bidi w:val="0"/>
                    <w:rPr>
                      <w:rFonts w:hint="default"/>
                      <w:color w:val="auto"/>
                      <w:lang w:eastAsia="en-US"/>
                    </w:rPr>
                  </w:pPr>
                  <w:r>
                    <w:rPr>
                      <w:rFonts w:hint="default"/>
                      <w:color w:val="auto"/>
                    </w:rPr>
                    <w:t>序号</w:t>
                  </w:r>
                </w:p>
              </w:tc>
              <w:tc>
                <w:tcPr>
                  <w:tcW w:w="414" w:type="pct"/>
                  <w:tcBorders>
                    <w:tl2br w:val="nil"/>
                    <w:tr2bl w:val="nil"/>
                  </w:tcBorders>
                  <w:shd w:val="clear" w:color="auto" w:fill="auto"/>
                  <w:noWrap w:val="0"/>
                  <w:vAlign w:val="center"/>
                </w:tcPr>
                <w:p w14:paraId="103486EE">
                  <w:pPr>
                    <w:pStyle w:val="3"/>
                    <w:bidi w:val="0"/>
                    <w:rPr>
                      <w:rFonts w:hint="default"/>
                      <w:color w:val="auto"/>
                      <w:lang w:eastAsia="en-US"/>
                    </w:rPr>
                  </w:pPr>
                  <w:r>
                    <w:rPr>
                      <w:rFonts w:hint="default"/>
                      <w:color w:val="auto"/>
                    </w:rPr>
                    <w:t>类别</w:t>
                  </w:r>
                </w:p>
              </w:tc>
              <w:tc>
                <w:tcPr>
                  <w:tcW w:w="913" w:type="pct"/>
                  <w:gridSpan w:val="2"/>
                  <w:tcBorders>
                    <w:tl2br w:val="nil"/>
                    <w:tr2bl w:val="nil"/>
                  </w:tcBorders>
                  <w:shd w:val="clear" w:color="auto" w:fill="auto"/>
                  <w:noWrap w:val="0"/>
                  <w:vAlign w:val="center"/>
                </w:tcPr>
                <w:p w14:paraId="13B6C285">
                  <w:pPr>
                    <w:pStyle w:val="3"/>
                    <w:bidi w:val="0"/>
                    <w:rPr>
                      <w:rFonts w:hint="default"/>
                      <w:color w:val="auto"/>
                      <w:lang w:eastAsia="en-US"/>
                    </w:rPr>
                  </w:pPr>
                  <w:r>
                    <w:rPr>
                      <w:rFonts w:hint="default"/>
                      <w:color w:val="auto"/>
                    </w:rPr>
                    <w:t>项目名称</w:t>
                  </w:r>
                </w:p>
              </w:tc>
              <w:tc>
                <w:tcPr>
                  <w:tcW w:w="3009" w:type="pct"/>
                  <w:tcBorders>
                    <w:tl2br w:val="nil"/>
                    <w:tr2bl w:val="nil"/>
                  </w:tcBorders>
                  <w:shd w:val="clear" w:color="auto" w:fill="auto"/>
                  <w:noWrap w:val="0"/>
                  <w:vAlign w:val="center"/>
                </w:tcPr>
                <w:p w14:paraId="0FFCCF6D">
                  <w:pPr>
                    <w:pStyle w:val="3"/>
                    <w:bidi w:val="0"/>
                    <w:rPr>
                      <w:rFonts w:hint="default"/>
                      <w:color w:val="auto"/>
                      <w:lang w:eastAsia="en-US"/>
                    </w:rPr>
                  </w:pPr>
                  <w:r>
                    <w:rPr>
                      <w:rFonts w:hint="default"/>
                      <w:color w:val="auto"/>
                    </w:rPr>
                    <w:t>建设内容</w:t>
                  </w:r>
                </w:p>
              </w:tc>
              <w:tc>
                <w:tcPr>
                  <w:tcW w:w="396" w:type="pct"/>
                  <w:tcBorders>
                    <w:tl2br w:val="nil"/>
                    <w:tr2bl w:val="nil"/>
                  </w:tcBorders>
                  <w:shd w:val="clear" w:color="auto" w:fill="auto"/>
                  <w:noWrap w:val="0"/>
                  <w:vAlign w:val="center"/>
                </w:tcPr>
                <w:p w14:paraId="62E123AB">
                  <w:pPr>
                    <w:pStyle w:val="3"/>
                    <w:bidi w:val="0"/>
                    <w:rPr>
                      <w:rFonts w:hint="default"/>
                      <w:color w:val="auto"/>
                      <w:lang w:eastAsia="en-US"/>
                    </w:rPr>
                  </w:pPr>
                  <w:r>
                    <w:rPr>
                      <w:rFonts w:hint="default"/>
                      <w:color w:val="auto"/>
                    </w:rPr>
                    <w:t>备注</w:t>
                  </w:r>
                </w:p>
              </w:tc>
            </w:tr>
            <w:tr w14:paraId="40A980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06A0A56D">
                  <w:pPr>
                    <w:pStyle w:val="3"/>
                    <w:bidi w:val="0"/>
                    <w:rPr>
                      <w:rFonts w:hint="default"/>
                      <w:color w:val="auto"/>
                      <w:lang w:val="en-US" w:eastAsia="zh-CN"/>
                    </w:rPr>
                  </w:pPr>
                  <w:r>
                    <w:rPr>
                      <w:rFonts w:hint="eastAsia"/>
                      <w:color w:val="auto"/>
                      <w:lang w:val="en-US" w:eastAsia="zh-CN"/>
                    </w:rPr>
                    <w:t>1</w:t>
                  </w:r>
                </w:p>
              </w:tc>
              <w:tc>
                <w:tcPr>
                  <w:tcW w:w="414" w:type="pct"/>
                  <w:vMerge w:val="restart"/>
                  <w:tcBorders>
                    <w:tl2br w:val="nil"/>
                    <w:tr2bl w:val="nil"/>
                  </w:tcBorders>
                  <w:shd w:val="clear" w:color="auto" w:fill="auto"/>
                  <w:noWrap w:val="0"/>
                  <w:vAlign w:val="center"/>
                </w:tcPr>
                <w:p w14:paraId="33F20276">
                  <w:pPr>
                    <w:pStyle w:val="3"/>
                    <w:bidi w:val="0"/>
                    <w:rPr>
                      <w:rFonts w:hint="eastAsia"/>
                      <w:color w:val="auto"/>
                      <w:lang w:eastAsia="zh-CN"/>
                    </w:rPr>
                  </w:pPr>
                  <w:r>
                    <w:rPr>
                      <w:rFonts w:hint="eastAsia"/>
                      <w:color w:val="auto"/>
                      <w:lang w:eastAsia="zh-CN"/>
                    </w:rPr>
                    <w:t>主体</w:t>
                  </w:r>
                </w:p>
                <w:p w14:paraId="46E2DFE5">
                  <w:pPr>
                    <w:pStyle w:val="3"/>
                    <w:bidi w:val="0"/>
                    <w:rPr>
                      <w:rFonts w:hint="eastAsia"/>
                      <w:color w:val="auto"/>
                      <w:lang w:eastAsia="zh-CN"/>
                    </w:rPr>
                  </w:pPr>
                  <w:r>
                    <w:rPr>
                      <w:rFonts w:hint="eastAsia"/>
                      <w:color w:val="auto"/>
                      <w:lang w:eastAsia="zh-CN"/>
                    </w:rPr>
                    <w:t>工程</w:t>
                  </w:r>
                </w:p>
              </w:tc>
              <w:tc>
                <w:tcPr>
                  <w:tcW w:w="913" w:type="pct"/>
                  <w:gridSpan w:val="2"/>
                  <w:tcBorders>
                    <w:tl2br w:val="nil"/>
                    <w:tr2bl w:val="nil"/>
                  </w:tcBorders>
                  <w:shd w:val="clear" w:color="auto" w:fill="auto"/>
                  <w:noWrap w:val="0"/>
                  <w:vAlign w:val="center"/>
                </w:tcPr>
                <w:p w14:paraId="304242D6">
                  <w:pPr>
                    <w:pStyle w:val="3"/>
                    <w:bidi w:val="0"/>
                    <w:rPr>
                      <w:rFonts w:hint="default"/>
                      <w:color w:val="auto"/>
                      <w:lang w:eastAsia="zh-CN"/>
                    </w:rPr>
                  </w:pPr>
                  <w:r>
                    <w:rPr>
                      <w:rFonts w:hint="eastAsia"/>
                      <w:color w:val="auto"/>
                      <w:lang w:eastAsia="zh-CN"/>
                    </w:rPr>
                    <w:t>大豆膨化生产线</w:t>
                  </w:r>
                </w:p>
              </w:tc>
              <w:tc>
                <w:tcPr>
                  <w:tcW w:w="3009" w:type="pct"/>
                  <w:tcBorders>
                    <w:tl2br w:val="nil"/>
                    <w:tr2bl w:val="nil"/>
                  </w:tcBorders>
                  <w:shd w:val="clear" w:color="auto" w:fill="auto"/>
                  <w:noWrap w:val="0"/>
                  <w:vAlign w:val="center"/>
                </w:tcPr>
                <w:p w14:paraId="5268559D">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1条，大豆粉生产能力</w:t>
                  </w:r>
                  <w:r>
                    <w:rPr>
                      <w:rFonts w:hint="eastAsia" w:ascii="Times New Roman" w:hAnsi="Times New Roman" w:cs="Times New Roman"/>
                      <w:color w:val="auto"/>
                      <w:lang w:val="en-US" w:eastAsia="zh-CN"/>
                    </w:rPr>
                    <w:t>73125</w:t>
                  </w:r>
                  <w:r>
                    <w:rPr>
                      <w:rFonts w:hint="default" w:ascii="Times New Roman" w:hAnsi="Times New Roman" w:cs="Times New Roman"/>
                      <w:color w:val="auto"/>
                      <w:lang w:val="en-US" w:eastAsia="zh-CN"/>
                    </w:rPr>
                    <w:t>t/a，主要进行大豆的称量、振动清理、初破、筛分、膨化、冷却成品破碎，布置在</w:t>
                  </w:r>
                  <w:r>
                    <w:rPr>
                      <w:rFonts w:hint="eastAsia" w:ascii="Times New Roman" w:hAnsi="Times New Roman" w:cs="Times New Roman"/>
                      <w:color w:val="auto"/>
                      <w:lang w:val="en-US" w:eastAsia="zh-CN"/>
                    </w:rPr>
                    <w:t>豆粕打包车间</w:t>
                  </w:r>
                  <w:r>
                    <w:rPr>
                      <w:rFonts w:hint="default"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2E120CB6">
                  <w:pPr>
                    <w:pStyle w:val="3"/>
                    <w:bidi w:val="0"/>
                    <w:rPr>
                      <w:rFonts w:hint="default"/>
                      <w:color w:val="auto"/>
                      <w:lang w:val="en-US" w:eastAsia="zh-CN"/>
                    </w:rPr>
                  </w:pPr>
                  <w:r>
                    <w:rPr>
                      <w:rFonts w:hint="eastAsia"/>
                      <w:color w:val="auto"/>
                      <w:lang w:val="en-US" w:eastAsia="zh-CN"/>
                    </w:rPr>
                    <w:t>新增</w:t>
                  </w:r>
                </w:p>
              </w:tc>
            </w:tr>
            <w:tr w14:paraId="149463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265" w:type="pct"/>
                  <w:tcBorders>
                    <w:tl2br w:val="nil"/>
                    <w:tr2bl w:val="nil"/>
                  </w:tcBorders>
                  <w:shd w:val="clear" w:color="auto" w:fill="auto"/>
                  <w:noWrap w:val="0"/>
                  <w:vAlign w:val="center"/>
                </w:tcPr>
                <w:p w14:paraId="1D07E81A">
                  <w:pPr>
                    <w:pStyle w:val="3"/>
                    <w:bidi w:val="0"/>
                    <w:rPr>
                      <w:rFonts w:hint="default"/>
                      <w:color w:val="auto"/>
                      <w:lang w:val="en-US" w:eastAsia="zh-CN"/>
                    </w:rPr>
                  </w:pPr>
                  <w:r>
                    <w:rPr>
                      <w:rFonts w:hint="eastAsia"/>
                      <w:color w:val="auto"/>
                      <w:lang w:val="en-US" w:eastAsia="zh-CN"/>
                    </w:rPr>
                    <w:t>2</w:t>
                  </w:r>
                </w:p>
              </w:tc>
              <w:tc>
                <w:tcPr>
                  <w:tcW w:w="414" w:type="pct"/>
                  <w:vMerge w:val="continue"/>
                  <w:tcBorders>
                    <w:tl2br w:val="nil"/>
                    <w:tr2bl w:val="nil"/>
                  </w:tcBorders>
                  <w:shd w:val="clear" w:color="auto" w:fill="auto"/>
                  <w:noWrap w:val="0"/>
                  <w:vAlign w:val="center"/>
                </w:tcPr>
                <w:p w14:paraId="33655919">
                  <w:pPr>
                    <w:pStyle w:val="3"/>
                    <w:bidi w:val="0"/>
                    <w:rPr>
                      <w:rFonts w:hint="default"/>
                      <w:color w:val="auto"/>
                    </w:rPr>
                  </w:pPr>
                </w:p>
              </w:tc>
              <w:tc>
                <w:tcPr>
                  <w:tcW w:w="913" w:type="pct"/>
                  <w:gridSpan w:val="2"/>
                  <w:tcBorders>
                    <w:tl2br w:val="nil"/>
                    <w:tr2bl w:val="nil"/>
                  </w:tcBorders>
                  <w:shd w:val="clear" w:color="auto" w:fill="auto"/>
                  <w:noWrap w:val="0"/>
                  <w:vAlign w:val="center"/>
                </w:tcPr>
                <w:p w14:paraId="7AC0792C">
                  <w:pPr>
                    <w:pStyle w:val="3"/>
                    <w:bidi w:val="0"/>
                    <w:rPr>
                      <w:rFonts w:hint="default"/>
                      <w:color w:val="auto"/>
                      <w:lang w:eastAsia="zh-CN"/>
                    </w:rPr>
                  </w:pPr>
                  <w:r>
                    <w:rPr>
                      <w:rFonts w:hint="eastAsia"/>
                      <w:color w:val="auto"/>
                      <w:lang w:eastAsia="zh-CN"/>
                    </w:rPr>
                    <w:t>精炼生产线</w:t>
                  </w:r>
                </w:p>
              </w:tc>
              <w:tc>
                <w:tcPr>
                  <w:tcW w:w="3009" w:type="pct"/>
                  <w:tcBorders>
                    <w:tl2br w:val="nil"/>
                    <w:tr2bl w:val="nil"/>
                  </w:tcBorders>
                  <w:shd w:val="clear" w:color="auto" w:fill="auto"/>
                  <w:noWrap w:val="0"/>
                  <w:vAlign w:val="center"/>
                </w:tcPr>
                <w:p w14:paraId="483457EE">
                  <w:pPr>
                    <w:pStyle w:val="3"/>
                    <w:numPr>
                      <w:ilvl w:val="0"/>
                      <w:numId w:val="0"/>
                    </w:numPr>
                    <w:bidi w:val="0"/>
                    <w:jc w:val="both"/>
                    <w:rPr>
                      <w:rFonts w:hint="eastAsia" w:ascii="Times New Roman" w:hAnsi="Times New Roman" w:cs="Times New Roman"/>
                      <w:color w:val="auto"/>
                      <w:highlight w:val="none"/>
                      <w:lang w:val="en-US" w:eastAsia="zh-CN"/>
                    </w:rPr>
                  </w:pPr>
                  <w:r>
                    <w:rPr>
                      <w:rFonts w:hint="eastAsia" w:ascii="Times New Roman" w:hAnsi="Times New Roman" w:cs="Times New Roman"/>
                      <w:color w:val="auto"/>
                      <w:lang w:val="en-US" w:eastAsia="zh-CN"/>
                    </w:rPr>
                    <w:t>1条，主产品</w:t>
                  </w:r>
                  <w:r>
                    <w:rPr>
                      <w:rFonts w:hint="default" w:ascii="Times New Roman" w:hAnsi="Times New Roman" w:cs="Times New Roman"/>
                      <w:color w:val="auto"/>
                      <w:lang w:val="en-US" w:eastAsia="zh-CN"/>
                    </w:rPr>
                    <w:t>大豆油生产能力</w:t>
                  </w:r>
                  <w:r>
                    <w:rPr>
                      <w:rFonts w:hint="default" w:ascii="Times New Roman" w:hAnsi="Times New Roman" w:cs="Times New Roman"/>
                      <w:color w:val="auto"/>
                      <w:highlight w:val="none"/>
                      <w:lang w:val="en-US" w:eastAsia="zh-CN"/>
                    </w:rPr>
                    <w:t>31万t/a（</w:t>
                  </w:r>
                  <w:r>
                    <w:rPr>
                      <w:rFonts w:hint="eastAsia" w:ascii="Times New Roman" w:hAnsi="Times New Roman" w:cs="Times New Roman"/>
                      <w:color w:val="auto"/>
                      <w:highlight w:val="none"/>
                      <w:lang w:val="en-US" w:eastAsia="zh-CN"/>
                    </w:rPr>
                    <w:t>产能不变</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；副产品</w:t>
                  </w:r>
                  <w:r>
                    <w:rPr>
                      <w:rFonts w:hint="default" w:ascii="Times New Roman" w:hAnsi="Times New Roman" w:cs="Times New Roman"/>
                      <w:color w:val="auto"/>
                      <w:highlight w:val="none"/>
                      <w:lang w:val="en-US" w:eastAsia="zh-CN"/>
                    </w:rPr>
                    <w:t>大豆磷脂生产能力为</w:t>
                  </w:r>
                  <w:r>
                    <w:rPr>
                      <w:rFonts w:hint="eastAsia" w:ascii="Times New Roman" w:hAnsi="Times New Roman" w:cs="Times New Roman"/>
                      <w:color w:val="auto"/>
                      <w:highlight w:val="none"/>
                      <w:lang w:val="en-US" w:eastAsia="zh-CN"/>
                    </w:rPr>
                    <w:t>7976</w:t>
                  </w:r>
                  <w:r>
                    <w:rPr>
                      <w:rFonts w:hint="default" w:ascii="Times New Roman" w:hAnsi="Times New Roman" w:cs="Times New Roman"/>
                      <w:color w:val="auto"/>
                      <w:highlight w:val="none"/>
                      <w:lang w:val="en-US" w:eastAsia="zh-CN"/>
                    </w:rPr>
                    <w:t>t/a</w:t>
                  </w:r>
                  <w:r>
                    <w:rPr>
                      <w:rFonts w:hint="eastAsia" w:ascii="Times New Roman" w:hAnsi="Times New Roman" w:cs="Times New Roman"/>
                      <w:color w:val="auto"/>
                      <w:highlight w:val="none"/>
                      <w:lang w:val="en-US" w:eastAsia="zh-CN"/>
                    </w:rPr>
                    <w:t>（新增产能）；固体废物皂脚产生量为9832</w:t>
                  </w:r>
                  <w:r>
                    <w:rPr>
                      <w:rFonts w:hint="default" w:ascii="Times New Roman" w:hAnsi="Times New Roman" w:cs="Times New Roman"/>
                      <w:color w:val="auto"/>
                      <w:highlight w:val="none"/>
                      <w:lang w:val="en-US" w:eastAsia="zh-CN"/>
                    </w:rPr>
                    <w:t>t/a（</w:t>
                  </w:r>
                  <w:r>
                    <w:rPr>
                      <w:rFonts w:hint="eastAsia" w:ascii="Times New Roman" w:hAnsi="Times New Roman" w:cs="Times New Roman"/>
                      <w:color w:val="auto"/>
                      <w:highlight w:val="none"/>
                      <w:lang w:val="en-US" w:eastAsia="zh-CN"/>
                    </w:rPr>
                    <w:t>产生量减少8057t/a</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、脂肪酸产生量为655</w:t>
                  </w:r>
                  <w:r>
                    <w:rPr>
                      <w:rFonts w:hint="default" w:ascii="Times New Roman" w:hAnsi="Times New Roman" w:cs="Times New Roman"/>
                      <w:color w:val="auto"/>
                      <w:highlight w:val="none"/>
                      <w:lang w:val="en-US" w:eastAsia="zh-CN"/>
                    </w:rPr>
                    <w:t>t/a（</w:t>
                  </w:r>
                  <w:r>
                    <w:rPr>
                      <w:rFonts w:hint="eastAsia" w:ascii="Times New Roman" w:hAnsi="Times New Roman" w:cs="Times New Roman"/>
                      <w:color w:val="auto"/>
                      <w:highlight w:val="none"/>
                      <w:lang w:val="en-US" w:eastAsia="zh-CN"/>
                    </w:rPr>
                    <w:t>产生量不变）、废白土产生量为3227</w:t>
                  </w:r>
                  <w:r>
                    <w:rPr>
                      <w:rFonts w:hint="default" w:ascii="Times New Roman" w:hAnsi="Times New Roman" w:cs="Times New Roman"/>
                      <w:color w:val="auto"/>
                      <w:highlight w:val="none"/>
                      <w:lang w:val="en-US" w:eastAsia="zh-CN"/>
                    </w:rPr>
                    <w:t>t/a（</w:t>
                  </w:r>
                  <w:r>
                    <w:rPr>
                      <w:rFonts w:hint="eastAsia" w:ascii="Times New Roman" w:hAnsi="Times New Roman" w:cs="Times New Roman"/>
                      <w:color w:val="auto"/>
                      <w:highlight w:val="none"/>
                      <w:lang w:val="en-US" w:eastAsia="zh-CN"/>
                    </w:rPr>
                    <w:t>产生量不变）。</w:t>
                  </w:r>
                </w:p>
                <w:p w14:paraId="20519C57">
                  <w:pPr>
                    <w:pStyle w:val="3"/>
                    <w:numPr>
                      <w:ilvl w:val="0"/>
                      <w:numId w:val="0"/>
                    </w:numPr>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highlight w:val="none"/>
                      <w:lang w:val="en-US" w:eastAsia="zh-CN"/>
                    </w:rPr>
                    <w:t>技改内容：</w:t>
                  </w:r>
                  <w:r>
                    <w:rPr>
                      <w:rFonts w:hint="default" w:ascii="Times New Roman" w:hAnsi="Times New Roman" w:cs="Times New Roman"/>
                      <w:color w:val="auto"/>
                      <w:highlight w:val="none"/>
                      <w:lang w:eastAsia="zh-CN"/>
                    </w:rPr>
                    <w:t>在</w:t>
                  </w:r>
                  <w:r>
                    <w:rPr>
                      <w:rFonts w:hint="default" w:ascii="Times New Roman" w:hAnsi="Times New Roman" w:cs="Times New Roman"/>
                      <w:color w:val="auto"/>
                      <w:highlight w:val="none"/>
                      <w:lang w:val="en-US" w:eastAsia="zh-CN"/>
                    </w:rPr>
                    <w:t>酸化工序前新增1</w:t>
                  </w:r>
                  <w:r>
                    <w:rPr>
                      <w:rFonts w:hint="default" w:ascii="Times New Roman" w:hAnsi="Times New Roman" w:cs="Times New Roman"/>
                      <w:color w:val="auto"/>
                      <w:lang w:val="en-US" w:eastAsia="zh-CN"/>
                    </w:rPr>
                    <w:t>条磷脂线分支，</w:t>
                  </w:r>
                  <w:r>
                    <w:rPr>
                      <w:rFonts w:hint="eastAsia" w:ascii="Times New Roman" w:hAnsi="Times New Roman" w:cs="Times New Roman"/>
                      <w:color w:val="auto"/>
                      <w:lang w:val="en-US" w:eastAsia="zh-CN"/>
                    </w:rPr>
                    <w:t>磷脂分线的生产工序包括：静态混合、离心分离、薄膜蒸发、冷却、真空捕集。</w:t>
                  </w:r>
                </w:p>
              </w:tc>
              <w:tc>
                <w:tcPr>
                  <w:tcW w:w="396" w:type="pct"/>
                  <w:tcBorders>
                    <w:tl2br w:val="nil"/>
                    <w:tr2bl w:val="nil"/>
                  </w:tcBorders>
                  <w:shd w:val="clear" w:color="auto" w:fill="auto"/>
                  <w:noWrap w:val="0"/>
                  <w:vAlign w:val="center"/>
                </w:tcPr>
                <w:p w14:paraId="304DA445">
                  <w:pPr>
                    <w:pStyle w:val="3"/>
                    <w:bidi w:val="0"/>
                    <w:rPr>
                      <w:rFonts w:hint="eastAsia" w:eastAsia="宋体"/>
                      <w:color w:val="auto"/>
                      <w:lang w:eastAsia="zh-CN"/>
                    </w:rPr>
                  </w:pPr>
                  <w:r>
                    <w:rPr>
                      <w:rFonts w:hint="eastAsia" w:eastAsia="宋体"/>
                      <w:color w:val="auto"/>
                      <w:lang w:eastAsia="zh-CN"/>
                    </w:rPr>
                    <w:t>技改</w:t>
                  </w:r>
                </w:p>
              </w:tc>
            </w:tr>
            <w:tr w14:paraId="21E9223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1E73A971">
                  <w:pPr>
                    <w:pStyle w:val="3"/>
                    <w:bidi w:val="0"/>
                    <w:rPr>
                      <w:rFonts w:hint="default"/>
                      <w:color w:val="auto"/>
                      <w:lang w:val="en-US" w:eastAsia="zh-CN"/>
                    </w:rPr>
                  </w:pPr>
                  <w:r>
                    <w:rPr>
                      <w:rFonts w:hint="eastAsia"/>
                      <w:color w:val="auto"/>
                      <w:lang w:val="en-US" w:eastAsia="zh-CN"/>
                    </w:rPr>
                    <w:t>3</w:t>
                  </w:r>
                </w:p>
              </w:tc>
              <w:tc>
                <w:tcPr>
                  <w:tcW w:w="414" w:type="pct"/>
                  <w:vMerge w:val="restart"/>
                  <w:tcBorders>
                    <w:tl2br w:val="nil"/>
                    <w:tr2bl w:val="nil"/>
                  </w:tcBorders>
                  <w:shd w:val="clear" w:color="auto" w:fill="auto"/>
                  <w:noWrap w:val="0"/>
                  <w:vAlign w:val="center"/>
                </w:tcPr>
                <w:p w14:paraId="603CDEE6">
                  <w:pPr>
                    <w:pStyle w:val="3"/>
                    <w:bidi w:val="0"/>
                    <w:rPr>
                      <w:rFonts w:hint="default"/>
                      <w:color w:val="auto"/>
                    </w:rPr>
                  </w:pPr>
                  <w:r>
                    <w:rPr>
                      <w:rFonts w:hint="default"/>
                      <w:color w:val="auto"/>
                    </w:rPr>
                    <w:t>辅助</w:t>
                  </w:r>
                </w:p>
                <w:p w14:paraId="4BC29041">
                  <w:pPr>
                    <w:pStyle w:val="3"/>
                    <w:bidi w:val="0"/>
                    <w:rPr>
                      <w:rFonts w:hint="default"/>
                      <w:color w:val="auto"/>
                    </w:rPr>
                  </w:pPr>
                  <w:r>
                    <w:rPr>
                      <w:rFonts w:hint="default"/>
                      <w:color w:val="auto"/>
                    </w:rPr>
                    <w:t>工程</w:t>
                  </w:r>
                </w:p>
              </w:tc>
              <w:tc>
                <w:tcPr>
                  <w:tcW w:w="913" w:type="pct"/>
                  <w:gridSpan w:val="2"/>
                  <w:tcBorders>
                    <w:tl2br w:val="nil"/>
                    <w:tr2bl w:val="nil"/>
                  </w:tcBorders>
                  <w:shd w:val="clear" w:color="auto" w:fill="auto"/>
                  <w:noWrap w:val="0"/>
                  <w:vAlign w:val="center"/>
                </w:tcPr>
                <w:p w14:paraId="75EC824E">
                  <w:pPr>
                    <w:pStyle w:val="3"/>
                    <w:bidi w:val="0"/>
                    <w:rPr>
                      <w:rFonts w:hint="default"/>
                      <w:color w:val="auto"/>
                    </w:rPr>
                  </w:pPr>
                  <w:r>
                    <w:rPr>
                      <w:rFonts w:hint="default"/>
                      <w:color w:val="auto"/>
                    </w:rPr>
                    <w:t>办公</w:t>
                  </w:r>
                </w:p>
              </w:tc>
              <w:tc>
                <w:tcPr>
                  <w:tcW w:w="3009" w:type="pct"/>
                  <w:tcBorders>
                    <w:tl2br w:val="nil"/>
                    <w:tr2bl w:val="nil"/>
                  </w:tcBorders>
                  <w:shd w:val="clear" w:color="auto" w:fill="auto"/>
                  <w:noWrap w:val="0"/>
                  <w:vAlign w:val="center"/>
                </w:tcPr>
                <w:p w14:paraId="5FDA62A6">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依托现有办公楼，高</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层，其中1F设置有员工食堂，会议室，行政办公室，2F设置为行政办公室</w:t>
                  </w:r>
                  <w:r>
                    <w:rPr>
                      <w:rFonts w:hint="eastAsia"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43FF3BCA">
                  <w:pPr>
                    <w:pStyle w:val="3"/>
                    <w:bidi w:val="0"/>
                    <w:rPr>
                      <w:rFonts w:hint="default"/>
                      <w:color w:val="auto"/>
                    </w:rPr>
                  </w:pPr>
                  <w:r>
                    <w:rPr>
                      <w:rFonts w:hint="eastAsia"/>
                      <w:color w:val="auto"/>
                      <w:lang w:val="en-US" w:eastAsia="zh-CN"/>
                    </w:rPr>
                    <w:t>依托</w:t>
                  </w:r>
                </w:p>
              </w:tc>
            </w:tr>
            <w:tr w14:paraId="4537FE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52C36B06">
                  <w:pPr>
                    <w:pStyle w:val="3"/>
                    <w:bidi w:val="0"/>
                    <w:rPr>
                      <w:rFonts w:hint="default"/>
                      <w:color w:val="auto"/>
                      <w:lang w:val="en-US" w:eastAsia="zh-CN"/>
                    </w:rPr>
                  </w:pPr>
                  <w:r>
                    <w:rPr>
                      <w:rFonts w:hint="eastAsia"/>
                      <w:color w:val="auto"/>
                      <w:lang w:val="en-US" w:eastAsia="zh-CN"/>
                    </w:rPr>
                    <w:t>4</w:t>
                  </w:r>
                </w:p>
              </w:tc>
              <w:tc>
                <w:tcPr>
                  <w:tcW w:w="414" w:type="pct"/>
                  <w:vMerge w:val="continue"/>
                  <w:tcBorders>
                    <w:tl2br w:val="nil"/>
                    <w:tr2bl w:val="nil"/>
                  </w:tcBorders>
                  <w:shd w:val="clear" w:color="auto" w:fill="auto"/>
                  <w:noWrap w:val="0"/>
                  <w:vAlign w:val="center"/>
                </w:tcPr>
                <w:p w14:paraId="29A29E8E">
                  <w:pPr>
                    <w:pStyle w:val="3"/>
                    <w:bidi w:val="0"/>
                    <w:rPr>
                      <w:rFonts w:hint="default"/>
                      <w:color w:val="auto"/>
                    </w:rPr>
                  </w:pPr>
                </w:p>
              </w:tc>
              <w:tc>
                <w:tcPr>
                  <w:tcW w:w="913" w:type="pct"/>
                  <w:gridSpan w:val="2"/>
                  <w:tcBorders>
                    <w:tl2br w:val="nil"/>
                    <w:tr2bl w:val="nil"/>
                  </w:tcBorders>
                  <w:shd w:val="clear" w:color="auto" w:fill="auto"/>
                  <w:noWrap w:val="0"/>
                  <w:vAlign w:val="center"/>
                </w:tcPr>
                <w:p w14:paraId="0E588F76">
                  <w:pPr>
                    <w:pStyle w:val="3"/>
                    <w:bidi w:val="0"/>
                    <w:rPr>
                      <w:rFonts w:hint="default"/>
                      <w:color w:val="auto"/>
                    </w:rPr>
                  </w:pPr>
                  <w:r>
                    <w:rPr>
                      <w:rFonts w:hint="default"/>
                      <w:color w:val="auto"/>
                    </w:rPr>
                    <w:t>综合楼</w:t>
                  </w:r>
                </w:p>
              </w:tc>
              <w:tc>
                <w:tcPr>
                  <w:tcW w:w="3009" w:type="pct"/>
                  <w:tcBorders>
                    <w:tl2br w:val="nil"/>
                    <w:tr2bl w:val="nil"/>
                  </w:tcBorders>
                  <w:shd w:val="clear" w:color="auto" w:fill="auto"/>
                  <w:noWrap w:val="0"/>
                  <w:vAlign w:val="center"/>
                </w:tcPr>
                <w:p w14:paraId="1C0C902B">
                  <w:pPr>
                    <w:pStyle w:val="3"/>
                    <w:bidi w:val="0"/>
                    <w:jc w:val="both"/>
                    <w:rPr>
                      <w:rFonts w:hint="default" w:ascii="Times New Roman" w:hAnsi="Times New Roman" w:cs="Times New Roman"/>
                      <w:color w:val="auto"/>
                    </w:rPr>
                  </w:pPr>
                  <w:r>
                    <w:rPr>
                      <w:rFonts w:hint="default" w:ascii="Times New Roman" w:hAnsi="Times New Roman" w:cs="Times New Roman"/>
                      <w:color w:val="auto"/>
                      <w:lang w:eastAsia="zh-CN"/>
                    </w:rPr>
                    <w:t>设置</w:t>
                  </w:r>
                  <w:r>
                    <w:rPr>
                      <w:rFonts w:hint="default" w:ascii="Times New Roman" w:hAnsi="Times New Roman" w:cs="Times New Roman"/>
                      <w:color w:val="auto"/>
                    </w:rPr>
                    <w:t>生产办公室、品控室、安全及应急物资储备室</w:t>
                  </w:r>
                </w:p>
              </w:tc>
              <w:tc>
                <w:tcPr>
                  <w:tcW w:w="396" w:type="pct"/>
                  <w:tcBorders>
                    <w:tl2br w:val="nil"/>
                    <w:tr2bl w:val="nil"/>
                  </w:tcBorders>
                  <w:shd w:val="clear" w:color="auto" w:fill="auto"/>
                  <w:noWrap w:val="0"/>
                  <w:vAlign w:val="center"/>
                </w:tcPr>
                <w:p w14:paraId="712B5B96">
                  <w:pPr>
                    <w:pStyle w:val="3"/>
                    <w:bidi w:val="0"/>
                    <w:rPr>
                      <w:rFonts w:hint="eastAsia"/>
                      <w:color w:val="auto"/>
                      <w:lang w:eastAsia="zh-CN"/>
                    </w:rPr>
                  </w:pPr>
                  <w:r>
                    <w:rPr>
                      <w:rFonts w:hint="eastAsia"/>
                      <w:color w:val="auto"/>
                      <w:lang w:val="en-US" w:eastAsia="zh-CN"/>
                    </w:rPr>
                    <w:t>依托</w:t>
                  </w:r>
                </w:p>
              </w:tc>
            </w:tr>
            <w:tr w14:paraId="72DDAB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29AFDC23">
                  <w:pPr>
                    <w:pStyle w:val="3"/>
                    <w:bidi w:val="0"/>
                    <w:rPr>
                      <w:rFonts w:hint="default"/>
                      <w:color w:val="auto"/>
                      <w:lang w:val="en-US" w:eastAsia="zh-CN"/>
                    </w:rPr>
                  </w:pPr>
                  <w:r>
                    <w:rPr>
                      <w:rFonts w:hint="eastAsia"/>
                      <w:color w:val="auto"/>
                      <w:lang w:val="en-US" w:eastAsia="zh-CN"/>
                    </w:rPr>
                    <w:t>5</w:t>
                  </w:r>
                </w:p>
              </w:tc>
              <w:tc>
                <w:tcPr>
                  <w:tcW w:w="414" w:type="pct"/>
                  <w:vMerge w:val="restart"/>
                  <w:tcBorders>
                    <w:tl2br w:val="nil"/>
                    <w:tr2bl w:val="nil"/>
                  </w:tcBorders>
                  <w:shd w:val="clear" w:color="auto" w:fill="auto"/>
                  <w:noWrap w:val="0"/>
                  <w:vAlign w:val="center"/>
                </w:tcPr>
                <w:p w14:paraId="00790831">
                  <w:pPr>
                    <w:pStyle w:val="3"/>
                    <w:bidi w:val="0"/>
                    <w:rPr>
                      <w:rFonts w:hint="default"/>
                      <w:color w:val="auto"/>
                    </w:rPr>
                  </w:pPr>
                  <w:r>
                    <w:rPr>
                      <w:rFonts w:hint="default"/>
                      <w:color w:val="auto"/>
                    </w:rPr>
                    <w:t>公用</w:t>
                  </w:r>
                </w:p>
                <w:p w14:paraId="670BD509">
                  <w:pPr>
                    <w:pStyle w:val="3"/>
                    <w:bidi w:val="0"/>
                    <w:rPr>
                      <w:rFonts w:hint="default"/>
                      <w:color w:val="auto"/>
                    </w:rPr>
                  </w:pPr>
                  <w:r>
                    <w:rPr>
                      <w:rFonts w:hint="default"/>
                      <w:color w:val="auto"/>
                    </w:rPr>
                    <w:t>工程</w:t>
                  </w:r>
                </w:p>
              </w:tc>
              <w:tc>
                <w:tcPr>
                  <w:tcW w:w="913" w:type="pct"/>
                  <w:gridSpan w:val="2"/>
                  <w:tcBorders>
                    <w:tl2br w:val="nil"/>
                    <w:tr2bl w:val="nil"/>
                  </w:tcBorders>
                  <w:shd w:val="clear" w:color="auto" w:fill="auto"/>
                  <w:noWrap w:val="0"/>
                  <w:vAlign w:val="center"/>
                </w:tcPr>
                <w:p w14:paraId="55445C83">
                  <w:pPr>
                    <w:pStyle w:val="3"/>
                    <w:bidi w:val="0"/>
                    <w:rPr>
                      <w:rFonts w:hint="default"/>
                      <w:color w:val="auto"/>
                    </w:rPr>
                  </w:pPr>
                  <w:r>
                    <w:rPr>
                      <w:rFonts w:hint="default"/>
                      <w:color w:val="auto"/>
                    </w:rPr>
                    <w:t>供水</w:t>
                  </w:r>
                </w:p>
              </w:tc>
              <w:tc>
                <w:tcPr>
                  <w:tcW w:w="3009" w:type="pct"/>
                  <w:tcBorders>
                    <w:tl2br w:val="nil"/>
                    <w:tr2bl w:val="nil"/>
                  </w:tcBorders>
                  <w:shd w:val="clear" w:color="auto" w:fill="auto"/>
                  <w:noWrap w:val="0"/>
                  <w:vAlign w:val="center"/>
                </w:tcPr>
                <w:p w14:paraId="772104A7">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本</w:t>
                  </w:r>
                  <w:r>
                    <w:rPr>
                      <w:rFonts w:hint="default" w:ascii="Times New Roman" w:hAnsi="Times New Roman" w:cs="Times New Roman"/>
                      <w:color w:val="auto"/>
                    </w:rPr>
                    <w:t>项目用水来自龙桥镇自来水厂，依托厂区</w:t>
                  </w:r>
                  <w:r>
                    <w:rPr>
                      <w:rFonts w:hint="default" w:ascii="Times New Roman" w:hAnsi="Times New Roman" w:cs="Times New Roman"/>
                      <w:color w:val="auto"/>
                      <w:lang w:eastAsia="zh-CN"/>
                    </w:rPr>
                    <w:t>现有</w:t>
                  </w:r>
                  <w:r>
                    <w:rPr>
                      <w:rFonts w:hint="default" w:ascii="Times New Roman" w:hAnsi="Times New Roman" w:cs="Times New Roman"/>
                      <w:color w:val="auto"/>
                    </w:rPr>
                    <w:t>供水系统</w:t>
                  </w:r>
                </w:p>
              </w:tc>
              <w:tc>
                <w:tcPr>
                  <w:tcW w:w="396" w:type="pct"/>
                  <w:tcBorders>
                    <w:tl2br w:val="nil"/>
                    <w:tr2bl w:val="nil"/>
                  </w:tcBorders>
                  <w:shd w:val="clear" w:color="auto" w:fill="auto"/>
                  <w:noWrap w:val="0"/>
                  <w:vAlign w:val="center"/>
                </w:tcPr>
                <w:p w14:paraId="09D8ECF2">
                  <w:pPr>
                    <w:pStyle w:val="3"/>
                    <w:bidi w:val="0"/>
                    <w:rPr>
                      <w:rFonts w:hint="default"/>
                      <w:color w:val="auto"/>
                    </w:rPr>
                  </w:pPr>
                  <w:r>
                    <w:rPr>
                      <w:rFonts w:hint="eastAsia"/>
                      <w:color w:val="auto"/>
                      <w:lang w:val="en-US" w:eastAsia="zh-CN"/>
                    </w:rPr>
                    <w:t>依托</w:t>
                  </w:r>
                </w:p>
              </w:tc>
            </w:tr>
            <w:tr w14:paraId="471B23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0426497B">
                  <w:pPr>
                    <w:pStyle w:val="3"/>
                    <w:bidi w:val="0"/>
                    <w:rPr>
                      <w:rFonts w:hint="default"/>
                      <w:color w:val="auto"/>
                      <w:lang w:val="en-US" w:eastAsia="zh-CN"/>
                    </w:rPr>
                  </w:pPr>
                  <w:r>
                    <w:rPr>
                      <w:rFonts w:hint="eastAsia"/>
                      <w:color w:val="auto"/>
                      <w:lang w:val="en-US" w:eastAsia="zh-CN"/>
                    </w:rPr>
                    <w:t>6</w:t>
                  </w:r>
                </w:p>
              </w:tc>
              <w:tc>
                <w:tcPr>
                  <w:tcW w:w="414" w:type="pct"/>
                  <w:vMerge w:val="continue"/>
                  <w:tcBorders>
                    <w:tl2br w:val="nil"/>
                    <w:tr2bl w:val="nil"/>
                  </w:tcBorders>
                  <w:shd w:val="clear" w:color="auto" w:fill="auto"/>
                  <w:noWrap w:val="0"/>
                  <w:vAlign w:val="center"/>
                </w:tcPr>
                <w:p w14:paraId="3BF3D012">
                  <w:pPr>
                    <w:pStyle w:val="3"/>
                    <w:bidi w:val="0"/>
                    <w:rPr>
                      <w:rFonts w:hint="default"/>
                      <w:color w:val="auto"/>
                    </w:rPr>
                  </w:pPr>
                </w:p>
              </w:tc>
              <w:tc>
                <w:tcPr>
                  <w:tcW w:w="913" w:type="pct"/>
                  <w:gridSpan w:val="2"/>
                  <w:tcBorders>
                    <w:tl2br w:val="nil"/>
                    <w:tr2bl w:val="nil"/>
                  </w:tcBorders>
                  <w:shd w:val="clear" w:color="auto" w:fill="auto"/>
                  <w:noWrap w:val="0"/>
                  <w:vAlign w:val="center"/>
                </w:tcPr>
                <w:p w14:paraId="31F0DDCB">
                  <w:pPr>
                    <w:pStyle w:val="3"/>
                    <w:bidi w:val="0"/>
                    <w:rPr>
                      <w:rFonts w:hint="default"/>
                      <w:color w:val="auto"/>
                      <w:lang w:eastAsia="en-US"/>
                    </w:rPr>
                  </w:pPr>
                  <w:r>
                    <w:rPr>
                      <w:rFonts w:hint="default"/>
                      <w:color w:val="auto"/>
                    </w:rPr>
                    <w:t>供电</w:t>
                  </w:r>
                </w:p>
              </w:tc>
              <w:tc>
                <w:tcPr>
                  <w:tcW w:w="3009" w:type="pct"/>
                  <w:tcBorders>
                    <w:tl2br w:val="nil"/>
                    <w:tr2bl w:val="nil"/>
                  </w:tcBorders>
                  <w:shd w:val="clear" w:color="auto" w:fill="auto"/>
                  <w:noWrap w:val="0"/>
                  <w:vAlign w:val="center"/>
                </w:tcPr>
                <w:p w14:paraId="223A51AF">
                  <w:pPr>
                    <w:pStyle w:val="3"/>
                    <w:bidi w:val="0"/>
                    <w:jc w:val="both"/>
                    <w:rPr>
                      <w:rFonts w:hint="default" w:ascii="Times New Roman" w:hAnsi="Times New Roman" w:cs="Times New Roman"/>
                      <w:color w:val="auto"/>
                    </w:rPr>
                  </w:pPr>
                  <w:r>
                    <w:rPr>
                      <w:rFonts w:hint="default" w:ascii="Times New Roman" w:hAnsi="Times New Roman" w:cs="Times New Roman"/>
                      <w:color w:val="auto"/>
                    </w:rPr>
                    <w:t>依托厂区供配电系统，厂区各厂房内变电所供电由厂区内10kV配变电所提供，其电源来自龙桥工业园区的110/10kV变电站供应。</w:t>
                  </w:r>
                </w:p>
              </w:tc>
              <w:tc>
                <w:tcPr>
                  <w:tcW w:w="396" w:type="pct"/>
                  <w:tcBorders>
                    <w:tl2br w:val="nil"/>
                    <w:tr2bl w:val="nil"/>
                  </w:tcBorders>
                  <w:shd w:val="clear" w:color="auto" w:fill="auto"/>
                  <w:noWrap w:val="0"/>
                  <w:vAlign w:val="center"/>
                </w:tcPr>
                <w:p w14:paraId="7438EFD3">
                  <w:pPr>
                    <w:pStyle w:val="3"/>
                    <w:bidi w:val="0"/>
                    <w:rPr>
                      <w:rFonts w:hint="default"/>
                      <w:color w:val="auto"/>
                      <w:lang w:eastAsia="en-US"/>
                    </w:rPr>
                  </w:pPr>
                  <w:r>
                    <w:rPr>
                      <w:rFonts w:hint="eastAsia"/>
                      <w:color w:val="auto"/>
                      <w:lang w:val="en-US" w:eastAsia="zh-CN"/>
                    </w:rPr>
                    <w:t>依托</w:t>
                  </w:r>
                </w:p>
              </w:tc>
            </w:tr>
            <w:tr w14:paraId="3D10E7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7444FC06">
                  <w:pPr>
                    <w:pStyle w:val="3"/>
                    <w:bidi w:val="0"/>
                    <w:rPr>
                      <w:rFonts w:hint="default"/>
                      <w:color w:val="auto"/>
                      <w:lang w:val="en-US" w:eastAsia="zh-CN"/>
                    </w:rPr>
                  </w:pPr>
                  <w:r>
                    <w:rPr>
                      <w:rFonts w:hint="eastAsia"/>
                      <w:color w:val="auto"/>
                      <w:lang w:val="en-US" w:eastAsia="zh-CN"/>
                    </w:rPr>
                    <w:t>7</w:t>
                  </w:r>
                </w:p>
              </w:tc>
              <w:tc>
                <w:tcPr>
                  <w:tcW w:w="414" w:type="pct"/>
                  <w:vMerge w:val="continue"/>
                  <w:tcBorders>
                    <w:tl2br w:val="nil"/>
                    <w:tr2bl w:val="nil"/>
                  </w:tcBorders>
                  <w:shd w:val="clear" w:color="auto" w:fill="auto"/>
                  <w:noWrap w:val="0"/>
                  <w:vAlign w:val="center"/>
                </w:tcPr>
                <w:p w14:paraId="0EBB7612">
                  <w:pPr>
                    <w:pStyle w:val="3"/>
                    <w:bidi w:val="0"/>
                    <w:rPr>
                      <w:rFonts w:hint="default"/>
                      <w:color w:val="auto"/>
                    </w:rPr>
                  </w:pPr>
                </w:p>
              </w:tc>
              <w:tc>
                <w:tcPr>
                  <w:tcW w:w="913" w:type="pct"/>
                  <w:gridSpan w:val="2"/>
                  <w:tcBorders>
                    <w:tl2br w:val="nil"/>
                    <w:tr2bl w:val="nil"/>
                  </w:tcBorders>
                  <w:shd w:val="clear" w:color="auto" w:fill="auto"/>
                  <w:noWrap w:val="0"/>
                  <w:vAlign w:val="center"/>
                </w:tcPr>
                <w:p w14:paraId="0EABFF00">
                  <w:pPr>
                    <w:pStyle w:val="3"/>
                    <w:bidi w:val="0"/>
                    <w:rPr>
                      <w:rFonts w:hint="eastAsia"/>
                      <w:color w:val="auto"/>
                      <w:lang w:eastAsia="zh-CN"/>
                    </w:rPr>
                  </w:pPr>
                  <w:r>
                    <w:rPr>
                      <w:rFonts w:hint="eastAsia"/>
                      <w:color w:val="auto"/>
                      <w:lang w:eastAsia="zh-CN"/>
                    </w:rPr>
                    <w:t>蒸汽供给</w:t>
                  </w:r>
                </w:p>
              </w:tc>
              <w:tc>
                <w:tcPr>
                  <w:tcW w:w="3009" w:type="pct"/>
                  <w:tcBorders>
                    <w:tl2br w:val="nil"/>
                    <w:tr2bl w:val="nil"/>
                  </w:tcBorders>
                  <w:shd w:val="clear" w:color="auto" w:fill="auto"/>
                  <w:noWrap w:val="0"/>
                  <w:vAlign w:val="center"/>
                </w:tcPr>
                <w:p w14:paraId="59C2484D">
                  <w:pPr>
                    <w:pStyle w:val="3"/>
                    <w:bidi w:val="0"/>
                    <w:jc w:val="both"/>
                    <w:rPr>
                      <w:rFonts w:hint="default" w:ascii="Times New Roman" w:hAnsi="Times New Roman" w:cs="Times New Roman"/>
                      <w:color w:val="auto"/>
                    </w:rPr>
                  </w:pPr>
                  <w:r>
                    <w:rPr>
                      <w:rFonts w:hint="default" w:ascii="Times New Roman" w:hAnsi="Times New Roman" w:cs="Times New Roman"/>
                      <w:color w:val="auto"/>
                      <w:lang w:eastAsia="zh-CN"/>
                    </w:rPr>
                    <w:t>大豆膨化生产线膨化工序所需蒸汽由园区供汽管网供给；</w:t>
                  </w:r>
                  <w:r>
                    <w:rPr>
                      <w:rFonts w:hint="default" w:ascii="Times New Roman" w:hAnsi="Times New Roman" w:cs="Times New Roman"/>
                      <w:color w:val="auto"/>
                      <w:highlight w:val="none"/>
                      <w:lang w:val="en-US" w:eastAsia="zh-CN"/>
                    </w:rPr>
                    <w:t>精炼生产线</w:t>
                  </w:r>
                  <w:r>
                    <w:rPr>
                      <w:rFonts w:hint="eastAsia" w:ascii="Times New Roman" w:hAnsi="Times New Roman" w:cs="Times New Roman"/>
                      <w:color w:val="auto"/>
                      <w:highlight w:val="none"/>
                      <w:lang w:val="en-US" w:eastAsia="zh-CN"/>
                    </w:rPr>
                    <w:t>磷脂分线加热所需的</w:t>
                  </w:r>
                  <w:r>
                    <w:rPr>
                      <w:rFonts w:hint="default" w:ascii="Times New Roman" w:hAnsi="Times New Roman" w:cs="Times New Roman"/>
                      <w:color w:val="auto"/>
                      <w:highlight w:val="none"/>
                      <w:lang w:val="en-US" w:eastAsia="zh-CN"/>
                    </w:rPr>
                    <w:t>蒸汽</w:t>
                  </w:r>
                  <w:r>
                    <w:rPr>
                      <w:rFonts w:hint="default" w:ascii="Times New Roman" w:hAnsi="Times New Roman" w:cs="Times New Roman"/>
                      <w:color w:val="auto"/>
                      <w:highlight w:val="none"/>
                      <w:lang w:eastAsia="zh-CN"/>
                    </w:rPr>
                    <w:t>由园区供汽管网供给</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lang w:val="en-US" w:eastAsia="zh-CN"/>
                    </w:rPr>
                    <w:t>精炼生产线</w:t>
                  </w:r>
                  <w:r>
                    <w:rPr>
                      <w:rFonts w:hint="eastAsia" w:ascii="Times New Roman" w:hAnsi="Times New Roman" w:cs="Times New Roman"/>
                      <w:color w:val="auto"/>
                      <w:lang w:val="en-US" w:eastAsia="zh-CN"/>
                    </w:rPr>
                    <w:t>主线的</w:t>
                  </w:r>
                  <w:r>
                    <w:rPr>
                      <w:rFonts w:hint="default" w:ascii="Times New Roman" w:hAnsi="Times New Roman" w:cs="Times New Roman"/>
                      <w:color w:val="auto"/>
                      <w:lang w:val="en-US" w:eastAsia="zh-CN"/>
                    </w:rPr>
                    <w:t>蒸汽供给不发生变化，</w:t>
                  </w:r>
                  <w:r>
                    <w:rPr>
                      <w:rFonts w:hint="eastAsia" w:ascii="Times New Roman" w:hAnsi="Times New Roman" w:cs="Times New Roman"/>
                      <w:color w:val="auto"/>
                      <w:lang w:val="en-US" w:eastAsia="zh-CN"/>
                    </w:rPr>
                    <w:t>依托现有燃气</w:t>
                  </w:r>
                  <w:r>
                    <w:rPr>
                      <w:rFonts w:hint="default" w:ascii="Times New Roman" w:hAnsi="Times New Roman" w:cs="Times New Roman"/>
                      <w:color w:val="auto"/>
                      <w:lang w:val="en-US" w:eastAsia="zh-CN"/>
                    </w:rPr>
                    <w:t>锅炉和园区供汽管网同时供给。</w:t>
                  </w:r>
                </w:p>
              </w:tc>
              <w:tc>
                <w:tcPr>
                  <w:tcW w:w="396" w:type="pct"/>
                  <w:tcBorders>
                    <w:tl2br w:val="nil"/>
                    <w:tr2bl w:val="nil"/>
                  </w:tcBorders>
                  <w:shd w:val="clear" w:color="auto" w:fill="auto"/>
                  <w:noWrap w:val="0"/>
                  <w:vAlign w:val="center"/>
                </w:tcPr>
                <w:p w14:paraId="1C40B957">
                  <w:pPr>
                    <w:pStyle w:val="3"/>
                    <w:bidi w:val="0"/>
                    <w:rPr>
                      <w:rFonts w:hint="default"/>
                      <w:color w:val="auto"/>
                    </w:rPr>
                  </w:pPr>
                  <w:r>
                    <w:rPr>
                      <w:rFonts w:hint="eastAsia"/>
                      <w:color w:val="auto"/>
                      <w:lang w:val="en-US" w:eastAsia="zh-CN"/>
                    </w:rPr>
                    <w:t>依托</w:t>
                  </w:r>
                </w:p>
              </w:tc>
            </w:tr>
            <w:tr w14:paraId="5BAC72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4467AE90">
                  <w:pPr>
                    <w:pStyle w:val="3"/>
                    <w:bidi w:val="0"/>
                    <w:rPr>
                      <w:rFonts w:hint="default"/>
                      <w:color w:val="auto"/>
                      <w:lang w:val="en-US" w:eastAsia="zh-CN"/>
                    </w:rPr>
                  </w:pPr>
                  <w:r>
                    <w:rPr>
                      <w:rFonts w:hint="eastAsia"/>
                      <w:color w:val="auto"/>
                      <w:lang w:val="en-US" w:eastAsia="zh-CN"/>
                    </w:rPr>
                    <w:t>8</w:t>
                  </w:r>
                </w:p>
              </w:tc>
              <w:tc>
                <w:tcPr>
                  <w:tcW w:w="414" w:type="pct"/>
                  <w:vMerge w:val="continue"/>
                  <w:tcBorders>
                    <w:tl2br w:val="nil"/>
                    <w:tr2bl w:val="nil"/>
                  </w:tcBorders>
                  <w:shd w:val="clear" w:color="auto" w:fill="auto"/>
                  <w:noWrap w:val="0"/>
                  <w:vAlign w:val="center"/>
                </w:tcPr>
                <w:p w14:paraId="423A2E84">
                  <w:pPr>
                    <w:pStyle w:val="3"/>
                    <w:bidi w:val="0"/>
                    <w:rPr>
                      <w:rFonts w:hint="default"/>
                      <w:color w:val="auto"/>
                    </w:rPr>
                  </w:pPr>
                </w:p>
              </w:tc>
              <w:tc>
                <w:tcPr>
                  <w:tcW w:w="913" w:type="pct"/>
                  <w:gridSpan w:val="2"/>
                  <w:tcBorders>
                    <w:tl2br w:val="nil"/>
                    <w:tr2bl w:val="nil"/>
                  </w:tcBorders>
                  <w:shd w:val="clear" w:color="auto" w:fill="auto"/>
                  <w:noWrap w:val="0"/>
                  <w:vAlign w:val="center"/>
                </w:tcPr>
                <w:p w14:paraId="599CDBD9">
                  <w:pPr>
                    <w:pStyle w:val="3"/>
                    <w:bidi w:val="0"/>
                    <w:rPr>
                      <w:rFonts w:hint="default"/>
                      <w:color w:val="auto"/>
                      <w:lang w:eastAsia="en-US"/>
                    </w:rPr>
                  </w:pPr>
                  <w:r>
                    <w:rPr>
                      <w:rFonts w:hint="default"/>
                      <w:color w:val="auto"/>
                    </w:rPr>
                    <w:t>排水</w:t>
                  </w:r>
                </w:p>
              </w:tc>
              <w:tc>
                <w:tcPr>
                  <w:tcW w:w="3009" w:type="pct"/>
                  <w:tcBorders>
                    <w:tl2br w:val="nil"/>
                    <w:tr2bl w:val="nil"/>
                  </w:tcBorders>
                  <w:shd w:val="clear" w:color="auto" w:fill="auto"/>
                  <w:noWrap w:val="0"/>
                  <w:vAlign w:val="center"/>
                </w:tcPr>
                <w:p w14:paraId="040240FF">
                  <w:pPr>
                    <w:pStyle w:val="3"/>
                    <w:bidi w:val="0"/>
                    <w:jc w:val="both"/>
                    <w:rPr>
                      <w:rFonts w:hint="default"/>
                      <w:color w:val="auto"/>
                    </w:rPr>
                  </w:pPr>
                  <w:r>
                    <w:rPr>
                      <w:rFonts w:hint="eastAsia"/>
                      <w:color w:val="auto"/>
                      <w:lang w:eastAsia="zh-CN"/>
                    </w:rPr>
                    <w:t>采用</w:t>
                  </w:r>
                  <w:r>
                    <w:rPr>
                      <w:rFonts w:hint="default"/>
                      <w:color w:val="auto"/>
                    </w:rPr>
                    <w:t>雨污分流，厂区雨水经过雨水管网收集后经雨水沉降池排入长江。生活污水与生产废水</w:t>
                  </w:r>
                  <w:r>
                    <w:rPr>
                      <w:rFonts w:hint="eastAsia"/>
                      <w:color w:val="auto"/>
                      <w:lang w:eastAsia="zh-CN"/>
                    </w:rPr>
                    <w:t>经厂区污水处理站处理后排入市政污水管网，经龙桥污水处理厂</w:t>
                  </w:r>
                  <w:r>
                    <w:rPr>
                      <w:rFonts w:hint="default"/>
                      <w:color w:val="auto"/>
                    </w:rPr>
                    <w:t>处理后</w:t>
                  </w:r>
                  <w:r>
                    <w:rPr>
                      <w:rFonts w:hint="eastAsia"/>
                      <w:color w:val="auto"/>
                      <w:lang w:eastAsia="zh-CN"/>
                    </w:rPr>
                    <w:t>经</w:t>
                  </w:r>
                  <w:r>
                    <w:rPr>
                      <w:rFonts w:hint="default"/>
                      <w:color w:val="auto"/>
                    </w:rPr>
                    <w:t>冉家沟</w:t>
                  </w:r>
                  <w:r>
                    <w:rPr>
                      <w:rFonts w:hint="eastAsia"/>
                      <w:color w:val="auto"/>
                      <w:lang w:eastAsia="zh-CN"/>
                    </w:rPr>
                    <w:t>排入</w:t>
                  </w:r>
                  <w:r>
                    <w:rPr>
                      <w:rFonts w:hint="default"/>
                      <w:color w:val="auto"/>
                    </w:rPr>
                    <w:t>长江。</w:t>
                  </w:r>
                </w:p>
              </w:tc>
              <w:tc>
                <w:tcPr>
                  <w:tcW w:w="396" w:type="pct"/>
                  <w:tcBorders>
                    <w:tl2br w:val="nil"/>
                    <w:tr2bl w:val="nil"/>
                  </w:tcBorders>
                  <w:shd w:val="clear" w:color="auto" w:fill="auto"/>
                  <w:noWrap w:val="0"/>
                  <w:vAlign w:val="center"/>
                </w:tcPr>
                <w:p w14:paraId="262C9D67">
                  <w:pPr>
                    <w:pStyle w:val="3"/>
                    <w:bidi w:val="0"/>
                    <w:rPr>
                      <w:rFonts w:hint="default"/>
                      <w:color w:val="auto"/>
                    </w:rPr>
                  </w:pPr>
                  <w:r>
                    <w:rPr>
                      <w:rFonts w:hint="eastAsia"/>
                      <w:color w:val="auto"/>
                      <w:lang w:val="en-US" w:eastAsia="zh-CN"/>
                    </w:rPr>
                    <w:t>依托</w:t>
                  </w:r>
                </w:p>
              </w:tc>
            </w:tr>
            <w:tr w14:paraId="45F7F8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55E0509B">
                  <w:pPr>
                    <w:pStyle w:val="3"/>
                    <w:bidi w:val="0"/>
                    <w:rPr>
                      <w:rFonts w:hint="default"/>
                      <w:color w:val="auto"/>
                      <w:lang w:val="en-US" w:eastAsia="zh-CN"/>
                    </w:rPr>
                  </w:pPr>
                  <w:r>
                    <w:rPr>
                      <w:rFonts w:hint="eastAsia"/>
                      <w:color w:val="auto"/>
                      <w:lang w:val="en-US" w:eastAsia="zh-CN"/>
                    </w:rPr>
                    <w:t>9</w:t>
                  </w:r>
                </w:p>
              </w:tc>
              <w:tc>
                <w:tcPr>
                  <w:tcW w:w="414" w:type="pct"/>
                  <w:vMerge w:val="restart"/>
                  <w:tcBorders>
                    <w:tl2br w:val="nil"/>
                    <w:tr2bl w:val="nil"/>
                  </w:tcBorders>
                  <w:shd w:val="clear" w:color="auto" w:fill="auto"/>
                  <w:noWrap w:val="0"/>
                  <w:vAlign w:val="center"/>
                </w:tcPr>
                <w:p w14:paraId="0F15E53D">
                  <w:pPr>
                    <w:pStyle w:val="3"/>
                    <w:bidi w:val="0"/>
                    <w:rPr>
                      <w:rFonts w:hint="default"/>
                      <w:color w:val="auto"/>
                    </w:rPr>
                  </w:pPr>
                  <w:r>
                    <w:rPr>
                      <w:rFonts w:hint="default"/>
                      <w:color w:val="auto"/>
                    </w:rPr>
                    <w:t>储运</w:t>
                  </w:r>
                </w:p>
                <w:p w14:paraId="172D4ECB">
                  <w:pPr>
                    <w:pStyle w:val="3"/>
                    <w:bidi w:val="0"/>
                    <w:rPr>
                      <w:rFonts w:hint="default"/>
                      <w:color w:val="auto"/>
                    </w:rPr>
                  </w:pPr>
                  <w:r>
                    <w:rPr>
                      <w:rFonts w:hint="default"/>
                      <w:color w:val="auto"/>
                    </w:rPr>
                    <w:t>工程</w:t>
                  </w:r>
                </w:p>
              </w:tc>
              <w:tc>
                <w:tcPr>
                  <w:tcW w:w="913" w:type="pct"/>
                  <w:gridSpan w:val="2"/>
                  <w:tcBorders>
                    <w:tl2br w:val="nil"/>
                    <w:tr2bl w:val="nil"/>
                  </w:tcBorders>
                  <w:shd w:val="clear" w:color="auto" w:fill="auto"/>
                  <w:noWrap w:val="0"/>
                  <w:vAlign w:val="center"/>
                </w:tcPr>
                <w:p w14:paraId="3A4B4DA1">
                  <w:pPr>
                    <w:pStyle w:val="3"/>
                    <w:bidi w:val="0"/>
                    <w:rPr>
                      <w:rFonts w:hint="eastAsia"/>
                      <w:color w:val="auto"/>
                      <w:lang w:eastAsia="zh-CN"/>
                    </w:rPr>
                  </w:pPr>
                  <w:r>
                    <w:rPr>
                      <w:rFonts w:hint="eastAsia"/>
                      <w:color w:val="auto"/>
                      <w:lang w:eastAsia="zh-CN"/>
                    </w:rPr>
                    <w:t>大豆膨化生产线</w:t>
                  </w:r>
                </w:p>
              </w:tc>
              <w:tc>
                <w:tcPr>
                  <w:tcW w:w="3009" w:type="pct"/>
                  <w:tcBorders>
                    <w:tl2br w:val="nil"/>
                    <w:tr2bl w:val="nil"/>
                  </w:tcBorders>
                  <w:shd w:val="clear" w:color="auto" w:fill="auto"/>
                  <w:noWrap w:val="0"/>
                  <w:vAlign w:val="center"/>
                </w:tcPr>
                <w:p w14:paraId="0DE2D649">
                  <w:pPr>
                    <w:pStyle w:val="3"/>
                    <w:bidi w:val="0"/>
                    <w:jc w:val="both"/>
                    <w:rPr>
                      <w:rFonts w:hint="eastAsia" w:eastAsia="宋体"/>
                      <w:color w:val="auto"/>
                      <w:lang w:eastAsia="zh-CN"/>
                    </w:rPr>
                  </w:pPr>
                  <w:r>
                    <w:rPr>
                      <w:rFonts w:hint="default" w:ascii="Times New Roman" w:hAnsi="Times New Roman" w:cs="Times New Roman"/>
                      <w:color w:val="auto"/>
                      <w:lang w:val="en-US" w:eastAsia="zh-CN"/>
                    </w:rPr>
                    <w:t>大豆膨化生产线原料大豆的储存依托现有的</w:t>
                  </w: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个大豆</w:t>
                  </w:r>
                  <w:r>
                    <w:rPr>
                      <w:rFonts w:hint="eastAsia" w:ascii="Times New Roman" w:hAnsi="Times New Roman" w:cs="Times New Roman"/>
                      <w:color w:val="auto"/>
                      <w:lang w:val="en-US" w:eastAsia="zh-CN"/>
                    </w:rPr>
                    <w:t>筒仓</w:t>
                  </w:r>
                  <w:r>
                    <w:rPr>
                      <w:rFonts w:hint="default" w:ascii="Times New Roman" w:hAnsi="Times New Roman" w:cs="Times New Roman"/>
                      <w:color w:val="auto"/>
                    </w:rPr>
                    <w:t>，</w:t>
                  </w:r>
                  <w:r>
                    <w:rPr>
                      <w:rFonts w:hint="default" w:ascii="Times New Roman" w:hAnsi="Times New Roman" w:cs="Times New Roman"/>
                      <w:color w:val="auto"/>
                      <w:lang w:eastAsia="zh-CN"/>
                    </w:rPr>
                    <w:t>其中</w:t>
                  </w:r>
                  <w:r>
                    <w:rPr>
                      <w:rFonts w:hint="default" w:ascii="Times New Roman" w:hAnsi="Times New Roman" w:cs="Times New Roman"/>
                      <w:color w:val="auto"/>
                    </w:rPr>
                    <w:t>6000t容量</w:t>
                  </w:r>
                  <w:r>
                    <w:rPr>
                      <w:rFonts w:hint="default" w:ascii="Times New Roman" w:hAnsi="Times New Roman" w:cs="Times New Roman"/>
                      <w:color w:val="auto"/>
                      <w:lang w:eastAsia="zh-CN"/>
                    </w:rPr>
                    <w:t>的</w:t>
                  </w:r>
                  <w:r>
                    <w:rPr>
                      <w:rFonts w:hint="default" w:ascii="Times New Roman" w:hAnsi="Times New Roman" w:cs="Times New Roman"/>
                      <w:color w:val="auto"/>
                    </w:rPr>
                    <w:t>大豆筒仓4个，15000t容量</w:t>
                  </w:r>
                  <w:r>
                    <w:rPr>
                      <w:rFonts w:hint="default" w:ascii="Times New Roman" w:hAnsi="Times New Roman" w:cs="Times New Roman"/>
                      <w:color w:val="auto"/>
                      <w:lang w:eastAsia="zh-CN"/>
                    </w:rPr>
                    <w:t>的</w:t>
                  </w:r>
                  <w:r>
                    <w:rPr>
                      <w:rFonts w:hint="default" w:ascii="Times New Roman" w:hAnsi="Times New Roman" w:cs="Times New Roman"/>
                      <w:color w:val="auto"/>
                    </w:rPr>
                    <w:t>大豆筒仓</w:t>
                  </w: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个</w:t>
                  </w:r>
                  <w:r>
                    <w:rPr>
                      <w:rFonts w:hint="eastAsia" w:ascii="Times New Roman" w:hAnsi="Times New Roman" w:eastAsia="宋体" w:cs="Times New Roman"/>
                      <w:color w:val="auto"/>
                      <w:lang w:eastAsia="zh-CN"/>
                    </w:rPr>
                    <w:t>。</w:t>
                  </w:r>
                </w:p>
              </w:tc>
              <w:tc>
                <w:tcPr>
                  <w:tcW w:w="396" w:type="pct"/>
                  <w:tcBorders>
                    <w:tl2br w:val="nil"/>
                    <w:tr2bl w:val="nil"/>
                  </w:tcBorders>
                  <w:shd w:val="clear" w:color="auto" w:fill="auto"/>
                  <w:noWrap w:val="0"/>
                  <w:vAlign w:val="center"/>
                </w:tcPr>
                <w:p w14:paraId="7271A5F0">
                  <w:pPr>
                    <w:pStyle w:val="3"/>
                    <w:bidi w:val="0"/>
                    <w:rPr>
                      <w:rFonts w:hint="default"/>
                      <w:color w:val="auto"/>
                    </w:rPr>
                  </w:pPr>
                  <w:r>
                    <w:rPr>
                      <w:rFonts w:hint="eastAsia"/>
                      <w:color w:val="auto"/>
                      <w:lang w:val="en-US" w:eastAsia="zh-CN"/>
                    </w:rPr>
                    <w:t>依托</w:t>
                  </w:r>
                </w:p>
              </w:tc>
            </w:tr>
            <w:tr w14:paraId="5EA86D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0A7D74F1">
                  <w:pPr>
                    <w:pStyle w:val="3"/>
                    <w:bidi w:val="0"/>
                    <w:rPr>
                      <w:rFonts w:hint="default"/>
                      <w:color w:val="auto"/>
                      <w:lang w:val="en-US" w:eastAsia="zh-CN"/>
                    </w:rPr>
                  </w:pPr>
                  <w:r>
                    <w:rPr>
                      <w:rFonts w:hint="eastAsia"/>
                      <w:color w:val="auto"/>
                      <w:lang w:val="en-US" w:eastAsia="zh-CN"/>
                    </w:rPr>
                    <w:t>10</w:t>
                  </w:r>
                </w:p>
              </w:tc>
              <w:tc>
                <w:tcPr>
                  <w:tcW w:w="414" w:type="pct"/>
                  <w:vMerge w:val="continue"/>
                  <w:tcBorders>
                    <w:tl2br w:val="nil"/>
                    <w:tr2bl w:val="nil"/>
                  </w:tcBorders>
                  <w:shd w:val="clear" w:color="auto" w:fill="auto"/>
                  <w:noWrap w:val="0"/>
                  <w:vAlign w:val="center"/>
                </w:tcPr>
                <w:p w14:paraId="0D25154C">
                  <w:pPr>
                    <w:pStyle w:val="3"/>
                    <w:bidi w:val="0"/>
                    <w:rPr>
                      <w:rFonts w:hint="default"/>
                      <w:color w:val="auto"/>
                    </w:rPr>
                  </w:pPr>
                </w:p>
              </w:tc>
              <w:tc>
                <w:tcPr>
                  <w:tcW w:w="265" w:type="pct"/>
                  <w:vMerge w:val="restart"/>
                  <w:tcBorders>
                    <w:tl2br w:val="nil"/>
                    <w:tr2bl w:val="nil"/>
                  </w:tcBorders>
                  <w:shd w:val="clear" w:color="auto" w:fill="auto"/>
                  <w:noWrap w:val="0"/>
                  <w:vAlign w:val="center"/>
                </w:tcPr>
                <w:p w14:paraId="57928180">
                  <w:pPr>
                    <w:pStyle w:val="3"/>
                    <w:bidi w:val="0"/>
                    <w:rPr>
                      <w:rFonts w:hint="eastAsia"/>
                      <w:color w:val="auto"/>
                      <w:lang w:eastAsia="zh-CN"/>
                    </w:rPr>
                  </w:pPr>
                  <w:r>
                    <w:rPr>
                      <w:rFonts w:hint="eastAsia"/>
                      <w:color w:val="auto"/>
                      <w:lang w:eastAsia="zh-CN"/>
                    </w:rPr>
                    <w:t>精炼生产线</w:t>
                  </w:r>
                </w:p>
              </w:tc>
              <w:tc>
                <w:tcPr>
                  <w:tcW w:w="647" w:type="pct"/>
                  <w:tcBorders>
                    <w:tl2br w:val="nil"/>
                    <w:tr2bl w:val="nil"/>
                  </w:tcBorders>
                  <w:shd w:val="clear" w:color="auto" w:fill="auto"/>
                  <w:noWrap w:val="0"/>
                  <w:vAlign w:val="center"/>
                </w:tcPr>
                <w:p w14:paraId="62872A78">
                  <w:pPr>
                    <w:pStyle w:val="3"/>
                    <w:bidi w:val="0"/>
                    <w:rPr>
                      <w:rFonts w:hint="eastAsia"/>
                      <w:color w:val="auto"/>
                      <w:lang w:eastAsia="zh-CN"/>
                    </w:rPr>
                  </w:pPr>
                  <w:r>
                    <w:rPr>
                      <w:rFonts w:hint="eastAsia"/>
                      <w:color w:val="auto"/>
                      <w:lang w:eastAsia="zh-CN"/>
                    </w:rPr>
                    <w:t>毛油储存</w:t>
                  </w:r>
                </w:p>
              </w:tc>
              <w:tc>
                <w:tcPr>
                  <w:tcW w:w="3009" w:type="pct"/>
                  <w:tcBorders>
                    <w:tl2br w:val="nil"/>
                    <w:tr2bl w:val="nil"/>
                  </w:tcBorders>
                  <w:shd w:val="clear" w:color="auto" w:fill="auto"/>
                  <w:noWrap w:val="0"/>
                  <w:vAlign w:val="center"/>
                </w:tcPr>
                <w:p w14:paraId="1BA1E39D">
                  <w:pPr>
                    <w:pStyle w:val="3"/>
                    <w:bidi w:val="0"/>
                    <w:jc w:val="both"/>
                    <w:rPr>
                      <w:rFonts w:hint="eastAsia" w:eastAsia="宋体"/>
                      <w:color w:val="auto"/>
                      <w:lang w:val="en-US" w:eastAsia="zh-CN"/>
                    </w:rPr>
                  </w:pPr>
                  <w:r>
                    <w:rPr>
                      <w:rFonts w:hint="eastAsia" w:ascii="Times New Roman" w:hAnsi="Times New Roman" w:cs="Times New Roman"/>
                      <w:color w:val="auto"/>
                      <w:highlight w:val="none"/>
                      <w:lang w:eastAsia="zh-CN"/>
                    </w:rPr>
                    <w:t>精炼生产线使用的毛油依托厂区现有毛油储存设施</w:t>
                  </w:r>
                  <w:r>
                    <w:rPr>
                      <w:rFonts w:hint="default" w:ascii="Times New Roman" w:hAnsi="Times New Roman" w:cs="Times New Roman"/>
                      <w:color w:val="auto"/>
                      <w:highlight w:val="none"/>
                      <w:lang w:eastAsia="zh-CN"/>
                    </w:rPr>
                    <w:t>，毛油的储存情况不发生变化，</w:t>
                  </w:r>
                  <w:r>
                    <w:rPr>
                      <w:rFonts w:hint="default" w:ascii="Times New Roman" w:hAnsi="Times New Roman" w:cs="Times New Roman"/>
                      <w:color w:val="auto"/>
                      <w:lang w:val="en-US" w:eastAsia="zh-CN"/>
                    </w:rPr>
                    <w:t>厂区</w:t>
                  </w:r>
                  <w:r>
                    <w:rPr>
                      <w:rFonts w:hint="default" w:ascii="Times New Roman" w:hAnsi="Times New Roman" w:cs="Times New Roman"/>
                      <w:color w:val="auto"/>
                      <w:lang w:eastAsia="zh-CN"/>
                    </w:rPr>
                    <w:t>现有</w:t>
                  </w:r>
                  <w:r>
                    <w:rPr>
                      <w:rFonts w:hint="eastAsia" w:ascii="Times New Roman" w:hAnsi="Times New Roman" w:eastAsia="宋体" w:cs="Times New Roman"/>
                      <w:color w:val="auto"/>
                      <w:lang w:val="en-US" w:eastAsia="zh-CN"/>
                    </w:rPr>
                    <w:t>2</w:t>
                  </w:r>
                  <w:r>
                    <w:rPr>
                      <w:rFonts w:hint="default" w:ascii="Times New Roman" w:hAnsi="Times New Roman" w:cs="Times New Roman"/>
                      <w:color w:val="auto"/>
                    </w:rPr>
                    <w:t>个毛油储罐，</w:t>
                  </w:r>
                  <w:r>
                    <w:rPr>
                      <w:rFonts w:hint="eastAsia" w:ascii="Times New Roman" w:hAnsi="Times New Roman" w:eastAsia="宋体" w:cs="Times New Roman"/>
                      <w:color w:val="auto"/>
                      <w:lang w:eastAsia="zh-CN"/>
                    </w:rPr>
                    <w:t>其中</w:t>
                  </w:r>
                  <w:r>
                    <w:rPr>
                      <w:rFonts w:hint="eastAsia" w:ascii="Times New Roman" w:hAnsi="Times New Roman" w:eastAsia="宋体" w:cs="Times New Roman"/>
                      <w:color w:val="auto"/>
                      <w:lang w:val="en-US" w:eastAsia="zh-CN"/>
                    </w:rPr>
                    <w:t>8#罐区毛油储罐</w:t>
                  </w:r>
                  <w:r>
                    <w:rPr>
                      <w:rFonts w:hint="default" w:ascii="Times New Roman" w:hAnsi="Times New Roman" w:cs="Times New Roman"/>
                      <w:color w:val="auto"/>
                    </w:rPr>
                    <w:t>规格为800t/罐，</w:t>
                  </w:r>
                  <w:r>
                    <w:rPr>
                      <w:rFonts w:hint="eastAsia" w:ascii="Times New Roman" w:hAnsi="Times New Roman" w:eastAsia="宋体" w:cs="Times New Roman"/>
                      <w:color w:val="auto"/>
                      <w:lang w:val="en-US" w:eastAsia="zh-CN"/>
                    </w:rPr>
                    <w:t>5#罐区毛油储罐规格为2</w:t>
                  </w:r>
                  <w:r>
                    <w:rPr>
                      <w:rFonts w:hint="default" w:ascii="Times New Roman" w:hAnsi="Times New Roman" w:cs="Times New Roman"/>
                      <w:color w:val="auto"/>
                    </w:rPr>
                    <w:t>00t/罐</w:t>
                  </w:r>
                  <w:r>
                    <w:rPr>
                      <w:rFonts w:hint="eastAsia" w:ascii="Times New Roman" w:hAnsi="Times New Roman" w:eastAsia="宋体" w:cs="Times New Roman"/>
                      <w:color w:val="auto"/>
                      <w:lang w:val="en-US" w:eastAsia="zh-CN"/>
                    </w:rPr>
                    <w:t>。</w:t>
                  </w:r>
                </w:p>
              </w:tc>
              <w:tc>
                <w:tcPr>
                  <w:tcW w:w="396" w:type="pct"/>
                  <w:tcBorders>
                    <w:tl2br w:val="nil"/>
                    <w:tr2bl w:val="nil"/>
                  </w:tcBorders>
                  <w:shd w:val="clear" w:color="auto" w:fill="auto"/>
                  <w:noWrap w:val="0"/>
                  <w:vAlign w:val="center"/>
                </w:tcPr>
                <w:p w14:paraId="6D53F972">
                  <w:pPr>
                    <w:pStyle w:val="3"/>
                    <w:bidi w:val="0"/>
                    <w:rPr>
                      <w:rFonts w:hint="default"/>
                      <w:color w:val="auto"/>
                    </w:rPr>
                  </w:pPr>
                  <w:r>
                    <w:rPr>
                      <w:rFonts w:hint="eastAsia"/>
                      <w:color w:val="auto"/>
                      <w:lang w:val="en-US" w:eastAsia="zh-CN"/>
                    </w:rPr>
                    <w:t>依托</w:t>
                  </w:r>
                </w:p>
              </w:tc>
            </w:tr>
            <w:tr w14:paraId="41AE1E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38A03C1E">
                  <w:pPr>
                    <w:pStyle w:val="3"/>
                    <w:bidi w:val="0"/>
                    <w:rPr>
                      <w:rFonts w:hint="default"/>
                      <w:color w:val="auto"/>
                      <w:lang w:val="en-US" w:eastAsia="zh-CN"/>
                    </w:rPr>
                  </w:pPr>
                  <w:r>
                    <w:rPr>
                      <w:rFonts w:hint="eastAsia"/>
                      <w:color w:val="auto"/>
                      <w:lang w:val="en-US" w:eastAsia="zh-CN"/>
                    </w:rPr>
                    <w:t>11</w:t>
                  </w:r>
                </w:p>
              </w:tc>
              <w:tc>
                <w:tcPr>
                  <w:tcW w:w="414" w:type="pct"/>
                  <w:vMerge w:val="continue"/>
                  <w:tcBorders>
                    <w:tl2br w:val="nil"/>
                    <w:tr2bl w:val="nil"/>
                  </w:tcBorders>
                  <w:shd w:val="clear" w:color="auto" w:fill="auto"/>
                  <w:noWrap w:val="0"/>
                  <w:vAlign w:val="center"/>
                </w:tcPr>
                <w:p w14:paraId="195A4C2B">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1F39385D">
                  <w:pPr>
                    <w:pStyle w:val="3"/>
                    <w:bidi w:val="0"/>
                    <w:rPr>
                      <w:rFonts w:hint="default"/>
                      <w:color w:val="auto"/>
                    </w:rPr>
                  </w:pPr>
                </w:p>
              </w:tc>
              <w:tc>
                <w:tcPr>
                  <w:tcW w:w="647" w:type="pct"/>
                  <w:tcBorders>
                    <w:tl2br w:val="nil"/>
                    <w:tr2bl w:val="nil"/>
                  </w:tcBorders>
                  <w:shd w:val="clear" w:color="auto" w:fill="auto"/>
                  <w:noWrap w:val="0"/>
                  <w:vAlign w:val="center"/>
                </w:tcPr>
                <w:p w14:paraId="2624B81B">
                  <w:pPr>
                    <w:pStyle w:val="3"/>
                    <w:bidi w:val="0"/>
                    <w:rPr>
                      <w:rFonts w:hint="eastAsia"/>
                      <w:color w:val="auto"/>
                      <w:lang w:eastAsia="zh-CN"/>
                    </w:rPr>
                  </w:pPr>
                  <w:r>
                    <w:rPr>
                      <w:rFonts w:hint="eastAsia"/>
                      <w:color w:val="auto"/>
                      <w:lang w:eastAsia="zh-CN"/>
                    </w:rPr>
                    <w:t>磷酸储存</w:t>
                  </w:r>
                </w:p>
              </w:tc>
              <w:tc>
                <w:tcPr>
                  <w:tcW w:w="3009" w:type="pct"/>
                  <w:tcBorders>
                    <w:tl2br w:val="nil"/>
                    <w:tr2bl w:val="nil"/>
                  </w:tcBorders>
                  <w:shd w:val="clear" w:color="auto" w:fill="auto"/>
                  <w:noWrap w:val="0"/>
                  <w:vAlign w:val="center"/>
                </w:tcPr>
                <w:p w14:paraId="34C9BC5E">
                  <w:pPr>
                    <w:pStyle w:val="3"/>
                    <w:bidi w:val="0"/>
                    <w:jc w:val="both"/>
                    <w:rPr>
                      <w:rFonts w:hint="default"/>
                      <w:color w:val="auto"/>
                      <w:lang w:val="en-US" w:eastAsia="zh-CN"/>
                    </w:rPr>
                  </w:pPr>
                  <w:r>
                    <w:rPr>
                      <w:rFonts w:hint="eastAsia"/>
                      <w:color w:val="auto"/>
                      <w:highlight w:val="none"/>
                      <w:lang w:eastAsia="zh-CN"/>
                    </w:rPr>
                    <w:t>精</w:t>
                  </w:r>
                  <w:r>
                    <w:rPr>
                      <w:rFonts w:hint="default" w:ascii="Times New Roman" w:hAnsi="Times New Roman" w:cs="Times New Roman"/>
                      <w:color w:val="auto"/>
                      <w:highlight w:val="none"/>
                      <w:lang w:eastAsia="zh-CN"/>
                    </w:rPr>
                    <w:t>炼生产线使用的磷酸依托厂区现有磷酸储存设施，磷酸的</w:t>
                  </w:r>
                  <w:r>
                    <w:rPr>
                      <w:rFonts w:hint="default" w:ascii="Times New Roman" w:hAnsi="Times New Roman" w:cs="Times New Roman"/>
                      <w:color w:val="auto"/>
                      <w:lang w:eastAsia="zh-CN"/>
                    </w:rPr>
                    <w:t>储存情况不发生变化，厂区现有</w:t>
                  </w:r>
                  <w:r>
                    <w:rPr>
                      <w:rFonts w:hint="default" w:ascii="Times New Roman" w:hAnsi="Times New Roman" w:cs="Times New Roman"/>
                      <w:color w:val="auto"/>
                    </w:rPr>
                    <w:t>1个磷酸储罐，规格为30t/罐，位于</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#罐区。</w:t>
                  </w:r>
                </w:p>
              </w:tc>
              <w:tc>
                <w:tcPr>
                  <w:tcW w:w="396" w:type="pct"/>
                  <w:tcBorders>
                    <w:tl2br w:val="nil"/>
                    <w:tr2bl w:val="nil"/>
                  </w:tcBorders>
                  <w:shd w:val="clear" w:color="auto" w:fill="auto"/>
                  <w:noWrap w:val="0"/>
                  <w:vAlign w:val="center"/>
                </w:tcPr>
                <w:p w14:paraId="59B30040">
                  <w:pPr>
                    <w:pStyle w:val="3"/>
                    <w:bidi w:val="0"/>
                    <w:rPr>
                      <w:rFonts w:hint="default"/>
                      <w:color w:val="auto"/>
                    </w:rPr>
                  </w:pPr>
                  <w:r>
                    <w:rPr>
                      <w:rFonts w:hint="eastAsia"/>
                      <w:color w:val="auto"/>
                      <w:lang w:val="en-US" w:eastAsia="zh-CN"/>
                    </w:rPr>
                    <w:t>依托</w:t>
                  </w:r>
                </w:p>
              </w:tc>
            </w:tr>
            <w:tr w14:paraId="5DE4A0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0D4940DE">
                  <w:pPr>
                    <w:pStyle w:val="3"/>
                    <w:bidi w:val="0"/>
                    <w:rPr>
                      <w:rFonts w:hint="default"/>
                      <w:color w:val="auto"/>
                      <w:lang w:val="en-US" w:eastAsia="zh-CN"/>
                    </w:rPr>
                  </w:pPr>
                  <w:r>
                    <w:rPr>
                      <w:rFonts w:hint="eastAsia"/>
                      <w:color w:val="auto"/>
                      <w:lang w:val="en-US" w:eastAsia="zh-CN"/>
                    </w:rPr>
                    <w:t>12</w:t>
                  </w:r>
                </w:p>
              </w:tc>
              <w:tc>
                <w:tcPr>
                  <w:tcW w:w="414" w:type="pct"/>
                  <w:vMerge w:val="continue"/>
                  <w:tcBorders>
                    <w:tl2br w:val="nil"/>
                    <w:tr2bl w:val="nil"/>
                  </w:tcBorders>
                  <w:shd w:val="clear" w:color="auto" w:fill="auto"/>
                  <w:noWrap w:val="0"/>
                  <w:vAlign w:val="center"/>
                </w:tcPr>
                <w:p w14:paraId="05F195A1">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7BC33174">
                  <w:pPr>
                    <w:pStyle w:val="3"/>
                    <w:bidi w:val="0"/>
                    <w:rPr>
                      <w:rFonts w:hint="default"/>
                      <w:color w:val="auto"/>
                    </w:rPr>
                  </w:pPr>
                </w:p>
              </w:tc>
              <w:tc>
                <w:tcPr>
                  <w:tcW w:w="647" w:type="pct"/>
                  <w:tcBorders>
                    <w:tl2br w:val="nil"/>
                    <w:tr2bl w:val="nil"/>
                  </w:tcBorders>
                  <w:shd w:val="clear" w:color="auto" w:fill="auto"/>
                  <w:noWrap w:val="0"/>
                  <w:vAlign w:val="center"/>
                </w:tcPr>
                <w:p w14:paraId="4A9D770A">
                  <w:pPr>
                    <w:pStyle w:val="3"/>
                    <w:bidi w:val="0"/>
                    <w:rPr>
                      <w:rFonts w:hint="eastAsia"/>
                      <w:color w:val="auto"/>
                      <w:lang w:eastAsia="zh-CN"/>
                    </w:rPr>
                  </w:pPr>
                  <w:r>
                    <w:rPr>
                      <w:rFonts w:hint="default"/>
                      <w:color w:val="auto"/>
                    </w:rPr>
                    <w:t>脂肪</w:t>
                  </w:r>
                  <w:r>
                    <w:rPr>
                      <w:rFonts w:hint="eastAsia"/>
                      <w:color w:val="auto"/>
                      <w:lang w:eastAsia="zh-CN"/>
                    </w:rPr>
                    <w:t>酸储存</w:t>
                  </w:r>
                </w:p>
              </w:tc>
              <w:tc>
                <w:tcPr>
                  <w:tcW w:w="3009" w:type="pct"/>
                  <w:tcBorders>
                    <w:tl2br w:val="nil"/>
                    <w:tr2bl w:val="nil"/>
                  </w:tcBorders>
                  <w:shd w:val="clear" w:color="auto" w:fill="auto"/>
                  <w:noWrap w:val="0"/>
                  <w:vAlign w:val="center"/>
                </w:tcPr>
                <w:p w14:paraId="3F94EA53">
                  <w:pPr>
                    <w:pStyle w:val="3"/>
                    <w:bidi w:val="0"/>
                    <w:jc w:val="both"/>
                    <w:rPr>
                      <w:rFonts w:hint="default" w:ascii="Times New Roman" w:hAnsi="Times New Roman" w:cs="Times New Roman"/>
                      <w:color w:val="auto"/>
                    </w:rPr>
                  </w:pPr>
                  <w:r>
                    <w:rPr>
                      <w:rFonts w:hint="eastAsia" w:ascii="Times New Roman" w:hAnsi="Times New Roman" w:cs="Times New Roman"/>
                      <w:color w:val="auto"/>
                      <w:highlight w:val="none"/>
                      <w:lang w:eastAsia="zh-CN"/>
                    </w:rPr>
                    <w:t>副产品脂肪酸的储存依托现有脂肪酸储存设施</w:t>
                  </w:r>
                  <w:r>
                    <w:rPr>
                      <w:rFonts w:hint="default" w:ascii="Times New Roman" w:hAnsi="Times New Roman" w:cs="Times New Roman"/>
                      <w:color w:val="auto"/>
                      <w:highlight w:val="none"/>
                      <w:lang w:eastAsia="zh-CN"/>
                    </w:rPr>
                    <w:t>，</w:t>
                  </w:r>
                  <w:r>
                    <w:rPr>
                      <w:rFonts w:hint="default" w:ascii="Times New Roman" w:hAnsi="Times New Roman" w:cs="Times New Roman"/>
                      <w:color w:val="auto"/>
                      <w:lang w:eastAsia="zh-CN"/>
                    </w:rPr>
                    <w:t>脂肪酸的储存情况不发生变化，厂区现有</w:t>
                  </w:r>
                  <w:r>
                    <w:rPr>
                      <w:rFonts w:hint="default" w:ascii="Times New Roman" w:hAnsi="Times New Roman" w:cs="Times New Roman"/>
                      <w:color w:val="auto"/>
                    </w:rPr>
                    <w:t>1个脂肪酸储罐，规格为90t/罐，位于</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#罐区</w:t>
                  </w:r>
                  <w:r>
                    <w:rPr>
                      <w:rFonts w:hint="eastAsia"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62EB5BEF">
                  <w:pPr>
                    <w:pStyle w:val="3"/>
                    <w:bidi w:val="0"/>
                    <w:rPr>
                      <w:rFonts w:hint="default"/>
                      <w:color w:val="auto"/>
                    </w:rPr>
                  </w:pPr>
                  <w:r>
                    <w:rPr>
                      <w:rFonts w:hint="eastAsia"/>
                      <w:color w:val="auto"/>
                      <w:lang w:val="en-US" w:eastAsia="zh-CN"/>
                    </w:rPr>
                    <w:t>依托</w:t>
                  </w:r>
                </w:p>
              </w:tc>
            </w:tr>
            <w:tr w14:paraId="5CAF55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0C1DB404">
                  <w:pPr>
                    <w:pStyle w:val="3"/>
                    <w:bidi w:val="0"/>
                    <w:rPr>
                      <w:rFonts w:hint="default"/>
                      <w:color w:val="auto"/>
                      <w:lang w:val="en-US" w:eastAsia="zh-CN"/>
                    </w:rPr>
                  </w:pPr>
                  <w:r>
                    <w:rPr>
                      <w:rFonts w:hint="eastAsia"/>
                      <w:color w:val="auto"/>
                      <w:lang w:val="en-US" w:eastAsia="zh-CN"/>
                    </w:rPr>
                    <w:t>13</w:t>
                  </w:r>
                </w:p>
              </w:tc>
              <w:tc>
                <w:tcPr>
                  <w:tcW w:w="414" w:type="pct"/>
                  <w:vMerge w:val="continue"/>
                  <w:tcBorders>
                    <w:tl2br w:val="nil"/>
                    <w:tr2bl w:val="nil"/>
                  </w:tcBorders>
                  <w:shd w:val="clear" w:color="auto" w:fill="auto"/>
                  <w:noWrap w:val="0"/>
                  <w:vAlign w:val="center"/>
                </w:tcPr>
                <w:p w14:paraId="3818ECB8">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2DA8A775">
                  <w:pPr>
                    <w:pStyle w:val="3"/>
                    <w:bidi w:val="0"/>
                    <w:rPr>
                      <w:rFonts w:hint="default"/>
                      <w:color w:val="auto"/>
                    </w:rPr>
                  </w:pPr>
                </w:p>
              </w:tc>
              <w:tc>
                <w:tcPr>
                  <w:tcW w:w="647" w:type="pct"/>
                  <w:tcBorders>
                    <w:tl2br w:val="nil"/>
                    <w:tr2bl w:val="nil"/>
                  </w:tcBorders>
                  <w:shd w:val="clear" w:color="auto" w:fill="auto"/>
                  <w:noWrap w:val="0"/>
                  <w:vAlign w:val="center"/>
                </w:tcPr>
                <w:p w14:paraId="50F41DA6">
                  <w:pPr>
                    <w:pStyle w:val="3"/>
                    <w:bidi w:val="0"/>
                    <w:rPr>
                      <w:rFonts w:hint="eastAsia"/>
                      <w:color w:val="auto"/>
                      <w:lang w:eastAsia="zh-CN"/>
                    </w:rPr>
                  </w:pPr>
                  <w:r>
                    <w:rPr>
                      <w:rFonts w:hint="default"/>
                      <w:color w:val="auto"/>
                    </w:rPr>
                    <w:t>液碱</w:t>
                  </w:r>
                  <w:r>
                    <w:rPr>
                      <w:rFonts w:hint="eastAsia"/>
                      <w:color w:val="auto"/>
                      <w:lang w:eastAsia="zh-CN"/>
                    </w:rPr>
                    <w:t>储存</w:t>
                  </w:r>
                </w:p>
              </w:tc>
              <w:tc>
                <w:tcPr>
                  <w:tcW w:w="3009" w:type="pct"/>
                  <w:tcBorders>
                    <w:tl2br w:val="nil"/>
                    <w:tr2bl w:val="nil"/>
                  </w:tcBorders>
                  <w:shd w:val="clear" w:color="auto" w:fill="auto"/>
                  <w:noWrap w:val="0"/>
                  <w:vAlign w:val="center"/>
                </w:tcPr>
                <w:p w14:paraId="1792A386">
                  <w:pPr>
                    <w:pStyle w:val="3"/>
                    <w:bidi w:val="0"/>
                    <w:jc w:val="both"/>
                    <w:rPr>
                      <w:rFonts w:hint="default" w:ascii="Times New Roman" w:hAnsi="Times New Roman" w:cs="Times New Roman"/>
                      <w:color w:val="auto"/>
                    </w:rPr>
                  </w:pPr>
                  <w:r>
                    <w:rPr>
                      <w:rFonts w:hint="eastAsia"/>
                      <w:color w:val="auto"/>
                      <w:highlight w:val="none"/>
                      <w:lang w:eastAsia="zh-CN"/>
                    </w:rPr>
                    <w:t>精炼生产线使用的液碱依托厂区现有液碱储存设施，</w:t>
                  </w:r>
                  <w:r>
                    <w:rPr>
                      <w:rFonts w:hint="default" w:ascii="Times New Roman" w:hAnsi="Times New Roman" w:cs="Times New Roman"/>
                      <w:color w:val="auto"/>
                      <w:lang w:eastAsia="zh-CN"/>
                    </w:rPr>
                    <w:t>液碱的储存情况不发生变化，厂区现</w:t>
                  </w:r>
                  <w:r>
                    <w:rPr>
                      <w:rFonts w:hint="default" w:ascii="Times New Roman" w:hAnsi="Times New Roman" w:cs="Times New Roman"/>
                      <w:color w:val="auto"/>
                    </w:rPr>
                    <w:t>有2个液碱储罐，规格为1个</w:t>
                  </w: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0t/罐和1个100t/罐，位于</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#罐区</w:t>
                  </w:r>
                  <w:r>
                    <w:rPr>
                      <w:rFonts w:hint="eastAsia"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67FB7A3F">
                  <w:pPr>
                    <w:pStyle w:val="3"/>
                    <w:bidi w:val="0"/>
                    <w:rPr>
                      <w:rFonts w:hint="default"/>
                      <w:color w:val="auto"/>
                    </w:rPr>
                  </w:pPr>
                  <w:r>
                    <w:rPr>
                      <w:rFonts w:hint="eastAsia"/>
                      <w:color w:val="auto"/>
                      <w:lang w:val="en-US" w:eastAsia="zh-CN"/>
                    </w:rPr>
                    <w:t>依托</w:t>
                  </w:r>
                </w:p>
              </w:tc>
            </w:tr>
            <w:tr w14:paraId="2E24C0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4C53A182">
                  <w:pPr>
                    <w:pStyle w:val="3"/>
                    <w:bidi w:val="0"/>
                    <w:rPr>
                      <w:rFonts w:hint="default"/>
                      <w:color w:val="auto"/>
                      <w:lang w:val="en-US" w:eastAsia="zh-CN"/>
                    </w:rPr>
                  </w:pPr>
                  <w:r>
                    <w:rPr>
                      <w:rFonts w:hint="eastAsia"/>
                      <w:color w:val="auto"/>
                      <w:lang w:val="en-US" w:eastAsia="zh-CN"/>
                    </w:rPr>
                    <w:t>14</w:t>
                  </w:r>
                </w:p>
              </w:tc>
              <w:tc>
                <w:tcPr>
                  <w:tcW w:w="414" w:type="pct"/>
                  <w:vMerge w:val="continue"/>
                  <w:tcBorders>
                    <w:tl2br w:val="nil"/>
                    <w:tr2bl w:val="nil"/>
                  </w:tcBorders>
                  <w:shd w:val="clear" w:color="auto" w:fill="auto"/>
                  <w:noWrap w:val="0"/>
                  <w:vAlign w:val="center"/>
                </w:tcPr>
                <w:p w14:paraId="1E83853B">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5110E6AA">
                  <w:pPr>
                    <w:pStyle w:val="3"/>
                    <w:bidi w:val="0"/>
                    <w:rPr>
                      <w:rFonts w:hint="default"/>
                      <w:color w:val="auto"/>
                    </w:rPr>
                  </w:pPr>
                </w:p>
              </w:tc>
              <w:tc>
                <w:tcPr>
                  <w:tcW w:w="647" w:type="pct"/>
                  <w:tcBorders>
                    <w:tl2br w:val="nil"/>
                    <w:tr2bl w:val="nil"/>
                  </w:tcBorders>
                  <w:shd w:val="clear" w:color="auto" w:fill="auto"/>
                  <w:noWrap w:val="0"/>
                  <w:vAlign w:val="center"/>
                </w:tcPr>
                <w:p w14:paraId="490EC42D">
                  <w:pPr>
                    <w:pStyle w:val="3"/>
                    <w:bidi w:val="0"/>
                    <w:rPr>
                      <w:rFonts w:hint="eastAsia"/>
                      <w:color w:val="auto"/>
                      <w:lang w:eastAsia="zh-CN"/>
                    </w:rPr>
                  </w:pPr>
                  <w:r>
                    <w:rPr>
                      <w:rFonts w:hint="eastAsia"/>
                      <w:color w:val="auto"/>
                      <w:lang w:eastAsia="zh-CN"/>
                    </w:rPr>
                    <w:t>皂脚储存</w:t>
                  </w:r>
                </w:p>
              </w:tc>
              <w:tc>
                <w:tcPr>
                  <w:tcW w:w="3009" w:type="pct"/>
                  <w:tcBorders>
                    <w:tl2br w:val="nil"/>
                    <w:tr2bl w:val="nil"/>
                  </w:tcBorders>
                  <w:shd w:val="clear" w:color="auto" w:fill="auto"/>
                  <w:noWrap w:val="0"/>
                  <w:vAlign w:val="center"/>
                </w:tcPr>
                <w:p w14:paraId="411D97CB">
                  <w:pPr>
                    <w:pStyle w:val="3"/>
                    <w:bidi w:val="0"/>
                    <w:jc w:val="both"/>
                    <w:rPr>
                      <w:rFonts w:hint="default" w:ascii="Times New Roman" w:hAnsi="Times New Roman" w:cs="Times New Roman"/>
                      <w:color w:val="auto"/>
                      <w:lang w:eastAsia="zh-CN"/>
                    </w:rPr>
                  </w:pPr>
                  <w:r>
                    <w:rPr>
                      <w:rFonts w:hint="eastAsia" w:ascii="Times New Roman" w:hAnsi="Times New Roman" w:cs="Times New Roman"/>
                      <w:color w:val="auto"/>
                      <w:highlight w:val="none"/>
                      <w:lang w:eastAsia="zh-CN"/>
                    </w:rPr>
                    <w:t>副产品皂脚的储存依托厂区现有皂脚储存设施，</w:t>
                  </w:r>
                  <w:r>
                    <w:rPr>
                      <w:rFonts w:hint="eastAsia" w:ascii="Times New Roman" w:hAnsi="Times New Roman" w:cs="Times New Roman"/>
                      <w:color w:val="auto"/>
                      <w:lang w:eastAsia="zh-CN"/>
                    </w:rPr>
                    <w:t>皂脚</w:t>
                  </w:r>
                  <w:r>
                    <w:rPr>
                      <w:rFonts w:hint="default" w:ascii="Times New Roman" w:hAnsi="Times New Roman" w:cs="Times New Roman"/>
                      <w:color w:val="auto"/>
                      <w:lang w:eastAsia="zh-CN"/>
                    </w:rPr>
                    <w:t>的储存情况不发生变化，厂区现有</w:t>
                  </w:r>
                  <w:r>
                    <w:rPr>
                      <w:rFonts w:hint="eastAsia" w:ascii="Times New Roman" w:hAnsi="Times New Roman" w:eastAsia="宋体" w:cs="Times New Roman"/>
                      <w:color w:val="auto"/>
                      <w:lang w:val="en-US" w:eastAsia="zh-CN"/>
                    </w:rPr>
                    <w:t>2</w:t>
                  </w:r>
                  <w:r>
                    <w:rPr>
                      <w:rFonts w:hint="default" w:ascii="Times New Roman" w:hAnsi="Times New Roman" w:cs="Times New Roman"/>
                      <w:color w:val="auto"/>
                    </w:rPr>
                    <w:t>个</w:t>
                  </w:r>
                  <w:r>
                    <w:rPr>
                      <w:rFonts w:hint="eastAsia" w:ascii="Times New Roman" w:hAnsi="Times New Roman" w:cs="Times New Roman"/>
                      <w:color w:val="auto"/>
                      <w:lang w:eastAsia="zh-CN"/>
                    </w:rPr>
                    <w:t>皂脚</w:t>
                  </w:r>
                  <w:r>
                    <w:rPr>
                      <w:rFonts w:hint="default" w:ascii="Times New Roman" w:hAnsi="Times New Roman" w:cs="Times New Roman"/>
                      <w:color w:val="auto"/>
                    </w:rPr>
                    <w:t>储罐，规格为</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00</w:t>
                  </w:r>
                  <w:r>
                    <w:rPr>
                      <w:rFonts w:hint="default" w:ascii="Times New Roman" w:hAnsi="Times New Roman" w:cs="Times New Roman"/>
                      <w:color w:val="auto"/>
                    </w:rPr>
                    <w:t>t/罐，位于</w:t>
                  </w:r>
                  <w:r>
                    <w:rPr>
                      <w:rFonts w:hint="eastAsia" w:ascii="Times New Roman" w:hAnsi="Times New Roman" w:cs="Times New Roman"/>
                      <w:color w:val="auto"/>
                      <w:lang w:val="en-US" w:eastAsia="zh-CN"/>
                    </w:rPr>
                    <w:t>5</w:t>
                  </w:r>
                  <w:r>
                    <w:rPr>
                      <w:rFonts w:hint="default" w:ascii="Times New Roman" w:hAnsi="Times New Roman" w:cs="Times New Roman"/>
                      <w:color w:val="auto"/>
                      <w:lang w:val="en-US" w:eastAsia="zh-CN"/>
                    </w:rPr>
                    <w:t>#罐区</w:t>
                  </w:r>
                  <w:r>
                    <w:rPr>
                      <w:rFonts w:hint="eastAsia"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17FEF850">
                  <w:pPr>
                    <w:pStyle w:val="3"/>
                    <w:bidi w:val="0"/>
                    <w:rPr>
                      <w:rFonts w:hint="eastAsia"/>
                      <w:color w:val="auto"/>
                      <w:lang w:val="en-US" w:eastAsia="zh-CN"/>
                    </w:rPr>
                  </w:pPr>
                  <w:r>
                    <w:rPr>
                      <w:rFonts w:hint="eastAsia"/>
                      <w:color w:val="auto"/>
                      <w:lang w:val="en-US" w:eastAsia="zh-CN"/>
                    </w:rPr>
                    <w:t>依托</w:t>
                  </w:r>
                </w:p>
              </w:tc>
            </w:tr>
            <w:tr w14:paraId="6AB14B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7E5F62C1">
                  <w:pPr>
                    <w:pStyle w:val="3"/>
                    <w:bidi w:val="0"/>
                    <w:rPr>
                      <w:rFonts w:hint="default"/>
                      <w:color w:val="auto"/>
                      <w:lang w:val="en-US" w:eastAsia="zh-CN"/>
                    </w:rPr>
                  </w:pPr>
                  <w:r>
                    <w:rPr>
                      <w:rFonts w:hint="eastAsia"/>
                      <w:color w:val="auto"/>
                      <w:lang w:val="en-US" w:eastAsia="zh-CN"/>
                    </w:rPr>
                    <w:t>15</w:t>
                  </w:r>
                </w:p>
              </w:tc>
              <w:tc>
                <w:tcPr>
                  <w:tcW w:w="414" w:type="pct"/>
                  <w:vMerge w:val="continue"/>
                  <w:tcBorders>
                    <w:tl2br w:val="nil"/>
                    <w:tr2bl w:val="nil"/>
                  </w:tcBorders>
                  <w:shd w:val="clear" w:color="auto" w:fill="auto"/>
                  <w:noWrap w:val="0"/>
                  <w:vAlign w:val="center"/>
                </w:tcPr>
                <w:p w14:paraId="726EAB42">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6B507C0A">
                  <w:pPr>
                    <w:pStyle w:val="3"/>
                    <w:bidi w:val="0"/>
                    <w:rPr>
                      <w:rFonts w:hint="default"/>
                      <w:color w:val="auto"/>
                    </w:rPr>
                  </w:pPr>
                </w:p>
              </w:tc>
              <w:tc>
                <w:tcPr>
                  <w:tcW w:w="647" w:type="pct"/>
                  <w:tcBorders>
                    <w:tl2br w:val="nil"/>
                    <w:tr2bl w:val="nil"/>
                  </w:tcBorders>
                  <w:shd w:val="clear" w:color="auto" w:fill="auto"/>
                  <w:noWrap w:val="0"/>
                  <w:vAlign w:val="center"/>
                </w:tcPr>
                <w:p w14:paraId="6FE7A5E5">
                  <w:pPr>
                    <w:pStyle w:val="3"/>
                    <w:bidi w:val="0"/>
                    <w:rPr>
                      <w:rFonts w:hint="eastAsia"/>
                      <w:color w:val="auto"/>
                      <w:lang w:eastAsia="zh-CN"/>
                    </w:rPr>
                  </w:pPr>
                  <w:r>
                    <w:rPr>
                      <w:rFonts w:hint="eastAsia"/>
                      <w:color w:val="auto"/>
                      <w:lang w:eastAsia="zh-CN"/>
                    </w:rPr>
                    <w:t>白土储存</w:t>
                  </w:r>
                </w:p>
              </w:tc>
              <w:tc>
                <w:tcPr>
                  <w:tcW w:w="3009" w:type="pct"/>
                  <w:tcBorders>
                    <w:tl2br w:val="nil"/>
                    <w:tr2bl w:val="nil"/>
                  </w:tcBorders>
                  <w:shd w:val="clear" w:color="auto" w:fill="auto"/>
                  <w:noWrap w:val="0"/>
                  <w:vAlign w:val="center"/>
                </w:tcPr>
                <w:p w14:paraId="10EFDDFB">
                  <w:pPr>
                    <w:pStyle w:val="3"/>
                    <w:bidi w:val="0"/>
                    <w:jc w:val="both"/>
                    <w:rPr>
                      <w:rFonts w:hint="eastAsia" w:ascii="Times New Roman" w:hAnsi="Times New Roman" w:cs="Times New Roman"/>
                      <w:color w:val="auto"/>
                      <w:highlight w:val="none"/>
                      <w:lang w:eastAsia="zh-CN"/>
                    </w:rPr>
                  </w:pPr>
                  <w:r>
                    <w:rPr>
                      <w:rFonts w:hint="eastAsia"/>
                      <w:color w:val="auto"/>
                      <w:highlight w:val="none"/>
                      <w:lang w:eastAsia="zh-CN"/>
                    </w:rPr>
                    <w:t>精</w:t>
                  </w:r>
                  <w:r>
                    <w:rPr>
                      <w:rFonts w:hint="default" w:ascii="Times New Roman" w:hAnsi="Times New Roman" w:cs="Times New Roman"/>
                      <w:color w:val="auto"/>
                      <w:highlight w:val="none"/>
                      <w:lang w:eastAsia="zh-CN"/>
                    </w:rPr>
                    <w:t>炼生产线使用的</w:t>
                  </w:r>
                  <w:r>
                    <w:rPr>
                      <w:rFonts w:hint="eastAsia" w:ascii="Times New Roman" w:hAnsi="Times New Roman" w:cs="Times New Roman"/>
                      <w:color w:val="auto"/>
                      <w:highlight w:val="none"/>
                      <w:lang w:eastAsia="zh-CN"/>
                    </w:rPr>
                    <w:t>白土</w:t>
                  </w:r>
                  <w:r>
                    <w:rPr>
                      <w:rFonts w:hint="default" w:ascii="Times New Roman" w:hAnsi="Times New Roman" w:cs="Times New Roman"/>
                      <w:color w:val="auto"/>
                      <w:highlight w:val="none"/>
                      <w:lang w:eastAsia="zh-CN"/>
                    </w:rPr>
                    <w:t>依托厂区现有</w:t>
                  </w:r>
                  <w:r>
                    <w:rPr>
                      <w:rFonts w:hint="eastAsia" w:ascii="Times New Roman" w:hAnsi="Times New Roman" w:cs="Times New Roman"/>
                      <w:color w:val="auto"/>
                      <w:highlight w:val="none"/>
                      <w:lang w:eastAsia="zh-CN"/>
                    </w:rPr>
                    <w:t>白土</w:t>
                  </w:r>
                  <w:r>
                    <w:rPr>
                      <w:rFonts w:hint="default" w:ascii="Times New Roman" w:hAnsi="Times New Roman" w:cs="Times New Roman"/>
                      <w:color w:val="auto"/>
                      <w:highlight w:val="none"/>
                      <w:lang w:eastAsia="zh-CN"/>
                    </w:rPr>
                    <w:t>储存设施，</w:t>
                  </w:r>
                  <w:r>
                    <w:rPr>
                      <w:rFonts w:hint="eastAsia" w:ascii="Times New Roman" w:hAnsi="Times New Roman" w:cs="Times New Roman"/>
                      <w:color w:val="auto"/>
                      <w:highlight w:val="none"/>
                      <w:lang w:eastAsia="zh-CN"/>
                    </w:rPr>
                    <w:t>白土</w:t>
                  </w:r>
                  <w:r>
                    <w:rPr>
                      <w:rFonts w:hint="default" w:ascii="Times New Roman" w:hAnsi="Times New Roman" w:cs="Times New Roman"/>
                      <w:color w:val="auto"/>
                      <w:highlight w:val="none"/>
                      <w:lang w:eastAsia="zh-CN"/>
                    </w:rPr>
                    <w:t>的</w:t>
                  </w:r>
                  <w:r>
                    <w:rPr>
                      <w:rFonts w:hint="default" w:ascii="Times New Roman" w:hAnsi="Times New Roman" w:cs="Times New Roman"/>
                      <w:color w:val="auto"/>
                      <w:lang w:eastAsia="zh-CN"/>
                    </w:rPr>
                    <w:t>储存情况不发生变化，厂区现有</w:t>
                  </w:r>
                  <w:r>
                    <w:rPr>
                      <w:rFonts w:hint="eastAsia" w:ascii="Times New Roman" w:hAnsi="Times New Roman" w:eastAsia="宋体" w:cs="Times New Roman"/>
                      <w:color w:val="auto"/>
                      <w:lang w:val="en-US" w:eastAsia="zh-CN"/>
                    </w:rPr>
                    <w:t>4</w:t>
                  </w:r>
                  <w:r>
                    <w:rPr>
                      <w:rFonts w:hint="default" w:ascii="Times New Roman" w:hAnsi="Times New Roman" w:cs="Times New Roman"/>
                      <w:color w:val="auto"/>
                    </w:rPr>
                    <w:t>个</w:t>
                  </w:r>
                  <w:r>
                    <w:rPr>
                      <w:rFonts w:hint="eastAsia" w:ascii="Times New Roman" w:hAnsi="Times New Roman" w:eastAsia="宋体" w:cs="Times New Roman"/>
                      <w:color w:val="auto"/>
                      <w:lang w:eastAsia="zh-CN"/>
                    </w:rPr>
                    <w:t>白土储罐</w:t>
                  </w:r>
                  <w:r>
                    <w:rPr>
                      <w:rFonts w:hint="default" w:ascii="Times New Roman" w:hAnsi="Times New Roman" w:cs="Times New Roman"/>
                      <w:color w:val="auto"/>
                    </w:rPr>
                    <w:t>，规格为30t/罐，</w:t>
                  </w:r>
                  <w:r>
                    <w:rPr>
                      <w:rFonts w:hint="eastAsia" w:ascii="Times New Roman" w:hAnsi="Times New Roman" w:eastAsia="宋体" w:cs="Times New Roman"/>
                      <w:color w:val="auto"/>
                      <w:lang w:eastAsia="zh-CN"/>
                    </w:rPr>
                    <w:t>位于精炼车间南侧</w:t>
                  </w:r>
                  <w:r>
                    <w:rPr>
                      <w:rFonts w:hint="default"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34569D30">
                  <w:pPr>
                    <w:pStyle w:val="3"/>
                    <w:bidi w:val="0"/>
                    <w:rPr>
                      <w:rFonts w:hint="eastAsia"/>
                      <w:color w:val="auto"/>
                      <w:lang w:val="en-US" w:eastAsia="zh-CN"/>
                    </w:rPr>
                  </w:pPr>
                  <w:r>
                    <w:rPr>
                      <w:rFonts w:hint="eastAsia"/>
                      <w:color w:val="auto"/>
                      <w:lang w:val="en-US" w:eastAsia="zh-CN"/>
                    </w:rPr>
                    <w:t>依托</w:t>
                  </w:r>
                </w:p>
              </w:tc>
            </w:tr>
            <w:tr w14:paraId="0976C8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5" w:type="pct"/>
                  <w:tcBorders>
                    <w:tl2br w:val="nil"/>
                    <w:tr2bl w:val="nil"/>
                  </w:tcBorders>
                  <w:shd w:val="clear" w:color="auto" w:fill="auto"/>
                  <w:noWrap w:val="0"/>
                  <w:vAlign w:val="center"/>
                </w:tcPr>
                <w:p w14:paraId="5696420E">
                  <w:pPr>
                    <w:pStyle w:val="3"/>
                    <w:bidi w:val="0"/>
                    <w:rPr>
                      <w:rFonts w:hint="default"/>
                      <w:color w:val="auto"/>
                      <w:lang w:val="en-US" w:eastAsia="zh-CN"/>
                    </w:rPr>
                  </w:pPr>
                  <w:r>
                    <w:rPr>
                      <w:rFonts w:hint="eastAsia"/>
                      <w:color w:val="auto"/>
                      <w:lang w:val="en-US" w:eastAsia="zh-CN"/>
                    </w:rPr>
                    <w:t>16</w:t>
                  </w:r>
                </w:p>
              </w:tc>
              <w:tc>
                <w:tcPr>
                  <w:tcW w:w="414" w:type="pct"/>
                  <w:vMerge w:val="continue"/>
                  <w:tcBorders>
                    <w:tl2br w:val="nil"/>
                    <w:tr2bl w:val="nil"/>
                  </w:tcBorders>
                  <w:shd w:val="clear" w:color="auto" w:fill="auto"/>
                  <w:noWrap w:val="0"/>
                  <w:vAlign w:val="center"/>
                </w:tcPr>
                <w:p w14:paraId="3207E41F">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0A0C1139">
                  <w:pPr>
                    <w:pStyle w:val="3"/>
                    <w:bidi w:val="0"/>
                    <w:rPr>
                      <w:rFonts w:hint="default"/>
                      <w:color w:val="auto"/>
                    </w:rPr>
                  </w:pPr>
                </w:p>
              </w:tc>
              <w:tc>
                <w:tcPr>
                  <w:tcW w:w="647" w:type="pct"/>
                  <w:tcBorders>
                    <w:tl2br w:val="nil"/>
                    <w:tr2bl w:val="nil"/>
                  </w:tcBorders>
                  <w:shd w:val="clear" w:color="auto" w:fill="auto"/>
                  <w:noWrap w:val="0"/>
                  <w:vAlign w:val="center"/>
                </w:tcPr>
                <w:p w14:paraId="6E9B6A78">
                  <w:pPr>
                    <w:pStyle w:val="3"/>
                    <w:bidi w:val="0"/>
                    <w:rPr>
                      <w:rFonts w:hint="eastAsia"/>
                      <w:color w:val="auto"/>
                      <w:lang w:eastAsia="zh-CN"/>
                    </w:rPr>
                  </w:pPr>
                  <w:r>
                    <w:rPr>
                      <w:rFonts w:hint="eastAsia"/>
                      <w:color w:val="auto"/>
                      <w:lang w:eastAsia="zh-CN"/>
                    </w:rPr>
                    <w:t>大豆油</w:t>
                  </w:r>
                </w:p>
                <w:p w14:paraId="1D66FCC7">
                  <w:pPr>
                    <w:pStyle w:val="3"/>
                    <w:bidi w:val="0"/>
                    <w:rPr>
                      <w:rFonts w:hint="eastAsia"/>
                      <w:color w:val="auto"/>
                      <w:lang w:eastAsia="zh-CN"/>
                    </w:rPr>
                  </w:pPr>
                  <w:r>
                    <w:rPr>
                      <w:rFonts w:hint="eastAsia"/>
                      <w:color w:val="auto"/>
                      <w:lang w:eastAsia="zh-CN"/>
                    </w:rPr>
                    <w:t>储存</w:t>
                  </w:r>
                </w:p>
              </w:tc>
              <w:tc>
                <w:tcPr>
                  <w:tcW w:w="3009" w:type="pct"/>
                  <w:tcBorders>
                    <w:tl2br w:val="nil"/>
                    <w:tr2bl w:val="nil"/>
                  </w:tcBorders>
                  <w:shd w:val="clear" w:color="auto" w:fill="auto"/>
                  <w:noWrap w:val="0"/>
                  <w:vAlign w:val="center"/>
                </w:tcPr>
                <w:p w14:paraId="06029707">
                  <w:pPr>
                    <w:pStyle w:val="3"/>
                    <w:bidi w:val="0"/>
                    <w:jc w:val="both"/>
                    <w:rPr>
                      <w:rFonts w:hint="eastAsia" w:eastAsia="宋体"/>
                      <w:color w:val="auto"/>
                      <w:lang w:eastAsia="zh-CN"/>
                    </w:rPr>
                  </w:pPr>
                  <w:r>
                    <w:rPr>
                      <w:rFonts w:hint="eastAsia" w:ascii="Times New Roman" w:hAnsi="Times New Roman" w:cs="Times New Roman"/>
                      <w:color w:val="auto"/>
                      <w:highlight w:val="none"/>
                      <w:lang w:eastAsia="zh-CN"/>
                    </w:rPr>
                    <w:t>主产品大豆油的储存依托厂区现有大豆油储存设施</w:t>
                  </w:r>
                  <w:r>
                    <w:rPr>
                      <w:rFonts w:hint="default" w:ascii="Times New Roman" w:hAnsi="Times New Roman" w:cs="Times New Roman"/>
                      <w:color w:val="auto"/>
                      <w:highlight w:val="none"/>
                      <w:lang w:eastAsia="zh-CN"/>
                    </w:rPr>
                    <w:t>，</w:t>
                  </w:r>
                  <w:r>
                    <w:rPr>
                      <w:rFonts w:hint="default" w:ascii="Times New Roman" w:hAnsi="Times New Roman" w:cs="Times New Roman"/>
                      <w:color w:val="auto"/>
                      <w:lang w:eastAsia="zh-CN"/>
                    </w:rPr>
                    <w:t>厂区现有</w:t>
                  </w:r>
                  <w:r>
                    <w:rPr>
                      <w:rFonts w:hint="default" w:ascii="Times New Roman" w:hAnsi="Times New Roman" w:cs="Times New Roman"/>
                      <w:color w:val="auto"/>
                      <w:lang w:val="en-US" w:eastAsia="zh-CN"/>
                    </w:rPr>
                    <w:t>大豆油罐区，其中</w:t>
                  </w:r>
                  <w:r>
                    <w:rPr>
                      <w:rFonts w:hint="eastAsia" w:ascii="Times New Roman" w:hAnsi="Times New Roman" w:cs="Times New Roman"/>
                      <w:color w:val="auto"/>
                      <w:lang w:val="en-US" w:eastAsia="zh-CN"/>
                    </w:rPr>
                    <w:t>1</w:t>
                  </w:r>
                  <w:r>
                    <w:rPr>
                      <w:rFonts w:hint="default" w:ascii="Times New Roman" w:hAnsi="Times New Roman" w:cs="Times New Roman"/>
                      <w:color w:val="auto"/>
                      <w:lang w:val="en-US" w:eastAsia="zh-CN"/>
                    </w:rPr>
                    <w:t>#罐区</w:t>
                  </w:r>
                  <w:r>
                    <w:rPr>
                      <w:rFonts w:hint="default" w:ascii="Times New Roman" w:hAnsi="Times New Roman" w:cs="Times New Roman"/>
                      <w:color w:val="auto"/>
                    </w:rPr>
                    <w:t>设有8个</w:t>
                  </w:r>
                  <w:r>
                    <w:rPr>
                      <w:rFonts w:hint="default" w:ascii="Times New Roman" w:hAnsi="Times New Roman" w:cs="Times New Roman"/>
                      <w:color w:val="auto"/>
                      <w:lang w:eastAsia="zh-CN"/>
                    </w:rPr>
                    <w:t>大豆</w:t>
                  </w:r>
                  <w:r>
                    <w:rPr>
                      <w:rFonts w:hint="default" w:ascii="Times New Roman" w:hAnsi="Times New Roman" w:cs="Times New Roman"/>
                      <w:color w:val="auto"/>
                    </w:rPr>
                    <w:t>油罐，规格为3个3000t</w:t>
                  </w:r>
                  <w:r>
                    <w:rPr>
                      <w:rFonts w:hint="default" w:ascii="Times New Roman" w:hAnsi="Times New Roman" w:cs="Times New Roman"/>
                      <w:color w:val="auto"/>
                      <w:lang w:val="en-US" w:eastAsia="zh-CN"/>
                    </w:rPr>
                    <w:t>/</w:t>
                  </w:r>
                  <w:r>
                    <w:rPr>
                      <w:rFonts w:hint="default" w:ascii="Times New Roman" w:hAnsi="Times New Roman" w:cs="Times New Roman"/>
                      <w:color w:val="auto"/>
                    </w:rPr>
                    <w:t>罐，2个2200t</w:t>
                  </w:r>
                  <w:r>
                    <w:rPr>
                      <w:rFonts w:hint="default" w:ascii="Times New Roman" w:hAnsi="Times New Roman" w:cs="Times New Roman"/>
                      <w:color w:val="auto"/>
                      <w:lang w:val="en-US" w:eastAsia="zh-CN"/>
                    </w:rPr>
                    <w:t>/</w:t>
                  </w:r>
                  <w:r>
                    <w:rPr>
                      <w:rFonts w:hint="default" w:ascii="Times New Roman" w:hAnsi="Times New Roman" w:cs="Times New Roman"/>
                      <w:color w:val="auto"/>
                    </w:rPr>
                    <w:t>罐，1个500t</w:t>
                  </w:r>
                  <w:r>
                    <w:rPr>
                      <w:rFonts w:hint="default" w:ascii="Times New Roman" w:hAnsi="Times New Roman" w:cs="Times New Roman"/>
                      <w:color w:val="auto"/>
                      <w:lang w:val="en-US" w:eastAsia="zh-CN"/>
                    </w:rPr>
                    <w:t>/</w:t>
                  </w:r>
                  <w:r>
                    <w:rPr>
                      <w:rFonts w:hint="default" w:ascii="Times New Roman" w:hAnsi="Times New Roman" w:cs="Times New Roman"/>
                      <w:color w:val="auto"/>
                    </w:rPr>
                    <w:t>罐，2个300t</w:t>
                  </w:r>
                  <w:r>
                    <w:rPr>
                      <w:rFonts w:hint="default" w:ascii="Times New Roman" w:hAnsi="Times New Roman" w:cs="Times New Roman"/>
                      <w:color w:val="auto"/>
                      <w:lang w:val="en-US" w:eastAsia="zh-CN"/>
                    </w:rPr>
                    <w:t>/</w:t>
                  </w:r>
                  <w:r>
                    <w:rPr>
                      <w:rFonts w:hint="default" w:ascii="Times New Roman" w:hAnsi="Times New Roman" w:cs="Times New Roman"/>
                      <w:color w:val="auto"/>
                    </w:rPr>
                    <w:t>罐</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#罐区</w:t>
                  </w:r>
                  <w:r>
                    <w:rPr>
                      <w:rFonts w:hint="default" w:ascii="Times New Roman" w:hAnsi="Times New Roman" w:cs="Times New Roman"/>
                      <w:color w:val="auto"/>
                    </w:rPr>
                    <w:t>设有8个</w:t>
                  </w:r>
                  <w:r>
                    <w:rPr>
                      <w:rFonts w:hint="default" w:ascii="Times New Roman" w:hAnsi="Times New Roman" w:cs="Times New Roman"/>
                      <w:color w:val="auto"/>
                      <w:lang w:eastAsia="zh-CN"/>
                    </w:rPr>
                    <w:t>大豆</w:t>
                  </w:r>
                  <w:r>
                    <w:rPr>
                      <w:rFonts w:hint="default" w:ascii="Times New Roman" w:hAnsi="Times New Roman" w:cs="Times New Roman"/>
                      <w:color w:val="auto"/>
                    </w:rPr>
                    <w:t>油罐，规格为4个2200t</w:t>
                  </w:r>
                  <w:r>
                    <w:rPr>
                      <w:rFonts w:hint="default" w:ascii="Times New Roman" w:hAnsi="Times New Roman" w:cs="Times New Roman"/>
                      <w:color w:val="auto"/>
                      <w:lang w:val="en-US" w:eastAsia="zh-CN"/>
                    </w:rPr>
                    <w:t>/</w:t>
                  </w:r>
                  <w:r>
                    <w:rPr>
                      <w:rFonts w:hint="default" w:ascii="Times New Roman" w:hAnsi="Times New Roman" w:cs="Times New Roman"/>
                      <w:color w:val="auto"/>
                    </w:rPr>
                    <w:t>罐，4个1100吨</w:t>
                  </w:r>
                  <w:r>
                    <w:rPr>
                      <w:rFonts w:hint="default" w:ascii="Times New Roman" w:hAnsi="Times New Roman" w:cs="Times New Roman"/>
                      <w:color w:val="auto"/>
                      <w:lang w:val="en-US" w:eastAsia="zh-CN"/>
                    </w:rPr>
                    <w:t>/</w:t>
                  </w:r>
                  <w:r>
                    <w:rPr>
                      <w:rFonts w:hint="default" w:ascii="Times New Roman" w:hAnsi="Times New Roman" w:cs="Times New Roman"/>
                      <w:color w:val="auto"/>
                    </w:rPr>
                    <w:t>罐</w:t>
                  </w:r>
                  <w:r>
                    <w:rPr>
                      <w:rFonts w:hint="default" w:ascii="Times New Roman" w:hAnsi="Times New Roman" w:cs="Times New Roman"/>
                      <w:color w:val="auto"/>
                      <w:lang w:eastAsia="zh-CN"/>
                    </w:rPr>
                    <w:t>；</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#罐区</w:t>
                  </w:r>
                  <w:r>
                    <w:rPr>
                      <w:rFonts w:hint="default" w:ascii="Times New Roman" w:hAnsi="Times New Roman" w:cs="Times New Roman"/>
                      <w:color w:val="auto"/>
                    </w:rPr>
                    <w:t>设有</w:t>
                  </w:r>
                  <w:r>
                    <w:rPr>
                      <w:rFonts w:hint="eastAsia" w:ascii="Times New Roman" w:hAnsi="Times New Roman" w:eastAsia="宋体" w:cs="Times New Roman"/>
                      <w:color w:val="auto"/>
                      <w:lang w:val="en-US" w:eastAsia="zh-CN"/>
                    </w:rPr>
                    <w:t>8</w:t>
                  </w:r>
                  <w:r>
                    <w:rPr>
                      <w:rFonts w:hint="default" w:ascii="Times New Roman" w:hAnsi="Times New Roman" w:cs="Times New Roman"/>
                      <w:color w:val="auto"/>
                    </w:rPr>
                    <w:t>个</w:t>
                  </w:r>
                  <w:r>
                    <w:rPr>
                      <w:rFonts w:hint="default" w:ascii="Times New Roman" w:hAnsi="Times New Roman" w:cs="Times New Roman"/>
                      <w:color w:val="auto"/>
                      <w:lang w:eastAsia="zh-CN"/>
                    </w:rPr>
                    <w:t>大豆油罐</w:t>
                  </w:r>
                  <w:r>
                    <w:rPr>
                      <w:rFonts w:hint="default" w:ascii="Times New Roman" w:hAnsi="Times New Roman" w:cs="Times New Roman"/>
                      <w:color w:val="auto"/>
                    </w:rPr>
                    <w:t>，</w:t>
                  </w:r>
                  <w:r>
                    <w:rPr>
                      <w:rFonts w:hint="eastAsia" w:ascii="Times New Roman" w:hAnsi="Times New Roman" w:eastAsia="宋体" w:cs="Times New Roman"/>
                      <w:color w:val="auto"/>
                      <w:lang w:eastAsia="zh-CN"/>
                    </w:rPr>
                    <w:t>规格为</w:t>
                  </w:r>
                  <w:r>
                    <w:rPr>
                      <w:rFonts w:hint="eastAsia" w:ascii="Times New Roman" w:hAnsi="Times New Roman" w:eastAsia="宋体" w:cs="Times New Roman"/>
                      <w:color w:val="auto"/>
                      <w:lang w:val="en-US" w:eastAsia="zh-CN"/>
                    </w:rPr>
                    <w:t>4个3000吨/罐，4个300吨/罐；4#罐区设有9</w:t>
                  </w:r>
                  <w:r>
                    <w:rPr>
                      <w:rFonts w:hint="default" w:ascii="Times New Roman" w:hAnsi="Times New Roman" w:cs="Times New Roman"/>
                      <w:color w:val="auto"/>
                    </w:rPr>
                    <w:t>个</w:t>
                  </w:r>
                  <w:r>
                    <w:rPr>
                      <w:rFonts w:hint="default" w:ascii="Times New Roman" w:hAnsi="Times New Roman" w:cs="Times New Roman"/>
                      <w:color w:val="auto"/>
                      <w:lang w:eastAsia="zh-CN"/>
                    </w:rPr>
                    <w:t>大豆油罐</w:t>
                  </w:r>
                  <w:r>
                    <w:rPr>
                      <w:rFonts w:hint="default" w:ascii="Times New Roman" w:hAnsi="Times New Roman" w:cs="Times New Roman"/>
                      <w:color w:val="auto"/>
                    </w:rPr>
                    <w:t>，</w:t>
                  </w:r>
                  <w:r>
                    <w:rPr>
                      <w:rFonts w:hint="eastAsia" w:ascii="Times New Roman" w:hAnsi="Times New Roman" w:eastAsia="宋体" w:cs="Times New Roman"/>
                      <w:color w:val="auto"/>
                      <w:lang w:eastAsia="zh-CN"/>
                    </w:rPr>
                    <w:t>规格为</w:t>
                  </w:r>
                  <w:r>
                    <w:rPr>
                      <w:rFonts w:hint="eastAsia" w:ascii="Times New Roman" w:hAnsi="Times New Roman" w:eastAsia="宋体" w:cs="Times New Roman"/>
                      <w:color w:val="auto"/>
                      <w:lang w:val="en-US" w:eastAsia="zh-CN"/>
                    </w:rPr>
                    <w:t>6个3000吨/罐，3个500吨/罐。</w:t>
                  </w:r>
                </w:p>
              </w:tc>
              <w:tc>
                <w:tcPr>
                  <w:tcW w:w="396" w:type="pct"/>
                  <w:tcBorders>
                    <w:tl2br w:val="nil"/>
                    <w:tr2bl w:val="nil"/>
                  </w:tcBorders>
                  <w:shd w:val="clear" w:color="auto" w:fill="auto"/>
                  <w:noWrap w:val="0"/>
                  <w:vAlign w:val="center"/>
                </w:tcPr>
                <w:p w14:paraId="5F0B3564">
                  <w:pPr>
                    <w:pStyle w:val="3"/>
                    <w:bidi w:val="0"/>
                    <w:rPr>
                      <w:rFonts w:hint="default"/>
                      <w:color w:val="auto"/>
                    </w:rPr>
                  </w:pPr>
                  <w:r>
                    <w:rPr>
                      <w:rFonts w:hint="eastAsia"/>
                      <w:color w:val="auto"/>
                      <w:lang w:val="en-US" w:eastAsia="zh-CN"/>
                    </w:rPr>
                    <w:t>依托</w:t>
                  </w:r>
                </w:p>
              </w:tc>
            </w:tr>
            <w:tr w14:paraId="638A5A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41C6AEE0">
                  <w:pPr>
                    <w:pStyle w:val="3"/>
                    <w:bidi w:val="0"/>
                    <w:rPr>
                      <w:rFonts w:hint="default"/>
                      <w:color w:val="auto"/>
                      <w:lang w:val="en-US" w:eastAsia="zh-CN"/>
                    </w:rPr>
                  </w:pPr>
                  <w:r>
                    <w:rPr>
                      <w:rFonts w:hint="eastAsia"/>
                      <w:color w:val="auto"/>
                      <w:lang w:val="en-US" w:eastAsia="zh-CN"/>
                    </w:rPr>
                    <w:t>17</w:t>
                  </w:r>
                </w:p>
              </w:tc>
              <w:tc>
                <w:tcPr>
                  <w:tcW w:w="414" w:type="pct"/>
                  <w:vMerge w:val="continue"/>
                  <w:tcBorders>
                    <w:tl2br w:val="nil"/>
                    <w:tr2bl w:val="nil"/>
                  </w:tcBorders>
                  <w:shd w:val="clear" w:color="auto" w:fill="auto"/>
                  <w:noWrap w:val="0"/>
                  <w:vAlign w:val="center"/>
                </w:tcPr>
                <w:p w14:paraId="64725E04">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4877084E">
                  <w:pPr>
                    <w:pStyle w:val="3"/>
                    <w:bidi w:val="0"/>
                    <w:rPr>
                      <w:rFonts w:hint="default"/>
                      <w:color w:val="auto"/>
                    </w:rPr>
                  </w:pPr>
                </w:p>
              </w:tc>
              <w:tc>
                <w:tcPr>
                  <w:tcW w:w="647" w:type="pct"/>
                  <w:tcBorders>
                    <w:tl2br w:val="nil"/>
                    <w:tr2bl w:val="nil"/>
                  </w:tcBorders>
                  <w:shd w:val="clear" w:color="auto" w:fill="auto"/>
                  <w:noWrap w:val="0"/>
                  <w:vAlign w:val="center"/>
                </w:tcPr>
                <w:p w14:paraId="2E89BE9C">
                  <w:pPr>
                    <w:pStyle w:val="3"/>
                    <w:bidi w:val="0"/>
                    <w:rPr>
                      <w:rFonts w:hint="eastAsia"/>
                      <w:color w:val="auto"/>
                      <w:lang w:eastAsia="zh-CN"/>
                    </w:rPr>
                  </w:pPr>
                  <w:r>
                    <w:rPr>
                      <w:rFonts w:hint="eastAsia"/>
                      <w:color w:val="auto"/>
                      <w:lang w:eastAsia="zh-CN"/>
                    </w:rPr>
                    <w:t>大豆磷脂储存</w:t>
                  </w:r>
                </w:p>
              </w:tc>
              <w:tc>
                <w:tcPr>
                  <w:tcW w:w="3009" w:type="pct"/>
                  <w:tcBorders>
                    <w:tl2br w:val="nil"/>
                    <w:tr2bl w:val="nil"/>
                  </w:tcBorders>
                  <w:shd w:val="clear" w:color="auto" w:fill="auto"/>
                  <w:noWrap w:val="0"/>
                  <w:vAlign w:val="center"/>
                </w:tcPr>
                <w:p w14:paraId="3C2BFFE3">
                  <w:pPr>
                    <w:pStyle w:val="3"/>
                    <w:bidi w:val="0"/>
                    <w:jc w:val="both"/>
                    <w:rPr>
                      <w:rFonts w:hint="default"/>
                      <w:color w:val="auto"/>
                      <w:highlight w:val="yellow"/>
                      <w:lang w:val="en-US" w:eastAsia="zh-CN"/>
                    </w:rPr>
                  </w:pPr>
                  <w:r>
                    <w:rPr>
                      <w:rFonts w:hint="default" w:ascii="Times New Roman" w:hAnsi="Times New Roman" w:cs="Times New Roman"/>
                      <w:color w:val="auto"/>
                      <w:highlight w:val="none"/>
                      <w:lang w:eastAsia="zh-CN"/>
                    </w:rPr>
                    <w:t>新建</w:t>
                  </w:r>
                  <w:r>
                    <w:rPr>
                      <w:rFonts w:hint="default" w:ascii="Times New Roman" w:hAnsi="Times New Roman" w:cs="Times New Roman"/>
                      <w:color w:val="auto"/>
                      <w:highlight w:val="none"/>
                      <w:lang w:val="en-US" w:eastAsia="zh-CN"/>
                    </w:rPr>
                    <w:t>1个大豆磷脂储存罐，规格为</w:t>
                  </w:r>
                  <w:r>
                    <w:rPr>
                      <w:rFonts w:hint="eastAsia" w:ascii="Times New Roman" w:hAnsi="Times New Roman" w:cs="Times New Roman"/>
                      <w:color w:val="auto"/>
                      <w:highlight w:val="none"/>
                      <w:lang w:val="en-US" w:eastAsia="zh-CN"/>
                    </w:rPr>
                    <w:t>50</w:t>
                  </w:r>
                  <w:r>
                    <w:rPr>
                      <w:rFonts w:hint="default" w:ascii="Times New Roman" w:hAnsi="Times New Roman" w:cs="Times New Roman"/>
                      <w:color w:val="auto"/>
                      <w:highlight w:val="none"/>
                      <w:lang w:val="en-US" w:eastAsia="zh-CN"/>
                    </w:rPr>
                    <w:t>t/罐</w:t>
                  </w:r>
                  <w:r>
                    <w:rPr>
                      <w:rFonts w:hint="eastAsia" w:ascii="Times New Roman" w:hAnsi="Times New Roman" w:cs="Times New Roman"/>
                      <w:color w:val="auto"/>
                      <w:highlight w:val="none"/>
                      <w:lang w:val="en-US" w:eastAsia="zh-CN"/>
                    </w:rPr>
                    <w:t>。</w:t>
                  </w:r>
                </w:p>
              </w:tc>
              <w:tc>
                <w:tcPr>
                  <w:tcW w:w="396" w:type="pct"/>
                  <w:tcBorders>
                    <w:tl2br w:val="nil"/>
                    <w:tr2bl w:val="nil"/>
                  </w:tcBorders>
                  <w:shd w:val="clear" w:color="auto" w:fill="auto"/>
                  <w:noWrap w:val="0"/>
                  <w:vAlign w:val="center"/>
                </w:tcPr>
                <w:p w14:paraId="59055913">
                  <w:pPr>
                    <w:pStyle w:val="3"/>
                    <w:bidi w:val="0"/>
                    <w:rPr>
                      <w:rFonts w:hint="eastAsia"/>
                      <w:color w:val="auto"/>
                      <w:lang w:val="en-US" w:eastAsia="zh-CN"/>
                    </w:rPr>
                  </w:pPr>
                  <w:r>
                    <w:rPr>
                      <w:rFonts w:hint="eastAsia"/>
                      <w:color w:val="auto"/>
                      <w:lang w:val="en-US" w:eastAsia="zh-CN"/>
                    </w:rPr>
                    <w:t>新建</w:t>
                  </w:r>
                </w:p>
              </w:tc>
            </w:tr>
            <w:tr w14:paraId="16515A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tcBorders>
                    <w:tl2br w:val="nil"/>
                    <w:tr2bl w:val="nil"/>
                  </w:tcBorders>
                  <w:shd w:val="clear" w:color="auto" w:fill="auto"/>
                  <w:noWrap w:val="0"/>
                  <w:vAlign w:val="center"/>
                </w:tcPr>
                <w:p w14:paraId="23B212DF">
                  <w:pPr>
                    <w:pStyle w:val="3"/>
                    <w:bidi w:val="0"/>
                    <w:rPr>
                      <w:rFonts w:hint="default"/>
                      <w:color w:val="auto"/>
                      <w:lang w:val="en-US" w:eastAsia="zh-CN"/>
                    </w:rPr>
                  </w:pPr>
                  <w:r>
                    <w:rPr>
                      <w:rFonts w:hint="eastAsia"/>
                      <w:color w:val="auto"/>
                      <w:lang w:val="en-US" w:eastAsia="zh-CN"/>
                    </w:rPr>
                    <w:t>18</w:t>
                  </w:r>
                </w:p>
              </w:tc>
              <w:tc>
                <w:tcPr>
                  <w:tcW w:w="414" w:type="pct"/>
                  <w:vMerge w:val="restart"/>
                  <w:tcBorders>
                    <w:tl2br w:val="nil"/>
                    <w:tr2bl w:val="nil"/>
                  </w:tcBorders>
                  <w:shd w:val="clear" w:color="auto" w:fill="auto"/>
                  <w:noWrap w:val="0"/>
                  <w:vAlign w:val="center"/>
                </w:tcPr>
                <w:p w14:paraId="4F9F61F0">
                  <w:pPr>
                    <w:pStyle w:val="3"/>
                    <w:bidi w:val="0"/>
                    <w:rPr>
                      <w:rFonts w:hint="default"/>
                      <w:color w:val="auto"/>
                    </w:rPr>
                  </w:pPr>
                  <w:r>
                    <w:rPr>
                      <w:rFonts w:hint="default"/>
                      <w:color w:val="auto"/>
                    </w:rPr>
                    <w:t>环保</w:t>
                  </w:r>
                </w:p>
                <w:p w14:paraId="7ABDA735">
                  <w:pPr>
                    <w:pStyle w:val="3"/>
                    <w:bidi w:val="0"/>
                    <w:rPr>
                      <w:rFonts w:hint="default"/>
                      <w:color w:val="auto"/>
                    </w:rPr>
                  </w:pPr>
                  <w:r>
                    <w:rPr>
                      <w:rFonts w:hint="default"/>
                      <w:color w:val="auto"/>
                    </w:rPr>
                    <w:t>工程</w:t>
                  </w:r>
                </w:p>
              </w:tc>
              <w:tc>
                <w:tcPr>
                  <w:tcW w:w="913" w:type="pct"/>
                  <w:gridSpan w:val="2"/>
                  <w:tcBorders>
                    <w:tl2br w:val="nil"/>
                    <w:tr2bl w:val="nil"/>
                  </w:tcBorders>
                  <w:shd w:val="clear" w:color="auto" w:fill="auto"/>
                  <w:noWrap w:val="0"/>
                  <w:vAlign w:val="center"/>
                </w:tcPr>
                <w:p w14:paraId="7C01F2C9">
                  <w:pPr>
                    <w:pStyle w:val="3"/>
                    <w:bidi w:val="0"/>
                    <w:rPr>
                      <w:rFonts w:hint="eastAsia"/>
                      <w:color w:val="auto"/>
                      <w:highlight w:val="none"/>
                      <w:lang w:eastAsia="zh-CN"/>
                    </w:rPr>
                  </w:pPr>
                  <w:r>
                    <w:rPr>
                      <w:rFonts w:hint="default"/>
                      <w:color w:val="auto"/>
                      <w:highlight w:val="none"/>
                    </w:rPr>
                    <w:t>废水</w:t>
                  </w:r>
                  <w:r>
                    <w:rPr>
                      <w:rFonts w:hint="eastAsia"/>
                      <w:color w:val="auto"/>
                      <w:highlight w:val="none"/>
                      <w:lang w:eastAsia="zh-CN"/>
                    </w:rPr>
                    <w:t>处理</w:t>
                  </w:r>
                </w:p>
              </w:tc>
              <w:tc>
                <w:tcPr>
                  <w:tcW w:w="3009" w:type="pct"/>
                  <w:tcBorders>
                    <w:tl2br w:val="nil"/>
                    <w:tr2bl w:val="nil"/>
                  </w:tcBorders>
                  <w:shd w:val="clear" w:color="auto" w:fill="auto"/>
                  <w:noWrap w:val="0"/>
                  <w:vAlign w:val="center"/>
                </w:tcPr>
                <w:p w14:paraId="38BA297B">
                  <w:pPr>
                    <w:pStyle w:val="3"/>
                    <w:bidi w:val="0"/>
                    <w:jc w:val="both"/>
                    <w:rPr>
                      <w:rFonts w:hint="eastAsia" w:eastAsia="宋体"/>
                      <w:color w:val="auto"/>
                      <w:highlight w:val="none"/>
                      <w:lang w:eastAsia="zh-CN"/>
                    </w:rPr>
                  </w:pPr>
                  <w:r>
                    <w:rPr>
                      <w:rFonts w:hint="eastAsia"/>
                      <w:color w:val="auto"/>
                      <w:highlight w:val="none"/>
                      <w:lang w:val="en-US" w:eastAsia="zh-CN"/>
                    </w:rPr>
                    <w:t>精炼生产线主线、磷脂分线产生的废水依托厂区现有污水处理站处理，该处理处理站处理能力为</w:t>
                  </w:r>
                  <w:r>
                    <w:rPr>
                      <w:rFonts w:hint="default" w:ascii="Times New Roman" w:hAnsi="Times New Roman" w:cs="Times New Roman"/>
                      <w:color w:val="auto"/>
                    </w:rPr>
                    <w:t>500m</w:t>
                  </w:r>
                  <w:r>
                    <w:rPr>
                      <w:rFonts w:hint="default" w:ascii="Times New Roman" w:hAnsi="Times New Roman" w:cs="Times New Roman"/>
                      <w:color w:val="auto"/>
                      <w:vertAlign w:val="superscript"/>
                    </w:rPr>
                    <w:t>3</w:t>
                  </w:r>
                  <w:r>
                    <w:rPr>
                      <w:rFonts w:hint="default" w:ascii="Times New Roman" w:hAnsi="Times New Roman" w:cs="Times New Roman"/>
                      <w:color w:val="auto"/>
                    </w:rPr>
                    <w:t>/d</w:t>
                  </w:r>
                  <w:r>
                    <w:rPr>
                      <w:rFonts w:hint="eastAsia" w:ascii="Times New Roman" w:hAnsi="Times New Roman" w:eastAsia="宋体" w:cs="Times New Roman"/>
                      <w:color w:val="auto"/>
                      <w:lang w:eastAsia="zh-CN"/>
                    </w:rPr>
                    <w:t>，采用“酸碱中和</w:t>
                  </w:r>
                  <w:r>
                    <w:rPr>
                      <w:rFonts w:hint="eastAsia" w:ascii="Times New Roman" w:hAnsi="Times New Roman" w:eastAsia="宋体" w:cs="Times New Roman"/>
                      <w:color w:val="auto"/>
                      <w:lang w:val="en-US" w:eastAsia="zh-CN"/>
                    </w:rPr>
                    <w:t>+气浮+厌氧+接触氧化</w:t>
                  </w:r>
                  <w:r>
                    <w:rPr>
                      <w:rFonts w:hint="eastAsia" w:ascii="Times New Roman" w:hAnsi="Times New Roman" w:eastAsia="宋体" w:cs="Times New Roman"/>
                      <w:color w:val="auto"/>
                      <w:lang w:eastAsia="zh-CN"/>
                    </w:rPr>
                    <w:t>”的治理工艺，废水经处理达</w:t>
                  </w:r>
                  <w:r>
                    <w:rPr>
                      <w:rFonts w:hint="default" w:ascii="Times New Roman" w:hAnsi="Times New Roman" w:cs="Times New Roman"/>
                      <w:color w:val="auto"/>
                    </w:rPr>
                    <w:t>《污水综合排放标准》（GB8978-1996）三级标准后排入园区污水管网</w:t>
                  </w:r>
                  <w:r>
                    <w:rPr>
                      <w:rFonts w:hint="default" w:ascii="Times New Roman" w:hAnsi="Times New Roman" w:cs="Times New Roman"/>
                      <w:color w:val="auto"/>
                      <w:lang w:eastAsia="zh-CN"/>
                    </w:rPr>
                    <w:t>，经</w:t>
                  </w:r>
                  <w:r>
                    <w:rPr>
                      <w:rFonts w:hint="default" w:ascii="Times New Roman" w:hAnsi="Times New Roman" w:cs="Times New Roman"/>
                      <w:color w:val="auto"/>
                    </w:rPr>
                    <w:t>龙桥园区污水处理厂</w:t>
                  </w:r>
                  <w:r>
                    <w:rPr>
                      <w:rFonts w:hint="default" w:ascii="Times New Roman" w:hAnsi="Times New Roman" w:cs="Times New Roman"/>
                      <w:color w:val="auto"/>
                      <w:lang w:eastAsia="zh-CN"/>
                    </w:rPr>
                    <w:t>深度处理达</w:t>
                  </w:r>
                  <w:r>
                    <w:rPr>
                      <w:rFonts w:hint="default" w:ascii="Times New Roman" w:hAnsi="Times New Roman" w:cs="Times New Roman"/>
                      <w:color w:val="auto"/>
                    </w:rPr>
                    <w:t>《化工园区主要水污染物排放标准》（DB50/457-2012）标准（其中COD按60mg/L执行，“DB50457-2012”中未规定的执行《污水综合排放标准》（GB8978-1996）一级标准）</w:t>
                  </w:r>
                  <w:r>
                    <w:rPr>
                      <w:rFonts w:hint="eastAsia" w:ascii="Times New Roman" w:hAnsi="Times New Roman" w:eastAsia="宋体" w:cs="Times New Roman"/>
                      <w:color w:val="auto"/>
                      <w:lang w:eastAsia="zh-CN"/>
                    </w:rPr>
                    <w:t>后排入长江</w:t>
                  </w:r>
                  <w:r>
                    <w:rPr>
                      <w:rFonts w:hint="default" w:ascii="Times New Roman" w:hAnsi="Times New Roman" w:cs="Times New Roman"/>
                      <w:color w:val="auto"/>
                    </w:rPr>
                    <w:t>。</w:t>
                  </w:r>
                </w:p>
              </w:tc>
              <w:tc>
                <w:tcPr>
                  <w:tcW w:w="396" w:type="pct"/>
                  <w:tcBorders>
                    <w:tl2br w:val="nil"/>
                    <w:tr2bl w:val="nil"/>
                  </w:tcBorders>
                  <w:shd w:val="clear" w:color="auto" w:fill="auto"/>
                  <w:noWrap w:val="0"/>
                  <w:vAlign w:val="center"/>
                </w:tcPr>
                <w:p w14:paraId="3FB40DFD">
                  <w:pPr>
                    <w:pStyle w:val="3"/>
                    <w:bidi w:val="0"/>
                    <w:rPr>
                      <w:rFonts w:hint="default"/>
                      <w:color w:val="auto"/>
                      <w:lang w:eastAsia="en-US"/>
                    </w:rPr>
                  </w:pPr>
                  <w:r>
                    <w:rPr>
                      <w:rFonts w:hint="eastAsia"/>
                      <w:color w:val="auto"/>
                      <w:lang w:val="en-US" w:eastAsia="zh-CN"/>
                    </w:rPr>
                    <w:t>依托</w:t>
                  </w:r>
                </w:p>
              </w:tc>
            </w:tr>
            <w:tr w14:paraId="485DCF4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7608BCA5">
                  <w:pPr>
                    <w:pStyle w:val="3"/>
                    <w:bidi w:val="0"/>
                    <w:rPr>
                      <w:rFonts w:hint="default"/>
                      <w:color w:val="auto"/>
                      <w:lang w:val="en-US" w:eastAsia="zh-CN"/>
                    </w:rPr>
                  </w:pPr>
                  <w:r>
                    <w:rPr>
                      <w:rFonts w:hint="eastAsia"/>
                      <w:color w:val="auto"/>
                      <w:lang w:val="en-US" w:eastAsia="zh-CN"/>
                    </w:rPr>
                    <w:t>19</w:t>
                  </w:r>
                </w:p>
              </w:tc>
              <w:tc>
                <w:tcPr>
                  <w:tcW w:w="414" w:type="pct"/>
                  <w:vMerge w:val="continue"/>
                  <w:tcBorders>
                    <w:tl2br w:val="nil"/>
                    <w:tr2bl w:val="nil"/>
                  </w:tcBorders>
                  <w:shd w:val="clear" w:color="auto" w:fill="auto"/>
                  <w:noWrap w:val="0"/>
                  <w:vAlign w:val="center"/>
                </w:tcPr>
                <w:p w14:paraId="2132800B">
                  <w:pPr>
                    <w:pStyle w:val="3"/>
                    <w:bidi w:val="0"/>
                    <w:rPr>
                      <w:rFonts w:hint="default"/>
                      <w:color w:val="auto"/>
                    </w:rPr>
                  </w:pPr>
                </w:p>
              </w:tc>
              <w:tc>
                <w:tcPr>
                  <w:tcW w:w="913" w:type="pct"/>
                  <w:gridSpan w:val="2"/>
                  <w:tcBorders>
                    <w:tl2br w:val="nil"/>
                    <w:tr2bl w:val="nil"/>
                  </w:tcBorders>
                  <w:shd w:val="clear" w:color="auto" w:fill="auto"/>
                  <w:noWrap w:val="0"/>
                  <w:vAlign w:val="center"/>
                </w:tcPr>
                <w:p w14:paraId="53F9F063">
                  <w:pPr>
                    <w:pStyle w:val="3"/>
                    <w:bidi w:val="0"/>
                    <w:jc w:val="center"/>
                    <w:rPr>
                      <w:rFonts w:hint="default" w:ascii="Times New Roman" w:hAnsi="Times New Roman" w:cs="Times New Roman"/>
                      <w:color w:val="auto"/>
                      <w:lang w:eastAsia="zh-CN"/>
                    </w:rPr>
                  </w:pPr>
                  <w:r>
                    <w:rPr>
                      <w:rFonts w:hint="default" w:ascii="Times New Roman" w:hAnsi="Times New Roman" w:cs="Times New Roman"/>
                      <w:color w:val="auto"/>
                    </w:rPr>
                    <w:t>废气</w:t>
                  </w:r>
                  <w:r>
                    <w:rPr>
                      <w:rFonts w:hint="default" w:ascii="Times New Roman" w:hAnsi="Times New Roman" w:cs="Times New Roman"/>
                      <w:color w:val="auto"/>
                      <w:lang w:eastAsia="zh-CN"/>
                    </w:rPr>
                    <w:t>处理</w:t>
                  </w:r>
                </w:p>
              </w:tc>
              <w:tc>
                <w:tcPr>
                  <w:tcW w:w="3009" w:type="pct"/>
                  <w:tcBorders>
                    <w:tl2br w:val="nil"/>
                    <w:tr2bl w:val="nil"/>
                  </w:tcBorders>
                  <w:shd w:val="clear" w:color="auto" w:fill="auto"/>
                  <w:noWrap w:val="0"/>
                  <w:vAlign w:val="center"/>
                </w:tcPr>
                <w:p w14:paraId="1F8E5E50">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大豆膨化生产线称量、振动清理、初破、筛分、成品破碎、打包工序产生的颗粒物经收集后采用布袋除尘器处理后引至</w:t>
                  </w:r>
                  <w:r>
                    <w:rPr>
                      <w:rFonts w:hint="default" w:ascii="Times New Roman" w:hAnsi="Times New Roman" w:cs="Times New Roman"/>
                      <w:color w:val="auto"/>
                      <w:lang w:val="en-US" w:eastAsia="zh-CN"/>
                    </w:rPr>
                    <w:t>1根20m高的DA022排气筒排放；调质、膨化、</w:t>
                  </w:r>
                  <w:r>
                    <w:rPr>
                      <w:rFonts w:hint="eastAsia" w:ascii="Times New Roman" w:hAnsi="Times New Roman" w:cs="Times New Roman"/>
                      <w:color w:val="auto"/>
                      <w:lang w:val="en-US" w:eastAsia="zh-CN"/>
                    </w:rPr>
                    <w:t>翻板</w:t>
                  </w:r>
                  <w:r>
                    <w:rPr>
                      <w:rFonts w:hint="default" w:ascii="Times New Roman" w:hAnsi="Times New Roman" w:cs="Times New Roman"/>
                      <w:color w:val="auto"/>
                      <w:lang w:val="en-US" w:eastAsia="zh-CN"/>
                    </w:rPr>
                    <w:t>冷却工序产生的颗粒物经收集后采用</w:t>
                  </w:r>
                  <w:r>
                    <w:rPr>
                      <w:rFonts w:hint="default" w:ascii="Times New Roman" w:hAnsi="Times New Roman" w:cs="Times New Roman"/>
                      <w:color w:val="auto"/>
                      <w:lang w:eastAsia="zh-CN"/>
                    </w:rPr>
                    <w:t>布袋除尘器处理后引至</w:t>
                  </w:r>
                  <w:r>
                    <w:rPr>
                      <w:rFonts w:hint="default" w:ascii="Times New Roman" w:hAnsi="Times New Roman" w:cs="Times New Roman"/>
                      <w:color w:val="auto"/>
                      <w:lang w:val="en-US" w:eastAsia="zh-CN"/>
                    </w:rPr>
                    <w:t>1根20m高的DA023排气筒排放；薄膜蒸发工序产生的非甲烷总烃经真空捕集后无组织排放</w:t>
                  </w:r>
                  <w:r>
                    <w:rPr>
                      <w:rFonts w:hint="eastAsia" w:ascii="Times New Roman" w:hAnsi="Times New Roman" w:cs="Times New Roman"/>
                      <w:color w:val="auto"/>
                      <w:lang w:val="en-US" w:eastAsia="zh-CN"/>
                    </w:rPr>
                    <w:t>。</w:t>
                  </w:r>
                </w:p>
              </w:tc>
              <w:tc>
                <w:tcPr>
                  <w:tcW w:w="396" w:type="pct"/>
                  <w:tcBorders>
                    <w:tl2br w:val="nil"/>
                    <w:tr2bl w:val="nil"/>
                  </w:tcBorders>
                  <w:shd w:val="clear" w:color="auto" w:fill="auto"/>
                  <w:noWrap w:val="0"/>
                  <w:vAlign w:val="center"/>
                </w:tcPr>
                <w:p w14:paraId="18290725">
                  <w:pPr>
                    <w:pStyle w:val="3"/>
                    <w:bidi w:val="0"/>
                    <w:rPr>
                      <w:rFonts w:hint="eastAsia"/>
                      <w:color w:val="auto"/>
                      <w:lang w:eastAsia="zh-CN"/>
                    </w:rPr>
                  </w:pPr>
                  <w:r>
                    <w:rPr>
                      <w:rFonts w:hint="eastAsia"/>
                      <w:color w:val="auto"/>
                      <w:lang w:eastAsia="zh-CN"/>
                    </w:rPr>
                    <w:t>新建</w:t>
                  </w:r>
                </w:p>
              </w:tc>
            </w:tr>
            <w:tr w14:paraId="0C7A4E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5" w:type="pct"/>
                  <w:tcBorders>
                    <w:tl2br w:val="nil"/>
                    <w:tr2bl w:val="nil"/>
                  </w:tcBorders>
                  <w:shd w:val="clear" w:color="auto" w:fill="auto"/>
                  <w:noWrap w:val="0"/>
                  <w:vAlign w:val="center"/>
                </w:tcPr>
                <w:p w14:paraId="3B75D612">
                  <w:pPr>
                    <w:pStyle w:val="3"/>
                    <w:bidi w:val="0"/>
                    <w:rPr>
                      <w:rFonts w:hint="default"/>
                      <w:color w:val="auto"/>
                      <w:lang w:val="en-US" w:eastAsia="zh-CN"/>
                    </w:rPr>
                  </w:pPr>
                  <w:r>
                    <w:rPr>
                      <w:rFonts w:hint="eastAsia"/>
                      <w:color w:val="auto"/>
                      <w:lang w:val="en-US" w:eastAsia="zh-CN"/>
                    </w:rPr>
                    <w:t>20</w:t>
                  </w:r>
                </w:p>
              </w:tc>
              <w:tc>
                <w:tcPr>
                  <w:tcW w:w="414" w:type="pct"/>
                  <w:vMerge w:val="continue"/>
                  <w:tcBorders>
                    <w:tl2br w:val="nil"/>
                    <w:tr2bl w:val="nil"/>
                  </w:tcBorders>
                  <w:shd w:val="clear" w:color="auto" w:fill="auto"/>
                  <w:noWrap w:val="0"/>
                  <w:vAlign w:val="center"/>
                </w:tcPr>
                <w:p w14:paraId="43120E2C">
                  <w:pPr>
                    <w:pStyle w:val="3"/>
                    <w:bidi w:val="0"/>
                    <w:rPr>
                      <w:rFonts w:hint="default"/>
                      <w:color w:val="auto"/>
                    </w:rPr>
                  </w:pPr>
                </w:p>
              </w:tc>
              <w:tc>
                <w:tcPr>
                  <w:tcW w:w="913" w:type="pct"/>
                  <w:gridSpan w:val="2"/>
                  <w:tcBorders>
                    <w:tl2br w:val="nil"/>
                    <w:tr2bl w:val="nil"/>
                  </w:tcBorders>
                  <w:shd w:val="clear" w:color="auto" w:fill="auto"/>
                  <w:noWrap w:val="0"/>
                  <w:vAlign w:val="center"/>
                </w:tcPr>
                <w:p w14:paraId="5452C70B">
                  <w:pPr>
                    <w:pStyle w:val="3"/>
                    <w:bidi w:val="0"/>
                    <w:rPr>
                      <w:rFonts w:hint="eastAsia"/>
                      <w:color w:val="auto"/>
                      <w:lang w:eastAsia="zh-CN"/>
                    </w:rPr>
                  </w:pPr>
                  <w:r>
                    <w:rPr>
                      <w:rFonts w:hint="eastAsia"/>
                      <w:color w:val="auto"/>
                      <w:lang w:eastAsia="zh-CN"/>
                    </w:rPr>
                    <w:t>噪声处理</w:t>
                  </w:r>
                </w:p>
              </w:tc>
              <w:tc>
                <w:tcPr>
                  <w:tcW w:w="3009" w:type="pct"/>
                  <w:tcBorders>
                    <w:tl2br w:val="nil"/>
                    <w:tr2bl w:val="nil"/>
                  </w:tcBorders>
                  <w:shd w:val="clear" w:color="auto" w:fill="auto"/>
                  <w:noWrap w:val="0"/>
                  <w:vAlign w:val="center"/>
                </w:tcPr>
                <w:p w14:paraId="3A28DC5E">
                  <w:pPr>
                    <w:pStyle w:val="3"/>
                    <w:bidi w:val="0"/>
                    <w:jc w:val="both"/>
                    <w:rPr>
                      <w:rFonts w:hint="eastAsia"/>
                      <w:color w:val="auto"/>
                      <w:lang w:eastAsia="zh-CN"/>
                    </w:rPr>
                  </w:pPr>
                  <w:r>
                    <w:rPr>
                      <w:rFonts w:hint="eastAsia"/>
                      <w:color w:val="auto"/>
                      <w:lang w:eastAsia="zh-CN"/>
                    </w:rPr>
                    <w:t>本项目产生的设备噪声主要通过建筑隔声、设置减震垫进行降噪。</w:t>
                  </w:r>
                </w:p>
              </w:tc>
              <w:tc>
                <w:tcPr>
                  <w:tcW w:w="396" w:type="pct"/>
                  <w:tcBorders>
                    <w:tl2br w:val="nil"/>
                    <w:tr2bl w:val="nil"/>
                  </w:tcBorders>
                  <w:shd w:val="clear" w:color="auto" w:fill="auto"/>
                  <w:noWrap w:val="0"/>
                  <w:vAlign w:val="center"/>
                </w:tcPr>
                <w:p w14:paraId="7AD34297">
                  <w:pPr>
                    <w:pStyle w:val="3"/>
                    <w:bidi w:val="0"/>
                    <w:rPr>
                      <w:rFonts w:hint="eastAsia"/>
                      <w:color w:val="auto"/>
                      <w:lang w:eastAsia="zh-CN"/>
                    </w:rPr>
                  </w:pPr>
                  <w:r>
                    <w:rPr>
                      <w:rFonts w:hint="eastAsia"/>
                      <w:color w:val="auto"/>
                      <w:lang w:eastAsia="zh-CN"/>
                    </w:rPr>
                    <w:t>新建</w:t>
                  </w:r>
                </w:p>
              </w:tc>
            </w:tr>
            <w:tr w14:paraId="41AF78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vMerge w:val="restart"/>
                  <w:tcBorders>
                    <w:tl2br w:val="nil"/>
                    <w:tr2bl w:val="nil"/>
                  </w:tcBorders>
                  <w:shd w:val="clear" w:color="auto" w:fill="auto"/>
                  <w:noWrap w:val="0"/>
                  <w:vAlign w:val="center"/>
                </w:tcPr>
                <w:p w14:paraId="4FB2EDA8">
                  <w:pPr>
                    <w:pStyle w:val="3"/>
                    <w:bidi w:val="0"/>
                    <w:rPr>
                      <w:rFonts w:hint="default"/>
                      <w:color w:val="auto"/>
                      <w:lang w:val="en-US" w:eastAsia="zh-CN"/>
                    </w:rPr>
                  </w:pPr>
                  <w:r>
                    <w:rPr>
                      <w:rFonts w:hint="eastAsia"/>
                      <w:color w:val="auto"/>
                      <w:lang w:val="en-US" w:eastAsia="zh-CN"/>
                    </w:rPr>
                    <w:t>21</w:t>
                  </w:r>
                </w:p>
              </w:tc>
              <w:tc>
                <w:tcPr>
                  <w:tcW w:w="414" w:type="pct"/>
                  <w:vMerge w:val="continue"/>
                  <w:tcBorders>
                    <w:tl2br w:val="nil"/>
                    <w:tr2bl w:val="nil"/>
                  </w:tcBorders>
                  <w:shd w:val="clear" w:color="auto" w:fill="auto"/>
                  <w:noWrap w:val="0"/>
                  <w:vAlign w:val="center"/>
                </w:tcPr>
                <w:p w14:paraId="4A5FA395">
                  <w:pPr>
                    <w:pStyle w:val="3"/>
                    <w:bidi w:val="0"/>
                    <w:rPr>
                      <w:rFonts w:hint="default"/>
                      <w:color w:val="auto"/>
                    </w:rPr>
                  </w:pPr>
                </w:p>
              </w:tc>
              <w:tc>
                <w:tcPr>
                  <w:tcW w:w="265" w:type="pct"/>
                  <w:vMerge w:val="restart"/>
                  <w:tcBorders>
                    <w:tl2br w:val="nil"/>
                    <w:tr2bl w:val="nil"/>
                  </w:tcBorders>
                  <w:shd w:val="clear" w:color="auto" w:fill="auto"/>
                  <w:noWrap w:val="0"/>
                  <w:vAlign w:val="center"/>
                </w:tcPr>
                <w:p w14:paraId="77347F78">
                  <w:pPr>
                    <w:pStyle w:val="3"/>
                    <w:bidi w:val="0"/>
                    <w:rPr>
                      <w:rFonts w:hint="default"/>
                      <w:color w:val="auto"/>
                    </w:rPr>
                  </w:pPr>
                  <w:r>
                    <w:rPr>
                      <w:rFonts w:hint="default"/>
                      <w:color w:val="auto"/>
                    </w:rPr>
                    <w:t>固体</w:t>
                  </w:r>
                </w:p>
                <w:p w14:paraId="7BC9E8CD">
                  <w:pPr>
                    <w:pStyle w:val="3"/>
                    <w:bidi w:val="0"/>
                    <w:rPr>
                      <w:rFonts w:hint="eastAsia"/>
                      <w:color w:val="auto"/>
                      <w:lang w:eastAsia="zh-CN"/>
                    </w:rPr>
                  </w:pPr>
                  <w:r>
                    <w:rPr>
                      <w:rFonts w:hint="eastAsia"/>
                      <w:color w:val="auto"/>
                      <w:lang w:eastAsia="zh-CN"/>
                    </w:rPr>
                    <w:t>处理</w:t>
                  </w:r>
                </w:p>
              </w:tc>
              <w:tc>
                <w:tcPr>
                  <w:tcW w:w="647" w:type="pct"/>
                  <w:tcBorders>
                    <w:tl2br w:val="nil"/>
                    <w:tr2bl w:val="nil"/>
                  </w:tcBorders>
                  <w:shd w:val="clear" w:color="auto" w:fill="auto"/>
                  <w:noWrap w:val="0"/>
                  <w:vAlign w:val="center"/>
                </w:tcPr>
                <w:p w14:paraId="7BBFBAAA">
                  <w:pPr>
                    <w:pStyle w:val="3"/>
                    <w:bidi w:val="0"/>
                    <w:rPr>
                      <w:rFonts w:hint="eastAsia"/>
                      <w:color w:val="auto"/>
                      <w:lang w:eastAsia="zh-CN"/>
                    </w:rPr>
                  </w:pPr>
                  <w:r>
                    <w:rPr>
                      <w:rFonts w:hint="eastAsia"/>
                      <w:color w:val="auto"/>
                      <w:lang w:eastAsia="zh-CN"/>
                    </w:rPr>
                    <w:t>危险</w:t>
                  </w:r>
                </w:p>
                <w:p w14:paraId="794FC0E3">
                  <w:pPr>
                    <w:pStyle w:val="3"/>
                    <w:bidi w:val="0"/>
                    <w:rPr>
                      <w:rFonts w:hint="eastAsia"/>
                      <w:color w:val="auto"/>
                      <w:lang w:eastAsia="zh-CN"/>
                    </w:rPr>
                  </w:pPr>
                  <w:r>
                    <w:rPr>
                      <w:rFonts w:hint="eastAsia"/>
                      <w:color w:val="auto"/>
                      <w:lang w:eastAsia="zh-CN"/>
                    </w:rPr>
                    <w:t>废物</w:t>
                  </w:r>
                </w:p>
              </w:tc>
              <w:tc>
                <w:tcPr>
                  <w:tcW w:w="3009" w:type="pct"/>
                  <w:tcBorders>
                    <w:tl2br w:val="nil"/>
                    <w:tr2bl w:val="nil"/>
                  </w:tcBorders>
                  <w:shd w:val="clear" w:color="auto" w:fill="auto"/>
                  <w:noWrap w:val="0"/>
                  <w:vAlign w:val="center"/>
                </w:tcPr>
                <w:p w14:paraId="5D72820E">
                  <w:pPr>
                    <w:pStyle w:val="3"/>
                    <w:bidi w:val="0"/>
                    <w:jc w:val="both"/>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eastAsia="zh-CN"/>
                    </w:rPr>
                    <w:t>依托厂</w:t>
                  </w:r>
                  <w:r>
                    <w:rPr>
                      <w:rFonts w:hint="default" w:ascii="Times New Roman" w:hAnsi="Times New Roman" w:cs="Times New Roman"/>
                      <w:color w:val="auto"/>
                      <w:lang w:eastAsia="zh-CN"/>
                    </w:rPr>
                    <w:t>区现有</w:t>
                  </w:r>
                  <w:r>
                    <w:rPr>
                      <w:rFonts w:hint="eastAsia" w:ascii="Times New Roman" w:hAnsi="Times New Roman" w:cs="Times New Roman"/>
                      <w:color w:val="auto"/>
                      <w:lang w:eastAsia="zh-CN"/>
                    </w:rPr>
                    <w:t>废润滑油</w:t>
                  </w:r>
                  <w:r>
                    <w:rPr>
                      <w:rFonts w:hint="default" w:ascii="Times New Roman" w:hAnsi="Times New Roman" w:cs="Times New Roman"/>
                      <w:color w:val="auto"/>
                      <w:lang w:eastAsia="zh-CN"/>
                    </w:rPr>
                    <w:t>贮存库（编号</w:t>
                  </w:r>
                  <w:r>
                    <w:rPr>
                      <w:rFonts w:hint="default" w:ascii="Times New Roman" w:hAnsi="Times New Roman" w:cs="Times New Roman"/>
                      <w:color w:val="auto"/>
                      <w:lang w:val="en-US" w:eastAsia="zh-CN"/>
                    </w:rPr>
                    <w:t>TS003</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危险废物经分类暂存后定期</w:t>
                  </w:r>
                  <w:r>
                    <w:rPr>
                      <w:rFonts w:hint="eastAsia" w:ascii="Times New Roman" w:hAnsi="Times New Roman" w:cs="Times New Roman"/>
                      <w:color w:val="auto"/>
                      <w:lang w:val="en-US" w:eastAsia="zh-CN"/>
                    </w:rPr>
                    <w:t>交由</w:t>
                  </w:r>
                  <w:r>
                    <w:rPr>
                      <w:rFonts w:hint="default" w:ascii="Times New Roman" w:hAnsi="Times New Roman" w:cs="Times New Roman"/>
                      <w:color w:val="auto"/>
                      <w:lang w:val="en-US" w:eastAsia="zh-CN"/>
                    </w:rPr>
                    <w:t>危险废物处理资质单位处置。</w:t>
                  </w:r>
                </w:p>
              </w:tc>
              <w:tc>
                <w:tcPr>
                  <w:tcW w:w="396" w:type="pct"/>
                  <w:tcBorders>
                    <w:tl2br w:val="nil"/>
                    <w:tr2bl w:val="nil"/>
                  </w:tcBorders>
                  <w:shd w:val="clear" w:color="auto" w:fill="auto"/>
                  <w:noWrap w:val="0"/>
                  <w:vAlign w:val="center"/>
                </w:tcPr>
                <w:p w14:paraId="24628F00">
                  <w:pPr>
                    <w:pStyle w:val="3"/>
                    <w:bidi w:val="0"/>
                    <w:rPr>
                      <w:rFonts w:hint="default"/>
                      <w:color w:val="auto"/>
                    </w:rPr>
                  </w:pPr>
                  <w:r>
                    <w:rPr>
                      <w:rFonts w:hint="eastAsia"/>
                      <w:color w:val="auto"/>
                      <w:lang w:val="en-US" w:eastAsia="zh-CN"/>
                    </w:rPr>
                    <w:t>依托</w:t>
                  </w:r>
                </w:p>
              </w:tc>
            </w:tr>
            <w:tr w14:paraId="71FC6B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5" w:type="pct"/>
                  <w:vMerge w:val="continue"/>
                  <w:tcBorders>
                    <w:tl2br w:val="nil"/>
                    <w:tr2bl w:val="nil"/>
                  </w:tcBorders>
                  <w:shd w:val="clear" w:color="auto" w:fill="auto"/>
                  <w:noWrap w:val="0"/>
                  <w:vAlign w:val="center"/>
                </w:tcPr>
                <w:p w14:paraId="46DD0C67">
                  <w:pPr>
                    <w:pStyle w:val="3"/>
                    <w:bidi w:val="0"/>
                    <w:rPr>
                      <w:rFonts w:hint="default"/>
                      <w:color w:val="auto"/>
                    </w:rPr>
                  </w:pPr>
                </w:p>
              </w:tc>
              <w:tc>
                <w:tcPr>
                  <w:tcW w:w="414" w:type="pct"/>
                  <w:vMerge w:val="continue"/>
                  <w:tcBorders>
                    <w:tl2br w:val="nil"/>
                    <w:tr2bl w:val="nil"/>
                  </w:tcBorders>
                  <w:shd w:val="clear" w:color="auto" w:fill="auto"/>
                  <w:noWrap w:val="0"/>
                  <w:vAlign w:val="center"/>
                </w:tcPr>
                <w:p w14:paraId="5CFD0404">
                  <w:pPr>
                    <w:pStyle w:val="3"/>
                    <w:bidi w:val="0"/>
                    <w:rPr>
                      <w:rFonts w:hint="default"/>
                      <w:color w:val="auto"/>
                    </w:rPr>
                  </w:pPr>
                </w:p>
              </w:tc>
              <w:tc>
                <w:tcPr>
                  <w:tcW w:w="265" w:type="pct"/>
                  <w:vMerge w:val="continue"/>
                  <w:tcBorders>
                    <w:tl2br w:val="nil"/>
                    <w:tr2bl w:val="nil"/>
                  </w:tcBorders>
                  <w:shd w:val="clear" w:color="auto" w:fill="auto"/>
                  <w:noWrap w:val="0"/>
                  <w:vAlign w:val="center"/>
                </w:tcPr>
                <w:p w14:paraId="79FE3AC2">
                  <w:pPr>
                    <w:pStyle w:val="3"/>
                    <w:bidi w:val="0"/>
                    <w:rPr>
                      <w:rFonts w:hint="eastAsia"/>
                      <w:color w:val="auto"/>
                      <w:lang w:eastAsia="zh-CN"/>
                    </w:rPr>
                  </w:pPr>
                </w:p>
              </w:tc>
              <w:tc>
                <w:tcPr>
                  <w:tcW w:w="647" w:type="pct"/>
                  <w:tcBorders>
                    <w:tl2br w:val="nil"/>
                    <w:tr2bl w:val="nil"/>
                  </w:tcBorders>
                  <w:shd w:val="clear" w:color="auto" w:fill="auto"/>
                  <w:noWrap w:val="0"/>
                  <w:vAlign w:val="center"/>
                </w:tcPr>
                <w:p w14:paraId="05B7DEAA">
                  <w:pPr>
                    <w:pStyle w:val="3"/>
                    <w:bidi w:val="0"/>
                    <w:rPr>
                      <w:rFonts w:hint="eastAsia"/>
                      <w:color w:val="auto"/>
                      <w:lang w:eastAsia="zh-CN"/>
                    </w:rPr>
                  </w:pPr>
                  <w:r>
                    <w:rPr>
                      <w:rFonts w:hint="eastAsia"/>
                      <w:color w:val="auto"/>
                      <w:lang w:eastAsia="zh-CN"/>
                    </w:rPr>
                    <w:t>一般工业固废</w:t>
                  </w:r>
                </w:p>
              </w:tc>
              <w:tc>
                <w:tcPr>
                  <w:tcW w:w="3009" w:type="pct"/>
                  <w:tcBorders>
                    <w:tl2br w:val="nil"/>
                    <w:tr2bl w:val="nil"/>
                  </w:tcBorders>
                  <w:shd w:val="clear" w:color="auto" w:fill="auto"/>
                  <w:noWrap w:val="0"/>
                  <w:vAlign w:val="center"/>
                </w:tcPr>
                <w:p w14:paraId="7F8ED20B">
                  <w:pPr>
                    <w:pStyle w:val="3"/>
                    <w:bidi w:val="0"/>
                    <w:jc w:val="both"/>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eastAsia="zh-CN"/>
                    </w:rPr>
                    <w:t>依托厂区现有</w:t>
                  </w:r>
                  <w:r>
                    <w:rPr>
                      <w:rFonts w:hint="default" w:ascii="Times New Roman" w:hAnsi="Times New Roman" w:eastAsia="宋体" w:cs="Times New Roman"/>
                      <w:color w:val="auto"/>
                      <w:lang w:eastAsia="zh-CN"/>
                    </w:rPr>
                    <w:t>豆梗暂存间（</w:t>
                  </w:r>
                  <w:r>
                    <w:rPr>
                      <w:rFonts w:hint="default" w:ascii="Times New Roman" w:hAnsi="Times New Roman" w:eastAsia="宋体" w:cs="Times New Roman"/>
                      <w:color w:val="auto"/>
                      <w:lang w:val="en-US" w:eastAsia="zh-CN"/>
                    </w:rPr>
                    <w:t>TS007</w:t>
                  </w:r>
                  <w:r>
                    <w:rPr>
                      <w:rFonts w:hint="default" w:ascii="Times New Roman" w:hAnsi="Times New Roman" w:eastAsia="宋体" w:cs="Times New Roman"/>
                      <w:color w:val="auto"/>
                      <w:lang w:eastAsia="zh-CN"/>
                    </w:rPr>
                    <w:t>）、废铁暂存间（</w:t>
                  </w:r>
                  <w:r>
                    <w:rPr>
                      <w:rFonts w:hint="default" w:ascii="Times New Roman" w:hAnsi="Times New Roman" w:eastAsia="宋体" w:cs="Times New Roman"/>
                      <w:color w:val="auto"/>
                      <w:lang w:val="en-US" w:eastAsia="zh-CN"/>
                    </w:rPr>
                    <w:t>TS009</w:t>
                  </w: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，废杂质（豆梗、废铁）交废品回收公司处置，除尘器收集粉尘</w:t>
                  </w:r>
                  <w:r>
                    <w:rPr>
                      <w:rFonts w:hint="default" w:ascii="Times New Roman" w:hAnsi="Times New Roman" w:cs="Times New Roman"/>
                      <w:color w:val="auto"/>
                      <w:highlight w:val="none"/>
                      <w:lang w:val="en-US" w:eastAsia="zh-CN"/>
                    </w:rPr>
                    <w:t>送一般工业固废填埋场处置。</w:t>
                  </w:r>
                </w:p>
              </w:tc>
              <w:tc>
                <w:tcPr>
                  <w:tcW w:w="396" w:type="pct"/>
                  <w:tcBorders>
                    <w:tl2br w:val="nil"/>
                    <w:tr2bl w:val="nil"/>
                  </w:tcBorders>
                  <w:shd w:val="clear" w:color="auto" w:fill="auto"/>
                  <w:noWrap w:val="0"/>
                  <w:vAlign w:val="center"/>
                </w:tcPr>
                <w:p w14:paraId="193D499C">
                  <w:pPr>
                    <w:pStyle w:val="3"/>
                    <w:bidi w:val="0"/>
                    <w:rPr>
                      <w:rFonts w:hint="default"/>
                      <w:color w:val="auto"/>
                    </w:rPr>
                  </w:pPr>
                  <w:r>
                    <w:rPr>
                      <w:rFonts w:hint="eastAsia"/>
                      <w:color w:val="auto"/>
                      <w:lang w:val="en-US" w:eastAsia="zh-CN"/>
                    </w:rPr>
                    <w:t>依托</w:t>
                  </w:r>
                </w:p>
              </w:tc>
            </w:tr>
          </w:tbl>
          <w:p w14:paraId="76ED5036">
            <w:pPr>
              <w:pStyle w:val="23"/>
              <w:spacing w:line="360" w:lineRule="auto"/>
              <w:ind w:left="0" w:leftChars="0" w:firstLine="0" w:firstLineChars="0"/>
              <w:jc w:val="both"/>
              <w:rPr>
                <w:rFonts w:hint="eastAsia" w:ascii="Times New Roman" w:hAnsi="Times New Roman" w:eastAsia="等线" w:cs="Times New Roman"/>
                <w:b/>
                <w:bCs/>
                <w:color w:val="auto"/>
                <w:spacing w:val="8"/>
                <w:sz w:val="24"/>
                <w:szCs w:val="24"/>
                <w:shd w:val="clear" w:color="auto" w:fill="FFFFFF"/>
                <w:lang w:val="en-US" w:eastAsia="zh-CN"/>
              </w:rPr>
            </w:pPr>
            <w:r>
              <w:rPr>
                <w:rFonts w:hint="eastAsia" w:ascii="Times New Roman" w:eastAsia="宋体" w:cs="Times New Roman"/>
                <w:b/>
                <w:bCs/>
                <w:color w:val="auto"/>
                <w:sz w:val="24"/>
                <w:szCs w:val="24"/>
                <w:lang w:val="en-US" w:eastAsia="zh-CN"/>
              </w:rPr>
              <w:t>3.</w:t>
            </w:r>
            <w:r>
              <w:rPr>
                <w:rFonts w:hint="default" w:ascii="Times New Roman" w:hAnsi="Times New Roman" w:eastAsia="宋体" w:cs="Times New Roman"/>
                <w:b/>
                <w:bCs/>
                <w:color w:val="auto"/>
                <w:sz w:val="24"/>
                <w:szCs w:val="24"/>
              </w:rPr>
              <w:t>生产单元、</w:t>
            </w:r>
            <w:r>
              <w:rPr>
                <w:rFonts w:hint="default" w:ascii="Times New Roman" w:hAnsi="Times New Roman" w:cs="Times New Roman"/>
                <w:b/>
                <w:bCs/>
                <w:color w:val="auto"/>
                <w:spacing w:val="8"/>
                <w:sz w:val="24"/>
                <w:szCs w:val="24"/>
                <w:shd w:val="clear" w:color="auto" w:fill="FFFFFF"/>
              </w:rPr>
              <w:t>主要工艺、主要生产设施及设施参数</w:t>
            </w:r>
          </w:p>
          <w:p w14:paraId="622F282F">
            <w:pPr>
              <w:bidi w:val="0"/>
              <w:rPr>
                <w:rFonts w:hint="default" w:ascii="Times New Roman" w:hAnsi="Times New Roman" w:cs="Times New Roman"/>
                <w:color w:val="auto"/>
              </w:rPr>
            </w:pPr>
            <w:r>
              <w:rPr>
                <w:rFonts w:hint="eastAsia" w:eastAsia="宋体"/>
                <w:color w:val="auto"/>
                <w:lang w:eastAsia="zh-CN"/>
              </w:rPr>
              <w:t>本项目主要生产设备见表</w:t>
            </w:r>
            <w:r>
              <w:rPr>
                <w:rFonts w:hint="eastAsia" w:eastAsia="宋体"/>
                <w:color w:val="auto"/>
                <w:lang w:val="en-US" w:eastAsia="zh-CN"/>
              </w:rPr>
              <w:t>2.3-1，企业改扩建前后各生产线变化情况见表2.3-2。</w:t>
            </w:r>
          </w:p>
          <w:p w14:paraId="67CDDC93">
            <w:pPr>
              <w:pStyle w:val="3"/>
              <w:bidi w:val="0"/>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3-1</w:t>
            </w:r>
            <w:r>
              <w:rPr>
                <w:rFonts w:hint="default" w:ascii="Times New Roman" w:hAnsi="Times New Roman" w:cs="Times New Roman"/>
                <w:color w:val="auto"/>
              </w:rPr>
              <w:t xml:space="preserve"> 生产单元、主要工艺、主要生产设施及设施参数</w:t>
            </w:r>
          </w:p>
          <w:tbl>
            <w:tblPr>
              <w:tblStyle w:val="18"/>
              <w:tblW w:w="4995"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566"/>
              <w:gridCol w:w="1630"/>
              <w:gridCol w:w="2249"/>
              <w:gridCol w:w="800"/>
              <w:gridCol w:w="802"/>
            </w:tblGrid>
            <w:tr w14:paraId="6994F7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pct"/>
                  <w:tcBorders>
                    <w:tl2br w:val="nil"/>
                    <w:tr2bl w:val="nil"/>
                  </w:tcBorders>
                  <w:vAlign w:val="center"/>
                </w:tcPr>
                <w:p w14:paraId="0EA43542">
                  <w:pPr>
                    <w:pStyle w:val="3"/>
                    <w:bidi w:val="0"/>
                    <w:rPr>
                      <w:rFonts w:hint="default" w:ascii="Times New Roman" w:hAnsi="Times New Roman" w:cs="Times New Roman"/>
                      <w:color w:val="auto"/>
                    </w:rPr>
                  </w:pPr>
                  <w:r>
                    <w:rPr>
                      <w:rFonts w:hint="default" w:ascii="Times New Roman" w:hAnsi="Times New Roman" w:cs="Times New Roman"/>
                      <w:color w:val="auto"/>
                    </w:rPr>
                    <w:t>生产单元</w:t>
                  </w:r>
                </w:p>
              </w:tc>
              <w:tc>
                <w:tcPr>
                  <w:tcW w:w="934" w:type="pct"/>
                  <w:tcBorders>
                    <w:tl2br w:val="nil"/>
                    <w:tr2bl w:val="nil"/>
                  </w:tcBorders>
                  <w:vAlign w:val="center"/>
                </w:tcPr>
                <w:p w14:paraId="7C7C969D">
                  <w:pPr>
                    <w:pStyle w:val="3"/>
                    <w:bidi w:val="0"/>
                    <w:rPr>
                      <w:rFonts w:hint="default" w:ascii="Times New Roman" w:hAnsi="Times New Roman" w:cs="Times New Roman"/>
                      <w:color w:val="auto"/>
                    </w:rPr>
                  </w:pPr>
                  <w:r>
                    <w:rPr>
                      <w:rFonts w:hint="default" w:ascii="Times New Roman" w:hAnsi="Times New Roman" w:cs="Times New Roman"/>
                      <w:color w:val="auto"/>
                    </w:rPr>
                    <w:t>主要工艺</w:t>
                  </w:r>
                </w:p>
              </w:tc>
              <w:tc>
                <w:tcPr>
                  <w:tcW w:w="972" w:type="pct"/>
                  <w:tcBorders>
                    <w:tl2br w:val="nil"/>
                    <w:tr2bl w:val="nil"/>
                  </w:tcBorders>
                  <w:vAlign w:val="center"/>
                </w:tcPr>
                <w:p w14:paraId="195418A6">
                  <w:pPr>
                    <w:pStyle w:val="3"/>
                    <w:bidi w:val="0"/>
                    <w:rPr>
                      <w:rFonts w:hint="default" w:ascii="Times New Roman" w:hAnsi="Times New Roman" w:cs="Times New Roman"/>
                      <w:color w:val="auto"/>
                    </w:rPr>
                  </w:pPr>
                  <w:r>
                    <w:rPr>
                      <w:rFonts w:hint="default" w:ascii="Times New Roman" w:hAnsi="Times New Roman" w:cs="Times New Roman"/>
                      <w:color w:val="auto"/>
                    </w:rPr>
                    <w:t>设施名称</w:t>
                  </w:r>
                </w:p>
              </w:tc>
              <w:tc>
                <w:tcPr>
                  <w:tcW w:w="1341" w:type="pct"/>
                  <w:tcBorders>
                    <w:tl2br w:val="nil"/>
                    <w:tr2bl w:val="nil"/>
                  </w:tcBorders>
                  <w:vAlign w:val="center"/>
                </w:tcPr>
                <w:p w14:paraId="73A3F7F9">
                  <w:pPr>
                    <w:pStyle w:val="3"/>
                    <w:bidi w:val="0"/>
                    <w:rPr>
                      <w:rFonts w:hint="default" w:ascii="Times New Roman" w:hAnsi="Times New Roman" w:cs="Times New Roman"/>
                      <w:color w:val="auto"/>
                    </w:rPr>
                  </w:pPr>
                  <w:r>
                    <w:rPr>
                      <w:rFonts w:hint="default" w:ascii="Times New Roman" w:hAnsi="Times New Roman" w:cs="Times New Roman"/>
                      <w:color w:val="auto"/>
                    </w:rPr>
                    <w:t>设施参数</w:t>
                  </w:r>
                </w:p>
              </w:tc>
              <w:tc>
                <w:tcPr>
                  <w:tcW w:w="477" w:type="pct"/>
                  <w:tcBorders>
                    <w:tl2br w:val="nil"/>
                    <w:tr2bl w:val="nil"/>
                  </w:tcBorders>
                  <w:vAlign w:val="center"/>
                </w:tcPr>
                <w:p w14:paraId="34539C50">
                  <w:pPr>
                    <w:pStyle w:val="3"/>
                    <w:bidi w:val="0"/>
                    <w:rPr>
                      <w:rFonts w:hint="default" w:ascii="Times New Roman" w:hAnsi="Times New Roman" w:cs="Times New Roman"/>
                      <w:color w:val="auto"/>
                    </w:rPr>
                  </w:pPr>
                  <w:r>
                    <w:rPr>
                      <w:rFonts w:hint="default" w:ascii="Times New Roman" w:hAnsi="Times New Roman" w:cs="Times New Roman"/>
                      <w:color w:val="auto"/>
                    </w:rPr>
                    <w:t>数量</w:t>
                  </w:r>
                </w:p>
              </w:tc>
              <w:tc>
                <w:tcPr>
                  <w:tcW w:w="478" w:type="pct"/>
                  <w:tcBorders>
                    <w:tl2br w:val="nil"/>
                    <w:tr2bl w:val="nil"/>
                  </w:tcBorders>
                  <w:vAlign w:val="center"/>
                </w:tcPr>
                <w:p w14:paraId="1463B19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备注</w:t>
                  </w:r>
                </w:p>
              </w:tc>
            </w:tr>
            <w:tr w14:paraId="4C218A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restart"/>
                  <w:tcBorders>
                    <w:tl2br w:val="nil"/>
                    <w:tr2bl w:val="nil"/>
                  </w:tcBorders>
                  <w:vAlign w:val="center"/>
                </w:tcPr>
                <w:p w14:paraId="7EB8AD6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大豆粉膨</w:t>
                  </w:r>
                </w:p>
                <w:p w14:paraId="200A5FF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化生产线</w:t>
                  </w:r>
                </w:p>
              </w:tc>
              <w:tc>
                <w:tcPr>
                  <w:tcW w:w="934" w:type="pct"/>
                  <w:tcBorders>
                    <w:tl2br w:val="nil"/>
                    <w:tr2bl w:val="nil"/>
                  </w:tcBorders>
                  <w:vAlign w:val="center"/>
                </w:tcPr>
                <w:p w14:paraId="3F7BC7E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大豆输送</w:t>
                  </w:r>
                </w:p>
              </w:tc>
              <w:tc>
                <w:tcPr>
                  <w:tcW w:w="972" w:type="pct"/>
                  <w:tcBorders>
                    <w:tl2br w:val="nil"/>
                    <w:tr2bl w:val="nil"/>
                  </w:tcBorders>
                  <w:vAlign w:val="center"/>
                </w:tcPr>
                <w:p w14:paraId="6F68499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输送刮板</w:t>
                  </w:r>
                </w:p>
              </w:tc>
              <w:tc>
                <w:tcPr>
                  <w:tcW w:w="1341" w:type="pct"/>
                  <w:tcBorders>
                    <w:tl2br w:val="nil"/>
                    <w:tr2bl w:val="nil"/>
                  </w:tcBorders>
                  <w:vAlign w:val="center"/>
                </w:tcPr>
                <w:p w14:paraId="1C5446B0">
                  <w:pPr>
                    <w:pStyle w:val="3"/>
                    <w:bidi w:val="0"/>
                    <w:rPr>
                      <w:rFonts w:hint="default" w:ascii="Times New Roman" w:hAnsi="Times New Roman" w:cs="Times New Roman"/>
                      <w:color w:val="auto"/>
                    </w:rPr>
                  </w:pPr>
                  <w:r>
                    <w:rPr>
                      <w:rFonts w:hint="default" w:ascii="Times New Roman" w:hAnsi="Times New Roman" w:cs="Times New Roman"/>
                      <w:color w:val="auto"/>
                    </w:rPr>
                    <w:t>TGSP20</w:t>
                  </w:r>
                </w:p>
              </w:tc>
              <w:tc>
                <w:tcPr>
                  <w:tcW w:w="477" w:type="pct"/>
                  <w:tcBorders>
                    <w:tl2br w:val="nil"/>
                    <w:tr2bl w:val="nil"/>
                  </w:tcBorders>
                  <w:vAlign w:val="center"/>
                </w:tcPr>
                <w:p w14:paraId="5F961A5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1套</w:t>
                  </w:r>
                </w:p>
              </w:tc>
              <w:tc>
                <w:tcPr>
                  <w:tcW w:w="478" w:type="pct"/>
                  <w:tcBorders>
                    <w:tl2br w:val="nil"/>
                    <w:tr2bl w:val="nil"/>
                  </w:tcBorders>
                  <w:vAlign w:val="center"/>
                </w:tcPr>
                <w:p w14:paraId="49E0EE6C">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5EE2C8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75137938">
                  <w:pPr>
                    <w:pStyle w:val="3"/>
                    <w:bidi w:val="0"/>
                    <w:rPr>
                      <w:rFonts w:hint="default" w:ascii="Times New Roman" w:hAnsi="Times New Roman" w:cs="Times New Roman"/>
                      <w:color w:val="auto"/>
                    </w:rPr>
                  </w:pPr>
                </w:p>
              </w:tc>
              <w:tc>
                <w:tcPr>
                  <w:tcW w:w="934" w:type="pct"/>
                  <w:tcBorders>
                    <w:tl2br w:val="nil"/>
                    <w:tr2bl w:val="nil"/>
                  </w:tcBorders>
                  <w:vAlign w:val="center"/>
                </w:tcPr>
                <w:p w14:paraId="70B8C77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输送喂料</w:t>
                  </w:r>
                </w:p>
              </w:tc>
              <w:tc>
                <w:tcPr>
                  <w:tcW w:w="972" w:type="pct"/>
                  <w:tcBorders>
                    <w:tl2br w:val="nil"/>
                    <w:tr2bl w:val="nil"/>
                  </w:tcBorders>
                  <w:vAlign w:val="center"/>
                </w:tcPr>
                <w:p w14:paraId="219FC49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叶轮喂料器</w:t>
                  </w:r>
                </w:p>
              </w:tc>
              <w:tc>
                <w:tcPr>
                  <w:tcW w:w="1341" w:type="pct"/>
                  <w:tcBorders>
                    <w:tl2br w:val="nil"/>
                    <w:tr2bl w:val="nil"/>
                  </w:tcBorders>
                  <w:vAlign w:val="center"/>
                </w:tcPr>
                <w:p w14:paraId="0F1574A0">
                  <w:pPr>
                    <w:pStyle w:val="3"/>
                    <w:bidi w:val="0"/>
                    <w:rPr>
                      <w:rFonts w:hint="default" w:ascii="Times New Roman" w:hAnsi="Times New Roman" w:cs="Times New Roman"/>
                      <w:color w:val="auto"/>
                    </w:rPr>
                  </w:pPr>
                  <w:r>
                    <w:rPr>
                      <w:rFonts w:hint="default" w:ascii="Times New Roman" w:hAnsi="Times New Roman" w:cs="Times New Roman"/>
                      <w:color w:val="auto"/>
                    </w:rPr>
                    <w:t>TWLY20×125</w:t>
                  </w:r>
                </w:p>
              </w:tc>
              <w:tc>
                <w:tcPr>
                  <w:tcW w:w="477" w:type="pct"/>
                  <w:tcBorders>
                    <w:tl2br w:val="nil"/>
                    <w:tr2bl w:val="nil"/>
                  </w:tcBorders>
                  <w:vAlign w:val="center"/>
                </w:tcPr>
                <w:p w14:paraId="1119206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47C8066A">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301CD6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5E7A2B05">
                  <w:pPr>
                    <w:pStyle w:val="3"/>
                    <w:bidi w:val="0"/>
                    <w:rPr>
                      <w:rFonts w:hint="default" w:ascii="Times New Roman" w:hAnsi="Times New Roman" w:cs="Times New Roman"/>
                      <w:color w:val="auto"/>
                    </w:rPr>
                  </w:pPr>
                </w:p>
              </w:tc>
              <w:tc>
                <w:tcPr>
                  <w:tcW w:w="934" w:type="pct"/>
                  <w:tcBorders>
                    <w:tl2br w:val="nil"/>
                    <w:tr2bl w:val="nil"/>
                  </w:tcBorders>
                  <w:vAlign w:val="center"/>
                </w:tcPr>
                <w:p w14:paraId="4EC285F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初破</w:t>
                  </w:r>
                </w:p>
              </w:tc>
              <w:tc>
                <w:tcPr>
                  <w:tcW w:w="972" w:type="pct"/>
                  <w:tcBorders>
                    <w:tl2br w:val="nil"/>
                    <w:tr2bl w:val="nil"/>
                  </w:tcBorders>
                  <w:vAlign w:val="center"/>
                </w:tcPr>
                <w:p w14:paraId="6EF36312">
                  <w:pPr>
                    <w:pStyle w:val="3"/>
                    <w:bidi w:val="0"/>
                    <w:rPr>
                      <w:rFonts w:hint="default" w:ascii="Times New Roman" w:hAnsi="Times New Roman" w:cs="Times New Roman"/>
                      <w:color w:val="auto"/>
                    </w:rPr>
                  </w:pPr>
                  <w:r>
                    <w:rPr>
                      <w:rFonts w:hint="default" w:ascii="Times New Roman" w:hAnsi="Times New Roman" w:cs="Times New Roman"/>
                      <w:color w:val="auto"/>
                      <w:lang w:val="en-US"/>
                    </w:rPr>
                    <w:t>辊式</w:t>
                  </w:r>
                  <w:r>
                    <w:rPr>
                      <w:rFonts w:hint="default" w:ascii="Times New Roman" w:hAnsi="Times New Roman" w:cs="Times New Roman"/>
                      <w:color w:val="auto"/>
                    </w:rPr>
                    <w:t>破碎机</w:t>
                  </w:r>
                </w:p>
              </w:tc>
              <w:tc>
                <w:tcPr>
                  <w:tcW w:w="1341" w:type="pct"/>
                  <w:tcBorders>
                    <w:tl2br w:val="nil"/>
                    <w:tr2bl w:val="nil"/>
                  </w:tcBorders>
                  <w:vAlign w:val="center"/>
                </w:tcPr>
                <w:p w14:paraId="149344A4">
                  <w:pPr>
                    <w:pStyle w:val="3"/>
                    <w:bidi w:val="0"/>
                    <w:rPr>
                      <w:rFonts w:hint="default" w:ascii="Times New Roman" w:hAnsi="Times New Roman" w:cs="Times New Roman"/>
                      <w:color w:val="auto"/>
                    </w:rPr>
                  </w:pPr>
                  <w:r>
                    <w:rPr>
                      <w:rFonts w:hint="default" w:ascii="Times New Roman" w:hAnsi="Times New Roman" w:cs="Times New Roman"/>
                      <w:color w:val="auto"/>
                    </w:rPr>
                    <w:t>YPSG310×1070-2</w:t>
                  </w:r>
                </w:p>
              </w:tc>
              <w:tc>
                <w:tcPr>
                  <w:tcW w:w="477" w:type="pct"/>
                  <w:tcBorders>
                    <w:tl2br w:val="nil"/>
                    <w:tr2bl w:val="nil"/>
                  </w:tcBorders>
                  <w:vAlign w:val="center"/>
                </w:tcPr>
                <w:p w14:paraId="146CD3C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665314F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67BBC30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1753BB0B">
                  <w:pPr>
                    <w:pStyle w:val="3"/>
                    <w:bidi w:val="0"/>
                    <w:rPr>
                      <w:rFonts w:hint="default" w:ascii="Times New Roman" w:hAnsi="Times New Roman" w:cs="Times New Roman"/>
                      <w:color w:val="auto"/>
                    </w:rPr>
                  </w:pPr>
                </w:p>
              </w:tc>
              <w:tc>
                <w:tcPr>
                  <w:tcW w:w="934" w:type="pct"/>
                  <w:tcBorders>
                    <w:tl2br w:val="nil"/>
                    <w:tr2bl w:val="nil"/>
                  </w:tcBorders>
                  <w:vAlign w:val="center"/>
                </w:tcPr>
                <w:p w14:paraId="3CEFA43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初破</w:t>
                  </w:r>
                </w:p>
              </w:tc>
              <w:tc>
                <w:tcPr>
                  <w:tcW w:w="972" w:type="pct"/>
                  <w:tcBorders>
                    <w:tl2br w:val="nil"/>
                    <w:tr2bl w:val="nil"/>
                  </w:tcBorders>
                  <w:vAlign w:val="center"/>
                </w:tcPr>
                <w:p w14:paraId="55CA5B9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锤片式</w:t>
                  </w:r>
                  <w:r>
                    <w:rPr>
                      <w:rFonts w:hint="default" w:ascii="Times New Roman" w:hAnsi="Times New Roman" w:cs="Times New Roman"/>
                      <w:color w:val="auto"/>
                    </w:rPr>
                    <w:t>粉碎机</w:t>
                  </w:r>
                </w:p>
              </w:tc>
              <w:tc>
                <w:tcPr>
                  <w:tcW w:w="1341" w:type="pct"/>
                  <w:tcBorders>
                    <w:tl2br w:val="nil"/>
                    <w:tr2bl w:val="nil"/>
                  </w:tcBorders>
                  <w:vAlign w:val="center"/>
                </w:tcPr>
                <w:p w14:paraId="0472C3CE">
                  <w:pPr>
                    <w:pStyle w:val="3"/>
                    <w:bidi w:val="0"/>
                    <w:rPr>
                      <w:rFonts w:hint="default" w:ascii="Times New Roman" w:hAnsi="Times New Roman" w:cs="Times New Roman"/>
                      <w:color w:val="auto"/>
                    </w:rPr>
                  </w:pPr>
                  <w:r>
                    <w:rPr>
                      <w:rFonts w:hint="default" w:ascii="Times New Roman" w:hAnsi="Times New Roman" w:cs="Times New Roman"/>
                      <w:color w:val="auto"/>
                    </w:rPr>
                    <w:t>SWFP66×125</w:t>
                  </w:r>
                </w:p>
              </w:tc>
              <w:tc>
                <w:tcPr>
                  <w:tcW w:w="477" w:type="pct"/>
                  <w:tcBorders>
                    <w:tl2br w:val="nil"/>
                    <w:tr2bl w:val="nil"/>
                  </w:tcBorders>
                  <w:vAlign w:val="center"/>
                </w:tcPr>
                <w:p w14:paraId="152A0FE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436E4754">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63CBA9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564D1811">
                  <w:pPr>
                    <w:pStyle w:val="3"/>
                    <w:bidi w:val="0"/>
                    <w:rPr>
                      <w:rFonts w:hint="default" w:ascii="Times New Roman" w:hAnsi="Times New Roman" w:cs="Times New Roman"/>
                      <w:color w:val="auto"/>
                    </w:rPr>
                  </w:pPr>
                </w:p>
              </w:tc>
              <w:tc>
                <w:tcPr>
                  <w:tcW w:w="934" w:type="pct"/>
                  <w:tcBorders>
                    <w:tl2br w:val="nil"/>
                    <w:tr2bl w:val="nil"/>
                  </w:tcBorders>
                  <w:vAlign w:val="center"/>
                </w:tcPr>
                <w:p w14:paraId="519CA3E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豆粉收集</w:t>
                  </w:r>
                </w:p>
              </w:tc>
              <w:tc>
                <w:tcPr>
                  <w:tcW w:w="972" w:type="pct"/>
                  <w:tcBorders>
                    <w:tl2br w:val="nil"/>
                    <w:tr2bl w:val="nil"/>
                  </w:tcBorders>
                  <w:vAlign w:val="center"/>
                </w:tcPr>
                <w:p w14:paraId="40C4A0A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沉降室</w:t>
                  </w:r>
                </w:p>
              </w:tc>
              <w:tc>
                <w:tcPr>
                  <w:tcW w:w="1341" w:type="pct"/>
                  <w:tcBorders>
                    <w:tl2br w:val="nil"/>
                    <w:tr2bl w:val="nil"/>
                  </w:tcBorders>
                  <w:vAlign w:val="center"/>
                </w:tcPr>
                <w:p w14:paraId="0E0D2F4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477" w:type="pct"/>
                  <w:tcBorders>
                    <w:tl2br w:val="nil"/>
                    <w:tr2bl w:val="nil"/>
                  </w:tcBorders>
                  <w:vAlign w:val="center"/>
                </w:tcPr>
                <w:p w14:paraId="4E28BBD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1个</w:t>
                  </w:r>
                </w:p>
              </w:tc>
              <w:tc>
                <w:tcPr>
                  <w:tcW w:w="478" w:type="pct"/>
                  <w:tcBorders>
                    <w:tl2br w:val="nil"/>
                    <w:tr2bl w:val="nil"/>
                  </w:tcBorders>
                  <w:vAlign w:val="center"/>
                </w:tcPr>
                <w:p w14:paraId="283EAB44">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5EAC66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292DDDE2">
                  <w:pPr>
                    <w:pStyle w:val="3"/>
                    <w:bidi w:val="0"/>
                    <w:rPr>
                      <w:rFonts w:hint="default" w:ascii="Times New Roman" w:hAnsi="Times New Roman" w:cs="Times New Roman"/>
                      <w:color w:val="auto"/>
                    </w:rPr>
                  </w:pPr>
                </w:p>
              </w:tc>
              <w:tc>
                <w:tcPr>
                  <w:tcW w:w="934" w:type="pct"/>
                  <w:tcBorders>
                    <w:tl2br w:val="nil"/>
                    <w:tr2bl w:val="nil"/>
                  </w:tcBorders>
                  <w:vAlign w:val="center"/>
                </w:tcPr>
                <w:p w14:paraId="628236F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豆粉输送</w:t>
                  </w:r>
                </w:p>
              </w:tc>
              <w:tc>
                <w:tcPr>
                  <w:tcW w:w="972" w:type="pct"/>
                  <w:tcBorders>
                    <w:tl2br w:val="nil"/>
                    <w:tr2bl w:val="nil"/>
                  </w:tcBorders>
                  <w:vAlign w:val="center"/>
                </w:tcPr>
                <w:p w14:paraId="5183B6F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料封绞龙</w:t>
                  </w:r>
                </w:p>
              </w:tc>
              <w:tc>
                <w:tcPr>
                  <w:tcW w:w="1341" w:type="pct"/>
                  <w:tcBorders>
                    <w:tl2br w:val="nil"/>
                    <w:tr2bl w:val="nil"/>
                  </w:tcBorders>
                  <w:vAlign w:val="center"/>
                </w:tcPr>
                <w:p w14:paraId="684A6726">
                  <w:pPr>
                    <w:pStyle w:val="3"/>
                    <w:bidi w:val="0"/>
                    <w:rPr>
                      <w:rFonts w:hint="default" w:ascii="Times New Roman" w:hAnsi="Times New Roman" w:cs="Times New Roman"/>
                      <w:color w:val="auto"/>
                    </w:rPr>
                  </w:pPr>
                  <w:r>
                    <w:rPr>
                      <w:rFonts w:hint="default" w:ascii="Times New Roman" w:hAnsi="Times New Roman" w:cs="Times New Roman"/>
                      <w:color w:val="auto"/>
                    </w:rPr>
                    <w:t>TLSUf32</w:t>
                  </w:r>
                </w:p>
              </w:tc>
              <w:tc>
                <w:tcPr>
                  <w:tcW w:w="477" w:type="pct"/>
                  <w:tcBorders>
                    <w:tl2br w:val="nil"/>
                    <w:tr2bl w:val="nil"/>
                  </w:tcBorders>
                  <w:vAlign w:val="center"/>
                </w:tcPr>
                <w:p w14:paraId="34D6887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2套</w:t>
                  </w:r>
                </w:p>
              </w:tc>
              <w:tc>
                <w:tcPr>
                  <w:tcW w:w="478" w:type="pct"/>
                  <w:tcBorders>
                    <w:tl2br w:val="nil"/>
                    <w:tr2bl w:val="nil"/>
                  </w:tcBorders>
                  <w:vAlign w:val="center"/>
                </w:tcPr>
                <w:p w14:paraId="16A1BD79">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3BCCD8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1DB90568">
                  <w:pPr>
                    <w:pStyle w:val="3"/>
                    <w:bidi w:val="0"/>
                    <w:rPr>
                      <w:rFonts w:hint="default" w:ascii="Times New Roman" w:hAnsi="Times New Roman" w:cs="Times New Roman"/>
                      <w:color w:val="auto"/>
                    </w:rPr>
                  </w:pPr>
                </w:p>
              </w:tc>
              <w:tc>
                <w:tcPr>
                  <w:tcW w:w="934" w:type="pct"/>
                  <w:tcBorders>
                    <w:tl2br w:val="nil"/>
                    <w:tr2bl w:val="nil"/>
                  </w:tcBorders>
                  <w:vAlign w:val="center"/>
                </w:tcPr>
                <w:p w14:paraId="4A2EE51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废气处理</w:t>
                  </w:r>
                </w:p>
              </w:tc>
              <w:tc>
                <w:tcPr>
                  <w:tcW w:w="972" w:type="pct"/>
                  <w:tcBorders>
                    <w:tl2br w:val="nil"/>
                    <w:tr2bl w:val="nil"/>
                  </w:tcBorders>
                  <w:vAlign w:val="center"/>
                </w:tcPr>
                <w:p w14:paraId="7956797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布袋</w:t>
                  </w:r>
                  <w:r>
                    <w:rPr>
                      <w:rFonts w:hint="default" w:ascii="Times New Roman" w:hAnsi="Times New Roman" w:cs="Times New Roman"/>
                      <w:color w:val="auto"/>
                    </w:rPr>
                    <w:t>除尘器</w:t>
                  </w:r>
                </w:p>
              </w:tc>
              <w:tc>
                <w:tcPr>
                  <w:tcW w:w="1341" w:type="pct"/>
                  <w:tcBorders>
                    <w:tl2br w:val="nil"/>
                    <w:tr2bl w:val="nil"/>
                  </w:tcBorders>
                  <w:vAlign w:val="center"/>
                </w:tcPr>
                <w:p w14:paraId="438E6EAA">
                  <w:pPr>
                    <w:pStyle w:val="3"/>
                    <w:bidi w:val="0"/>
                    <w:rPr>
                      <w:rFonts w:hint="default" w:ascii="Times New Roman" w:hAnsi="Times New Roman" w:cs="Times New Roman"/>
                      <w:color w:val="auto"/>
                    </w:rPr>
                  </w:pPr>
                  <w:r>
                    <w:rPr>
                      <w:rFonts w:hint="default" w:ascii="Times New Roman" w:hAnsi="Times New Roman" w:cs="Times New Roman"/>
                      <w:color w:val="auto"/>
                    </w:rPr>
                    <w:t>LNGM72</w:t>
                  </w:r>
                </w:p>
              </w:tc>
              <w:tc>
                <w:tcPr>
                  <w:tcW w:w="477" w:type="pct"/>
                  <w:tcBorders>
                    <w:tl2br w:val="nil"/>
                    <w:tr2bl w:val="nil"/>
                  </w:tcBorders>
                  <w:vAlign w:val="center"/>
                </w:tcPr>
                <w:p w14:paraId="646FCA3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2台</w:t>
                  </w:r>
                </w:p>
              </w:tc>
              <w:tc>
                <w:tcPr>
                  <w:tcW w:w="478" w:type="pct"/>
                  <w:tcBorders>
                    <w:tl2br w:val="nil"/>
                    <w:tr2bl w:val="nil"/>
                  </w:tcBorders>
                  <w:vAlign w:val="center"/>
                </w:tcPr>
                <w:p w14:paraId="18A99E39">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3181EB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3EC29F4D">
                  <w:pPr>
                    <w:pStyle w:val="3"/>
                    <w:bidi w:val="0"/>
                    <w:rPr>
                      <w:rFonts w:hint="default" w:ascii="Times New Roman" w:hAnsi="Times New Roman" w:cs="Times New Roman"/>
                      <w:color w:val="auto"/>
                    </w:rPr>
                  </w:pPr>
                </w:p>
              </w:tc>
              <w:tc>
                <w:tcPr>
                  <w:tcW w:w="934" w:type="pct"/>
                  <w:tcBorders>
                    <w:tl2br w:val="nil"/>
                    <w:tr2bl w:val="nil"/>
                  </w:tcBorders>
                  <w:vAlign w:val="center"/>
                </w:tcPr>
                <w:p w14:paraId="2E8747E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废气处理</w:t>
                  </w:r>
                </w:p>
              </w:tc>
              <w:tc>
                <w:tcPr>
                  <w:tcW w:w="972" w:type="pct"/>
                  <w:tcBorders>
                    <w:tl2br w:val="nil"/>
                    <w:tr2bl w:val="nil"/>
                  </w:tcBorders>
                  <w:vAlign w:val="center"/>
                </w:tcPr>
                <w:p w14:paraId="22776A9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风机</w:t>
                  </w:r>
                </w:p>
              </w:tc>
              <w:tc>
                <w:tcPr>
                  <w:tcW w:w="1341" w:type="pct"/>
                  <w:tcBorders>
                    <w:tl2br w:val="nil"/>
                    <w:tr2bl w:val="nil"/>
                  </w:tcBorders>
                  <w:vAlign w:val="center"/>
                </w:tcPr>
                <w:p w14:paraId="04FC0BC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风量：</w:t>
                  </w:r>
                  <w:r>
                    <w:rPr>
                      <w:rFonts w:hint="default" w:ascii="Times New Roman" w:hAnsi="Times New Roman" w:cs="Times New Roman"/>
                      <w:color w:val="auto"/>
                      <w:lang w:val="en-US" w:eastAsia="zh-CN"/>
                    </w:rPr>
                    <w:t>5000m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/h</w:t>
                  </w:r>
                </w:p>
              </w:tc>
              <w:tc>
                <w:tcPr>
                  <w:tcW w:w="477" w:type="pct"/>
                  <w:tcBorders>
                    <w:tl2br w:val="nil"/>
                    <w:tr2bl w:val="nil"/>
                  </w:tcBorders>
                  <w:vAlign w:val="center"/>
                </w:tcPr>
                <w:p w14:paraId="501955D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2台</w:t>
                  </w:r>
                </w:p>
              </w:tc>
              <w:tc>
                <w:tcPr>
                  <w:tcW w:w="478" w:type="pct"/>
                  <w:tcBorders>
                    <w:tl2br w:val="nil"/>
                    <w:tr2bl w:val="nil"/>
                  </w:tcBorders>
                  <w:vAlign w:val="center"/>
                </w:tcPr>
                <w:p w14:paraId="3E23867D">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1ED603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001A69BA">
                  <w:pPr>
                    <w:pStyle w:val="3"/>
                    <w:bidi w:val="0"/>
                    <w:rPr>
                      <w:rFonts w:hint="default" w:ascii="Times New Roman" w:hAnsi="Times New Roman" w:cs="Times New Roman"/>
                      <w:color w:val="auto"/>
                    </w:rPr>
                  </w:pPr>
                </w:p>
              </w:tc>
              <w:tc>
                <w:tcPr>
                  <w:tcW w:w="934" w:type="pct"/>
                  <w:tcBorders>
                    <w:tl2br w:val="nil"/>
                    <w:tr2bl w:val="nil"/>
                  </w:tcBorders>
                  <w:vAlign w:val="center"/>
                </w:tcPr>
                <w:p w14:paraId="17A4EFE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豆粉输送</w:t>
                  </w:r>
                </w:p>
              </w:tc>
              <w:tc>
                <w:tcPr>
                  <w:tcW w:w="972" w:type="pct"/>
                  <w:tcBorders>
                    <w:tl2br w:val="nil"/>
                    <w:tr2bl w:val="nil"/>
                  </w:tcBorders>
                  <w:vAlign w:val="center"/>
                </w:tcPr>
                <w:p w14:paraId="149CD02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斗式提升机</w:t>
                  </w:r>
                </w:p>
              </w:tc>
              <w:tc>
                <w:tcPr>
                  <w:tcW w:w="1341" w:type="pct"/>
                  <w:tcBorders>
                    <w:tl2br w:val="nil"/>
                    <w:tr2bl w:val="nil"/>
                  </w:tcBorders>
                  <w:vAlign w:val="center"/>
                </w:tcPr>
                <w:p w14:paraId="74B163B1">
                  <w:pPr>
                    <w:pStyle w:val="3"/>
                    <w:bidi w:val="0"/>
                    <w:rPr>
                      <w:rFonts w:hint="default" w:ascii="Times New Roman" w:hAnsi="Times New Roman" w:cs="Times New Roman"/>
                      <w:color w:val="auto"/>
                    </w:rPr>
                  </w:pPr>
                  <w:r>
                    <w:rPr>
                      <w:rFonts w:hint="default" w:ascii="Times New Roman" w:hAnsi="Times New Roman" w:cs="Times New Roman"/>
                      <w:color w:val="auto"/>
                    </w:rPr>
                    <w:t>T360</w:t>
                  </w:r>
                </w:p>
              </w:tc>
              <w:tc>
                <w:tcPr>
                  <w:tcW w:w="477" w:type="pct"/>
                  <w:tcBorders>
                    <w:tl2br w:val="nil"/>
                    <w:tr2bl w:val="nil"/>
                  </w:tcBorders>
                  <w:vAlign w:val="center"/>
                </w:tcPr>
                <w:p w14:paraId="60371DA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38CB1BAC">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694147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5D2BE52E">
                  <w:pPr>
                    <w:pStyle w:val="3"/>
                    <w:bidi w:val="0"/>
                    <w:rPr>
                      <w:rFonts w:hint="default" w:ascii="Times New Roman" w:hAnsi="Times New Roman" w:cs="Times New Roman"/>
                      <w:color w:val="auto"/>
                    </w:rPr>
                  </w:pPr>
                </w:p>
              </w:tc>
              <w:tc>
                <w:tcPr>
                  <w:tcW w:w="934" w:type="pct"/>
                  <w:tcBorders>
                    <w:tl2br w:val="nil"/>
                    <w:tr2bl w:val="nil"/>
                  </w:tcBorders>
                  <w:vAlign w:val="center"/>
                </w:tcPr>
                <w:p w14:paraId="568DFE5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输送喂料</w:t>
                  </w:r>
                </w:p>
              </w:tc>
              <w:tc>
                <w:tcPr>
                  <w:tcW w:w="972" w:type="pct"/>
                  <w:tcBorders>
                    <w:tl2br w:val="nil"/>
                    <w:tr2bl w:val="nil"/>
                  </w:tcBorders>
                  <w:vAlign w:val="center"/>
                </w:tcPr>
                <w:p w14:paraId="5A13F70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喂料绞龙</w:t>
                  </w:r>
                </w:p>
              </w:tc>
              <w:tc>
                <w:tcPr>
                  <w:tcW w:w="1341" w:type="pct"/>
                  <w:tcBorders>
                    <w:tl2br w:val="nil"/>
                    <w:tr2bl w:val="nil"/>
                  </w:tcBorders>
                  <w:vAlign w:val="center"/>
                </w:tcPr>
                <w:p w14:paraId="72CB26F8">
                  <w:pPr>
                    <w:pStyle w:val="3"/>
                    <w:bidi w:val="0"/>
                    <w:rPr>
                      <w:rFonts w:hint="default" w:ascii="Times New Roman" w:hAnsi="Times New Roman" w:cs="Times New Roman"/>
                      <w:color w:val="auto"/>
                    </w:rPr>
                  </w:pPr>
                  <w:r>
                    <w:rPr>
                      <w:rFonts w:hint="default" w:ascii="Times New Roman" w:hAnsi="Times New Roman" w:cs="Times New Roman"/>
                      <w:color w:val="auto"/>
                    </w:rPr>
                    <w:t>TWLL24</w:t>
                  </w:r>
                </w:p>
              </w:tc>
              <w:tc>
                <w:tcPr>
                  <w:tcW w:w="477" w:type="pct"/>
                  <w:tcBorders>
                    <w:tl2br w:val="nil"/>
                    <w:tr2bl w:val="nil"/>
                  </w:tcBorders>
                  <w:vAlign w:val="center"/>
                </w:tcPr>
                <w:p w14:paraId="1B85194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1套</w:t>
                  </w:r>
                </w:p>
              </w:tc>
              <w:tc>
                <w:tcPr>
                  <w:tcW w:w="478" w:type="pct"/>
                  <w:tcBorders>
                    <w:tl2br w:val="nil"/>
                    <w:tr2bl w:val="nil"/>
                  </w:tcBorders>
                  <w:vAlign w:val="center"/>
                </w:tcPr>
                <w:p w14:paraId="7D5807FE">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465025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72D7E888">
                  <w:pPr>
                    <w:pStyle w:val="3"/>
                    <w:bidi w:val="0"/>
                    <w:rPr>
                      <w:rFonts w:hint="default" w:ascii="Times New Roman" w:hAnsi="Times New Roman" w:cs="Times New Roman"/>
                      <w:color w:val="auto"/>
                    </w:rPr>
                  </w:pPr>
                </w:p>
              </w:tc>
              <w:tc>
                <w:tcPr>
                  <w:tcW w:w="934" w:type="pct"/>
                  <w:tcBorders>
                    <w:tl2br w:val="nil"/>
                    <w:tr2bl w:val="nil"/>
                  </w:tcBorders>
                  <w:vAlign w:val="center"/>
                </w:tcPr>
                <w:p w14:paraId="7F1D4B6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豆粉熟化</w:t>
                  </w:r>
                </w:p>
              </w:tc>
              <w:tc>
                <w:tcPr>
                  <w:tcW w:w="972" w:type="pct"/>
                  <w:tcBorders>
                    <w:tl2br w:val="nil"/>
                    <w:tr2bl w:val="nil"/>
                  </w:tcBorders>
                  <w:vAlign w:val="center"/>
                </w:tcPr>
                <w:p w14:paraId="2C07C20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调质器</w:t>
                  </w:r>
                </w:p>
              </w:tc>
              <w:tc>
                <w:tcPr>
                  <w:tcW w:w="1341" w:type="pct"/>
                  <w:tcBorders>
                    <w:tl2br w:val="nil"/>
                    <w:tr2bl w:val="nil"/>
                  </w:tcBorders>
                  <w:vAlign w:val="center"/>
                </w:tcPr>
                <w:p w14:paraId="5340079C">
                  <w:pPr>
                    <w:pStyle w:val="3"/>
                    <w:bidi w:val="0"/>
                    <w:rPr>
                      <w:rFonts w:hint="default" w:ascii="Times New Roman" w:hAnsi="Times New Roman" w:cs="Times New Roman"/>
                      <w:color w:val="auto"/>
                    </w:rPr>
                  </w:pPr>
                  <w:r>
                    <w:rPr>
                      <w:rFonts w:hint="eastAsia" w:ascii="Times New Roman" w:hAnsi="Times New Roman" w:eastAsia="宋体" w:cs="Times New Roman"/>
                      <w:color w:val="auto"/>
                      <w:highlight w:val="none"/>
                      <w:lang w:val="en-US" w:eastAsia="zh-CN"/>
                    </w:rPr>
                    <w:t>蒸汽加热，蒸汽用量：0.7t/h</w:t>
                  </w:r>
                </w:p>
              </w:tc>
              <w:tc>
                <w:tcPr>
                  <w:tcW w:w="477" w:type="pct"/>
                  <w:tcBorders>
                    <w:tl2br w:val="nil"/>
                    <w:tr2bl w:val="nil"/>
                  </w:tcBorders>
                  <w:vAlign w:val="center"/>
                </w:tcPr>
                <w:p w14:paraId="6EF85A8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73E9D351">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765462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610B93D9">
                  <w:pPr>
                    <w:pStyle w:val="3"/>
                    <w:bidi w:val="0"/>
                    <w:rPr>
                      <w:rFonts w:hint="default" w:ascii="Times New Roman" w:hAnsi="Times New Roman" w:cs="Times New Roman"/>
                      <w:color w:val="auto"/>
                    </w:rPr>
                  </w:pPr>
                </w:p>
              </w:tc>
              <w:tc>
                <w:tcPr>
                  <w:tcW w:w="934" w:type="pct"/>
                  <w:tcBorders>
                    <w:tl2br w:val="nil"/>
                    <w:tr2bl w:val="nil"/>
                  </w:tcBorders>
                  <w:vAlign w:val="center"/>
                </w:tcPr>
                <w:p w14:paraId="20F38C2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豆粉膨化</w:t>
                  </w:r>
                </w:p>
              </w:tc>
              <w:tc>
                <w:tcPr>
                  <w:tcW w:w="972" w:type="pct"/>
                  <w:tcBorders>
                    <w:tl2br w:val="nil"/>
                    <w:tr2bl w:val="nil"/>
                  </w:tcBorders>
                  <w:vAlign w:val="center"/>
                </w:tcPr>
                <w:p w14:paraId="30D60CD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膨化机</w:t>
                  </w:r>
                </w:p>
              </w:tc>
              <w:tc>
                <w:tcPr>
                  <w:tcW w:w="1341" w:type="pct"/>
                  <w:tcBorders>
                    <w:tl2br w:val="nil"/>
                    <w:tr2bl w:val="nil"/>
                  </w:tcBorders>
                  <w:vAlign w:val="center"/>
                </w:tcPr>
                <w:p w14:paraId="4DC0BFB5">
                  <w:pPr>
                    <w:pStyle w:val="3"/>
                    <w:bidi w:val="0"/>
                    <w:rPr>
                      <w:rFonts w:hint="default" w:ascii="Times New Roman" w:hAnsi="Times New Roman" w:cs="Times New Roman"/>
                      <w:color w:val="auto"/>
                    </w:rPr>
                  </w:pPr>
                  <w:r>
                    <w:rPr>
                      <w:rFonts w:hint="default" w:ascii="Times New Roman" w:hAnsi="Times New Roman" w:cs="Times New Roman"/>
                      <w:color w:val="auto"/>
                    </w:rPr>
                    <w:t>PHDS260</w:t>
                  </w:r>
                </w:p>
              </w:tc>
              <w:tc>
                <w:tcPr>
                  <w:tcW w:w="477" w:type="pct"/>
                  <w:tcBorders>
                    <w:tl2br w:val="nil"/>
                    <w:tr2bl w:val="nil"/>
                  </w:tcBorders>
                  <w:vAlign w:val="center"/>
                </w:tcPr>
                <w:p w14:paraId="4AA0C54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5DC61A3F">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72DBF2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7513C45A">
                  <w:pPr>
                    <w:pStyle w:val="3"/>
                    <w:bidi w:val="0"/>
                    <w:rPr>
                      <w:rFonts w:hint="default" w:ascii="Times New Roman" w:hAnsi="Times New Roman" w:cs="Times New Roman"/>
                      <w:color w:val="auto"/>
                    </w:rPr>
                  </w:pPr>
                </w:p>
              </w:tc>
              <w:tc>
                <w:tcPr>
                  <w:tcW w:w="934" w:type="pct"/>
                  <w:tcBorders>
                    <w:tl2br w:val="nil"/>
                    <w:tr2bl w:val="nil"/>
                  </w:tcBorders>
                  <w:vAlign w:val="center"/>
                </w:tcPr>
                <w:p w14:paraId="70A9869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膨化冷却</w:t>
                  </w:r>
                </w:p>
              </w:tc>
              <w:tc>
                <w:tcPr>
                  <w:tcW w:w="972" w:type="pct"/>
                  <w:tcBorders>
                    <w:tl2br w:val="nil"/>
                    <w:tr2bl w:val="nil"/>
                  </w:tcBorders>
                  <w:vAlign w:val="center"/>
                </w:tcPr>
                <w:p w14:paraId="773E764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翻板冷却器</w:t>
                  </w:r>
                </w:p>
              </w:tc>
              <w:tc>
                <w:tcPr>
                  <w:tcW w:w="1341" w:type="pct"/>
                  <w:tcBorders>
                    <w:tl2br w:val="nil"/>
                    <w:tr2bl w:val="nil"/>
                  </w:tcBorders>
                  <w:vAlign w:val="center"/>
                </w:tcPr>
                <w:p w14:paraId="64E160E4">
                  <w:pPr>
                    <w:pStyle w:val="3"/>
                    <w:bidi w:val="0"/>
                    <w:rPr>
                      <w:rFonts w:hint="default" w:ascii="Times New Roman" w:hAnsi="Times New Roman" w:cs="Times New Roman"/>
                      <w:color w:val="auto"/>
                    </w:rPr>
                  </w:pPr>
                  <w:r>
                    <w:rPr>
                      <w:rFonts w:hint="default" w:ascii="Times New Roman" w:hAnsi="Times New Roman" w:cs="Times New Roman"/>
                      <w:color w:val="auto"/>
                    </w:rPr>
                    <w:t>SGFYm46</w:t>
                  </w:r>
                </w:p>
              </w:tc>
              <w:tc>
                <w:tcPr>
                  <w:tcW w:w="477" w:type="pct"/>
                  <w:tcBorders>
                    <w:tl2br w:val="nil"/>
                    <w:tr2bl w:val="nil"/>
                  </w:tcBorders>
                  <w:vAlign w:val="center"/>
                </w:tcPr>
                <w:p w14:paraId="64F62BF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7C79D6EC">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25D99F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7538092C">
                  <w:pPr>
                    <w:pStyle w:val="3"/>
                    <w:bidi w:val="0"/>
                    <w:rPr>
                      <w:rFonts w:hint="default" w:ascii="Times New Roman" w:hAnsi="Times New Roman" w:cs="Times New Roman"/>
                      <w:color w:val="auto"/>
                    </w:rPr>
                  </w:pPr>
                </w:p>
              </w:tc>
              <w:tc>
                <w:tcPr>
                  <w:tcW w:w="934" w:type="pct"/>
                  <w:tcBorders>
                    <w:tl2br w:val="nil"/>
                    <w:tr2bl w:val="nil"/>
                  </w:tcBorders>
                  <w:vAlign w:val="center"/>
                </w:tcPr>
                <w:p w14:paraId="25BCFAF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输送喂料</w:t>
                  </w:r>
                </w:p>
              </w:tc>
              <w:tc>
                <w:tcPr>
                  <w:tcW w:w="972" w:type="pct"/>
                  <w:tcBorders>
                    <w:tl2br w:val="nil"/>
                    <w:tr2bl w:val="nil"/>
                  </w:tcBorders>
                  <w:vAlign w:val="center"/>
                </w:tcPr>
                <w:p w14:paraId="4BFA0BD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斗式提升机</w:t>
                  </w:r>
                </w:p>
              </w:tc>
              <w:tc>
                <w:tcPr>
                  <w:tcW w:w="1341" w:type="pct"/>
                  <w:tcBorders>
                    <w:tl2br w:val="nil"/>
                    <w:tr2bl w:val="nil"/>
                  </w:tcBorders>
                  <w:vAlign w:val="center"/>
                </w:tcPr>
                <w:p w14:paraId="06B6AC2C">
                  <w:pPr>
                    <w:pStyle w:val="3"/>
                    <w:bidi w:val="0"/>
                    <w:rPr>
                      <w:rFonts w:hint="default" w:ascii="Times New Roman" w:hAnsi="Times New Roman" w:cs="Times New Roman"/>
                      <w:color w:val="auto"/>
                    </w:rPr>
                  </w:pPr>
                  <w:r>
                    <w:rPr>
                      <w:rFonts w:hint="default" w:ascii="Times New Roman" w:hAnsi="Times New Roman" w:cs="Times New Roman"/>
                      <w:color w:val="auto"/>
                    </w:rPr>
                    <w:t>T360</w:t>
                  </w:r>
                </w:p>
              </w:tc>
              <w:tc>
                <w:tcPr>
                  <w:tcW w:w="477" w:type="pct"/>
                  <w:tcBorders>
                    <w:tl2br w:val="nil"/>
                    <w:tr2bl w:val="nil"/>
                  </w:tcBorders>
                  <w:vAlign w:val="center"/>
                </w:tcPr>
                <w:p w14:paraId="141136B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3735D3DE">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3E4E28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18FB41A8">
                  <w:pPr>
                    <w:pStyle w:val="3"/>
                    <w:bidi w:val="0"/>
                    <w:rPr>
                      <w:rFonts w:hint="default" w:ascii="Times New Roman" w:hAnsi="Times New Roman" w:cs="Times New Roman"/>
                      <w:color w:val="auto"/>
                    </w:rPr>
                  </w:pPr>
                </w:p>
              </w:tc>
              <w:tc>
                <w:tcPr>
                  <w:tcW w:w="934" w:type="pct"/>
                  <w:tcBorders>
                    <w:tl2br w:val="nil"/>
                    <w:tr2bl w:val="nil"/>
                  </w:tcBorders>
                  <w:vAlign w:val="center"/>
                </w:tcPr>
                <w:p w14:paraId="52C480D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成品破碎</w:t>
                  </w:r>
                </w:p>
              </w:tc>
              <w:tc>
                <w:tcPr>
                  <w:tcW w:w="972" w:type="pct"/>
                  <w:tcBorders>
                    <w:tl2br w:val="nil"/>
                    <w:tr2bl w:val="nil"/>
                  </w:tcBorders>
                  <w:vAlign w:val="center"/>
                </w:tcPr>
                <w:p w14:paraId="1AFD091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成品破碎机</w:t>
                  </w:r>
                </w:p>
              </w:tc>
              <w:tc>
                <w:tcPr>
                  <w:tcW w:w="1341" w:type="pct"/>
                  <w:tcBorders>
                    <w:tl2br w:val="nil"/>
                    <w:tr2bl w:val="nil"/>
                  </w:tcBorders>
                  <w:vAlign w:val="center"/>
                </w:tcPr>
                <w:p w14:paraId="5EBBC0DE">
                  <w:pPr>
                    <w:pStyle w:val="3"/>
                    <w:bidi w:val="0"/>
                    <w:rPr>
                      <w:rFonts w:hint="default" w:ascii="Times New Roman" w:hAnsi="Times New Roman" w:cs="Times New Roman"/>
                      <w:color w:val="auto"/>
                    </w:rPr>
                  </w:pPr>
                  <w:r>
                    <w:rPr>
                      <w:rFonts w:hint="default" w:ascii="Times New Roman" w:hAnsi="Times New Roman" w:cs="Times New Roman"/>
                      <w:color w:val="auto"/>
                    </w:rPr>
                    <w:t>YPSG310×1070-2</w:t>
                  </w:r>
                </w:p>
              </w:tc>
              <w:tc>
                <w:tcPr>
                  <w:tcW w:w="477" w:type="pct"/>
                  <w:tcBorders>
                    <w:tl2br w:val="nil"/>
                    <w:tr2bl w:val="nil"/>
                  </w:tcBorders>
                  <w:vAlign w:val="center"/>
                </w:tcPr>
                <w:p w14:paraId="53792B0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19F1AB3D">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24D1F8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48787EE9">
                  <w:pPr>
                    <w:pStyle w:val="3"/>
                    <w:bidi w:val="0"/>
                    <w:rPr>
                      <w:rFonts w:hint="default" w:ascii="Times New Roman" w:hAnsi="Times New Roman" w:cs="Times New Roman"/>
                      <w:color w:val="auto"/>
                    </w:rPr>
                  </w:pPr>
                </w:p>
              </w:tc>
              <w:tc>
                <w:tcPr>
                  <w:tcW w:w="934" w:type="pct"/>
                  <w:tcBorders>
                    <w:tl2br w:val="nil"/>
                    <w:tr2bl w:val="nil"/>
                  </w:tcBorders>
                  <w:vAlign w:val="center"/>
                </w:tcPr>
                <w:p w14:paraId="7A1B3A6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输送</w:t>
                  </w:r>
                </w:p>
              </w:tc>
              <w:tc>
                <w:tcPr>
                  <w:tcW w:w="972" w:type="pct"/>
                  <w:tcBorders>
                    <w:tl2br w:val="nil"/>
                    <w:tr2bl w:val="nil"/>
                  </w:tcBorders>
                  <w:vAlign w:val="center"/>
                </w:tcPr>
                <w:p w14:paraId="24BB9E7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皮带输送机</w:t>
                  </w:r>
                </w:p>
              </w:tc>
              <w:tc>
                <w:tcPr>
                  <w:tcW w:w="1341" w:type="pct"/>
                  <w:tcBorders>
                    <w:tl2br w:val="nil"/>
                    <w:tr2bl w:val="nil"/>
                  </w:tcBorders>
                  <w:vAlign w:val="center"/>
                </w:tcPr>
                <w:p w14:paraId="4602173B">
                  <w:pPr>
                    <w:pStyle w:val="3"/>
                    <w:bidi w:val="0"/>
                    <w:rPr>
                      <w:rFonts w:hint="default" w:ascii="Times New Roman" w:hAnsi="Times New Roman" w:cs="Times New Roman"/>
                      <w:color w:val="auto"/>
                    </w:rPr>
                  </w:pPr>
                  <w:r>
                    <w:rPr>
                      <w:rFonts w:hint="default" w:ascii="Times New Roman" w:hAnsi="Times New Roman" w:cs="Times New Roman"/>
                      <w:color w:val="auto"/>
                    </w:rPr>
                    <w:t>PDSS3500</w:t>
                  </w:r>
                </w:p>
              </w:tc>
              <w:tc>
                <w:tcPr>
                  <w:tcW w:w="477" w:type="pct"/>
                  <w:tcBorders>
                    <w:tl2br w:val="nil"/>
                    <w:tr2bl w:val="nil"/>
                  </w:tcBorders>
                  <w:vAlign w:val="center"/>
                </w:tcPr>
                <w:p w14:paraId="29088B3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1套</w:t>
                  </w:r>
                </w:p>
              </w:tc>
              <w:tc>
                <w:tcPr>
                  <w:tcW w:w="478" w:type="pct"/>
                  <w:tcBorders>
                    <w:tl2br w:val="nil"/>
                    <w:tr2bl w:val="nil"/>
                  </w:tcBorders>
                  <w:vAlign w:val="center"/>
                </w:tcPr>
                <w:p w14:paraId="3B56DE21">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7023A2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523C25AD">
                  <w:pPr>
                    <w:pStyle w:val="3"/>
                    <w:bidi w:val="0"/>
                    <w:rPr>
                      <w:rFonts w:hint="default" w:ascii="Times New Roman" w:hAnsi="Times New Roman" w:cs="Times New Roman"/>
                      <w:color w:val="auto"/>
                    </w:rPr>
                  </w:pPr>
                </w:p>
              </w:tc>
              <w:tc>
                <w:tcPr>
                  <w:tcW w:w="934" w:type="pct"/>
                  <w:tcBorders>
                    <w:tl2br w:val="nil"/>
                    <w:tr2bl w:val="nil"/>
                  </w:tcBorders>
                  <w:vAlign w:val="center"/>
                </w:tcPr>
                <w:p w14:paraId="0447DAE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打包</w:t>
                  </w:r>
                </w:p>
              </w:tc>
              <w:tc>
                <w:tcPr>
                  <w:tcW w:w="972" w:type="pct"/>
                  <w:tcBorders>
                    <w:tl2br w:val="nil"/>
                    <w:tr2bl w:val="nil"/>
                  </w:tcBorders>
                  <w:vAlign w:val="center"/>
                </w:tcPr>
                <w:p w14:paraId="4A6240E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打包</w:t>
                  </w:r>
                  <w:r>
                    <w:rPr>
                      <w:rFonts w:hint="default" w:ascii="Times New Roman" w:hAnsi="Times New Roman" w:cs="Times New Roman"/>
                      <w:color w:val="auto"/>
                    </w:rPr>
                    <w:t>机</w:t>
                  </w:r>
                </w:p>
              </w:tc>
              <w:tc>
                <w:tcPr>
                  <w:tcW w:w="1341" w:type="pct"/>
                  <w:tcBorders>
                    <w:tl2br w:val="nil"/>
                    <w:tr2bl w:val="nil"/>
                  </w:tcBorders>
                  <w:vAlign w:val="center"/>
                </w:tcPr>
                <w:p w14:paraId="68D260C1">
                  <w:pPr>
                    <w:pStyle w:val="3"/>
                    <w:bidi w:val="0"/>
                    <w:rPr>
                      <w:rFonts w:hint="default" w:ascii="Times New Roman" w:hAnsi="Times New Roman" w:cs="Times New Roman"/>
                      <w:color w:val="auto"/>
                    </w:rPr>
                  </w:pPr>
                  <w:r>
                    <w:rPr>
                      <w:rFonts w:hint="default" w:ascii="Times New Roman" w:hAnsi="Times New Roman" w:cs="Times New Roman"/>
                      <w:color w:val="auto"/>
                    </w:rPr>
                    <w:t>LZGD06</w:t>
                  </w:r>
                </w:p>
              </w:tc>
              <w:tc>
                <w:tcPr>
                  <w:tcW w:w="477" w:type="pct"/>
                  <w:tcBorders>
                    <w:tl2br w:val="nil"/>
                    <w:tr2bl w:val="nil"/>
                  </w:tcBorders>
                  <w:vAlign w:val="center"/>
                </w:tcPr>
                <w:p w14:paraId="6AF08E7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1台</w:t>
                  </w:r>
                </w:p>
              </w:tc>
              <w:tc>
                <w:tcPr>
                  <w:tcW w:w="478" w:type="pct"/>
                  <w:tcBorders>
                    <w:tl2br w:val="nil"/>
                    <w:tr2bl w:val="nil"/>
                  </w:tcBorders>
                  <w:vAlign w:val="center"/>
                </w:tcPr>
                <w:p w14:paraId="050E23D2">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新增</w:t>
                  </w:r>
                </w:p>
              </w:tc>
            </w:tr>
            <w:tr w14:paraId="3597C2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restart"/>
                  <w:tcBorders>
                    <w:tl2br w:val="nil"/>
                    <w:tr2bl w:val="nil"/>
                  </w:tcBorders>
                  <w:vAlign w:val="center"/>
                </w:tcPr>
                <w:p w14:paraId="35D2248F">
                  <w:pPr>
                    <w:pStyle w:val="3"/>
                    <w:bidi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精炼生产线磷脂分线</w:t>
                  </w:r>
                </w:p>
              </w:tc>
              <w:tc>
                <w:tcPr>
                  <w:tcW w:w="934" w:type="pct"/>
                  <w:tcBorders>
                    <w:tl2br w:val="nil"/>
                    <w:tr2bl w:val="nil"/>
                  </w:tcBorders>
                  <w:vAlign w:val="center"/>
                </w:tcPr>
                <w:p w14:paraId="2213CCC1">
                  <w:pPr>
                    <w:pStyle w:val="3"/>
                    <w:bidi w:val="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毛油加热</w:t>
                  </w:r>
                </w:p>
              </w:tc>
              <w:tc>
                <w:tcPr>
                  <w:tcW w:w="972" w:type="pct"/>
                  <w:tcBorders>
                    <w:tl2br w:val="nil"/>
                    <w:tr2bl w:val="nil"/>
                  </w:tcBorders>
                  <w:vAlign w:val="center"/>
                </w:tcPr>
                <w:p w14:paraId="6413D487">
                  <w:pPr>
                    <w:pStyle w:val="3"/>
                    <w:bidi w:val="0"/>
                    <w:rPr>
                      <w:rFonts w:hint="default"/>
                      <w:color w:val="auto"/>
                      <w:highlight w:val="none"/>
                      <w:lang w:eastAsia="zh-CN"/>
                    </w:rPr>
                  </w:pPr>
                  <w:r>
                    <w:rPr>
                      <w:rFonts w:hint="eastAsia"/>
                      <w:color w:val="auto"/>
                      <w:highlight w:val="none"/>
                      <w:lang w:eastAsia="zh-CN"/>
                    </w:rPr>
                    <w:t>板式加热器</w:t>
                  </w:r>
                </w:p>
              </w:tc>
              <w:tc>
                <w:tcPr>
                  <w:tcW w:w="1341" w:type="pct"/>
                  <w:tcBorders>
                    <w:tl2br w:val="nil"/>
                    <w:tr2bl w:val="nil"/>
                  </w:tcBorders>
                  <w:vAlign w:val="center"/>
                </w:tcPr>
                <w:p w14:paraId="232ADEE4">
                  <w:pPr>
                    <w:pStyle w:val="3"/>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蒸汽加热，蒸汽用量：1.5t/h</w:t>
                  </w:r>
                </w:p>
              </w:tc>
              <w:tc>
                <w:tcPr>
                  <w:tcW w:w="477" w:type="pct"/>
                  <w:tcBorders>
                    <w:tl2br w:val="nil"/>
                    <w:tr2bl w:val="nil"/>
                  </w:tcBorders>
                  <w:vAlign w:val="center"/>
                </w:tcPr>
                <w:p w14:paraId="371BB692">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1台</w:t>
                  </w:r>
                </w:p>
              </w:tc>
              <w:tc>
                <w:tcPr>
                  <w:tcW w:w="478" w:type="pct"/>
                  <w:tcBorders>
                    <w:tl2br w:val="nil"/>
                    <w:tr2bl w:val="nil"/>
                  </w:tcBorders>
                  <w:vAlign w:val="center"/>
                </w:tcPr>
                <w:p w14:paraId="1D2C55BB">
                  <w:pPr>
                    <w:pStyle w:val="3"/>
                    <w:bidi w:val="0"/>
                    <w:ind w:firstLine="0" w:firstLineChars="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新增</w:t>
                  </w:r>
                </w:p>
              </w:tc>
            </w:tr>
            <w:tr w14:paraId="5723685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2262B61F">
                  <w:pPr>
                    <w:pStyle w:val="3"/>
                    <w:bidi w:val="0"/>
                    <w:rPr>
                      <w:rFonts w:hint="default" w:ascii="Times New Roman" w:hAnsi="Times New Roman" w:cs="Times New Roman"/>
                      <w:color w:val="auto"/>
                    </w:rPr>
                  </w:pPr>
                </w:p>
              </w:tc>
              <w:tc>
                <w:tcPr>
                  <w:tcW w:w="934" w:type="pct"/>
                  <w:tcBorders>
                    <w:tl2br w:val="nil"/>
                    <w:tr2bl w:val="nil"/>
                  </w:tcBorders>
                  <w:vAlign w:val="center"/>
                </w:tcPr>
                <w:p w14:paraId="11A9946A">
                  <w:pPr>
                    <w:pStyle w:val="3"/>
                    <w:bidi w:val="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节能换热</w:t>
                  </w:r>
                </w:p>
              </w:tc>
              <w:tc>
                <w:tcPr>
                  <w:tcW w:w="972" w:type="pct"/>
                  <w:tcBorders>
                    <w:tl2br w:val="nil"/>
                    <w:tr2bl w:val="nil"/>
                  </w:tcBorders>
                  <w:vAlign w:val="center"/>
                </w:tcPr>
                <w:p w14:paraId="11E99947">
                  <w:pPr>
                    <w:pStyle w:val="3"/>
                    <w:bidi w:val="0"/>
                    <w:rPr>
                      <w:rFonts w:hint="default"/>
                      <w:color w:val="auto"/>
                      <w:highlight w:val="none"/>
                      <w:lang w:eastAsia="zh-CN"/>
                    </w:rPr>
                  </w:pPr>
                  <w:r>
                    <w:rPr>
                      <w:rFonts w:hint="eastAsia"/>
                      <w:color w:val="auto"/>
                      <w:highlight w:val="none"/>
                      <w:lang w:eastAsia="zh-CN"/>
                    </w:rPr>
                    <w:t>毛油换热器</w:t>
                  </w:r>
                </w:p>
              </w:tc>
              <w:tc>
                <w:tcPr>
                  <w:tcW w:w="1341" w:type="pct"/>
                  <w:tcBorders>
                    <w:tl2br w:val="nil"/>
                    <w:tr2bl w:val="nil"/>
                  </w:tcBorders>
                  <w:vAlign w:val="center"/>
                </w:tcPr>
                <w:p w14:paraId="7308EBF7">
                  <w:pPr>
                    <w:pStyle w:val="3"/>
                    <w:bidi w:val="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成品油与毛油换热</w:t>
                  </w:r>
                </w:p>
              </w:tc>
              <w:tc>
                <w:tcPr>
                  <w:tcW w:w="477" w:type="pct"/>
                  <w:tcBorders>
                    <w:tl2br w:val="nil"/>
                    <w:tr2bl w:val="nil"/>
                  </w:tcBorders>
                  <w:vAlign w:val="center"/>
                </w:tcPr>
                <w:p w14:paraId="2670B68C">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1台</w:t>
                  </w:r>
                </w:p>
              </w:tc>
              <w:tc>
                <w:tcPr>
                  <w:tcW w:w="478" w:type="pct"/>
                  <w:tcBorders>
                    <w:tl2br w:val="nil"/>
                    <w:tr2bl w:val="nil"/>
                  </w:tcBorders>
                  <w:vAlign w:val="center"/>
                </w:tcPr>
                <w:p w14:paraId="43272FE5">
                  <w:pPr>
                    <w:pStyle w:val="3"/>
                    <w:bidi w:val="0"/>
                    <w:ind w:firstLine="0" w:firstLineChars="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新增</w:t>
                  </w:r>
                </w:p>
              </w:tc>
            </w:tr>
            <w:tr w14:paraId="17263E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707641D4">
                  <w:pPr>
                    <w:pStyle w:val="3"/>
                    <w:bidi w:val="0"/>
                    <w:rPr>
                      <w:rFonts w:hint="default" w:ascii="Times New Roman" w:hAnsi="Times New Roman" w:cs="Times New Roman"/>
                      <w:color w:val="auto"/>
                    </w:rPr>
                  </w:pPr>
                </w:p>
              </w:tc>
              <w:tc>
                <w:tcPr>
                  <w:tcW w:w="934" w:type="pct"/>
                  <w:tcBorders>
                    <w:tl2br w:val="nil"/>
                    <w:tr2bl w:val="nil"/>
                  </w:tcBorders>
                  <w:vAlign w:val="center"/>
                </w:tcPr>
                <w:p w14:paraId="01653A95">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离心分离</w:t>
                  </w:r>
                </w:p>
              </w:tc>
              <w:tc>
                <w:tcPr>
                  <w:tcW w:w="972" w:type="pct"/>
                  <w:tcBorders>
                    <w:tl2br w:val="nil"/>
                    <w:tr2bl w:val="nil"/>
                  </w:tcBorders>
                  <w:vAlign w:val="center"/>
                </w:tcPr>
                <w:p w14:paraId="2150597A">
                  <w:pPr>
                    <w:pStyle w:val="3"/>
                    <w:bidi w:val="0"/>
                    <w:rPr>
                      <w:rFonts w:hint="default"/>
                      <w:color w:val="auto"/>
                      <w:lang w:eastAsia="zh-CN"/>
                    </w:rPr>
                  </w:pPr>
                  <w:r>
                    <w:rPr>
                      <w:rFonts w:hint="eastAsia"/>
                      <w:color w:val="auto"/>
                    </w:rPr>
                    <w:t>离心机</w:t>
                  </w:r>
                </w:p>
              </w:tc>
              <w:tc>
                <w:tcPr>
                  <w:tcW w:w="1341" w:type="pct"/>
                  <w:tcBorders>
                    <w:tl2br w:val="nil"/>
                    <w:tr2bl w:val="nil"/>
                  </w:tcBorders>
                  <w:vAlign w:val="center"/>
                </w:tcPr>
                <w:p w14:paraId="795ACBE6">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加工能力：</w:t>
                  </w:r>
                  <w:r>
                    <w:rPr>
                      <w:rFonts w:hint="eastAsia" w:ascii="Times New Roman" w:hAnsi="Times New Roman" w:eastAsia="宋体" w:cs="Times New Roman"/>
                      <w:color w:val="auto"/>
                      <w:lang w:val="en-US" w:eastAsia="zh-CN"/>
                    </w:rPr>
                    <w:t>1100t/d</w:t>
                  </w:r>
                </w:p>
              </w:tc>
              <w:tc>
                <w:tcPr>
                  <w:tcW w:w="477" w:type="pct"/>
                  <w:tcBorders>
                    <w:tl2br w:val="nil"/>
                    <w:tr2bl w:val="nil"/>
                  </w:tcBorders>
                  <w:vAlign w:val="center"/>
                </w:tcPr>
                <w:p w14:paraId="7FBA2E79">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65F6DCEE">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267590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68083F23">
                  <w:pPr>
                    <w:pStyle w:val="3"/>
                    <w:bidi w:val="0"/>
                    <w:rPr>
                      <w:rFonts w:hint="default" w:ascii="Times New Roman" w:hAnsi="Times New Roman" w:cs="Times New Roman"/>
                      <w:color w:val="auto"/>
                    </w:rPr>
                  </w:pPr>
                </w:p>
              </w:tc>
              <w:tc>
                <w:tcPr>
                  <w:tcW w:w="934" w:type="pct"/>
                  <w:tcBorders>
                    <w:tl2br w:val="nil"/>
                    <w:tr2bl w:val="nil"/>
                  </w:tcBorders>
                  <w:vAlign w:val="center"/>
                </w:tcPr>
                <w:p w14:paraId="142C472A">
                  <w:pPr>
                    <w:pStyle w:val="3"/>
                    <w:bidi w:val="0"/>
                    <w:rPr>
                      <w:rFonts w:hint="default" w:ascii="Times New Roman" w:hAnsi="Times New Roman" w:cs="Times New Roman"/>
                      <w:color w:val="auto"/>
                      <w:highlight w:val="none"/>
                      <w:lang w:eastAsia="zh-CN"/>
                    </w:rPr>
                  </w:pPr>
                  <w:r>
                    <w:rPr>
                      <w:rFonts w:hint="eastAsia" w:ascii="Times New Roman" w:hAnsi="Times New Roman" w:cs="Times New Roman"/>
                      <w:color w:val="auto"/>
                      <w:highlight w:val="none"/>
                      <w:lang w:eastAsia="zh-CN"/>
                    </w:rPr>
                    <w:t>油脚储存、调质</w:t>
                  </w:r>
                </w:p>
              </w:tc>
              <w:tc>
                <w:tcPr>
                  <w:tcW w:w="972" w:type="pct"/>
                  <w:tcBorders>
                    <w:tl2br w:val="nil"/>
                    <w:tr2bl w:val="nil"/>
                  </w:tcBorders>
                  <w:vAlign w:val="center"/>
                </w:tcPr>
                <w:p w14:paraId="709FCFD5">
                  <w:pPr>
                    <w:pStyle w:val="3"/>
                    <w:bidi w:val="0"/>
                    <w:rPr>
                      <w:rFonts w:hint="default"/>
                      <w:color w:val="auto"/>
                      <w:highlight w:val="none"/>
                      <w:lang w:eastAsia="zh-CN"/>
                    </w:rPr>
                  </w:pPr>
                  <w:r>
                    <w:rPr>
                      <w:rFonts w:hint="eastAsia"/>
                      <w:color w:val="auto"/>
                      <w:highlight w:val="none"/>
                    </w:rPr>
                    <w:t>磷脂调质罐</w:t>
                  </w:r>
                </w:p>
              </w:tc>
              <w:tc>
                <w:tcPr>
                  <w:tcW w:w="1341" w:type="pct"/>
                  <w:tcBorders>
                    <w:tl2br w:val="nil"/>
                    <w:tr2bl w:val="nil"/>
                  </w:tcBorders>
                  <w:vAlign w:val="center"/>
                </w:tcPr>
                <w:p w14:paraId="4762EDB8">
                  <w:pPr>
                    <w:pStyle w:val="3"/>
                    <w:bidi w:val="0"/>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eastAsia="zh-CN"/>
                    </w:rPr>
                    <w:t>容积：</w:t>
                  </w:r>
                  <w:r>
                    <w:rPr>
                      <w:rFonts w:hint="eastAsia" w:ascii="Times New Roman" w:hAnsi="Times New Roman" w:eastAsia="宋体" w:cs="Times New Roman"/>
                      <w:color w:val="auto"/>
                      <w:highlight w:val="none"/>
                      <w:lang w:val="en-US" w:eastAsia="zh-CN"/>
                    </w:rPr>
                    <w:t>50m</w:t>
                  </w:r>
                  <w:r>
                    <w:rPr>
                      <w:rFonts w:hint="eastAsia" w:ascii="Times New Roman" w:hAnsi="Times New Roman" w:eastAsia="宋体" w:cs="Times New Roman"/>
                      <w:color w:val="auto"/>
                      <w:highlight w:val="none"/>
                      <w:vertAlign w:val="superscript"/>
                      <w:lang w:val="en-US" w:eastAsia="zh-CN"/>
                    </w:rPr>
                    <w:t>3</w:t>
                  </w:r>
                  <w:r>
                    <w:rPr>
                      <w:rFonts w:hint="eastAsia" w:ascii="Times New Roman" w:hAnsi="Times New Roman" w:eastAsia="宋体" w:cs="Times New Roman"/>
                      <w:color w:val="auto"/>
                      <w:highlight w:val="none"/>
                      <w:lang w:val="en-US" w:eastAsia="zh-CN"/>
                    </w:rPr>
                    <w:t>，搅拌</w:t>
                  </w:r>
                </w:p>
              </w:tc>
              <w:tc>
                <w:tcPr>
                  <w:tcW w:w="477" w:type="pct"/>
                  <w:tcBorders>
                    <w:tl2br w:val="nil"/>
                    <w:tr2bl w:val="nil"/>
                  </w:tcBorders>
                  <w:vAlign w:val="center"/>
                </w:tcPr>
                <w:p w14:paraId="2EE5279C">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个</w:t>
                  </w:r>
                </w:p>
              </w:tc>
              <w:tc>
                <w:tcPr>
                  <w:tcW w:w="478" w:type="pct"/>
                  <w:tcBorders>
                    <w:tl2br w:val="nil"/>
                    <w:tr2bl w:val="nil"/>
                  </w:tcBorders>
                  <w:vAlign w:val="center"/>
                </w:tcPr>
                <w:p w14:paraId="7BEEC681">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32D88C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52256ABC">
                  <w:pPr>
                    <w:pStyle w:val="3"/>
                    <w:bidi w:val="0"/>
                    <w:rPr>
                      <w:rFonts w:hint="default" w:ascii="Times New Roman" w:hAnsi="Times New Roman" w:cs="Times New Roman"/>
                      <w:color w:val="auto"/>
                    </w:rPr>
                  </w:pPr>
                </w:p>
              </w:tc>
              <w:tc>
                <w:tcPr>
                  <w:tcW w:w="934" w:type="pct"/>
                  <w:tcBorders>
                    <w:tl2br w:val="nil"/>
                    <w:tr2bl w:val="nil"/>
                  </w:tcBorders>
                  <w:vAlign w:val="center"/>
                </w:tcPr>
                <w:p w14:paraId="5D474594">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油脚输送</w:t>
                  </w:r>
                </w:p>
              </w:tc>
              <w:tc>
                <w:tcPr>
                  <w:tcW w:w="972" w:type="pct"/>
                  <w:tcBorders>
                    <w:tl2br w:val="nil"/>
                    <w:tr2bl w:val="nil"/>
                  </w:tcBorders>
                  <w:vAlign w:val="center"/>
                </w:tcPr>
                <w:p w14:paraId="5B4B5A33">
                  <w:pPr>
                    <w:pStyle w:val="3"/>
                    <w:bidi w:val="0"/>
                    <w:rPr>
                      <w:rFonts w:hint="default"/>
                      <w:color w:val="auto"/>
                      <w:lang w:eastAsia="zh-CN"/>
                    </w:rPr>
                  </w:pPr>
                  <w:r>
                    <w:rPr>
                      <w:rFonts w:hint="eastAsia"/>
                      <w:color w:val="auto"/>
                    </w:rPr>
                    <w:t>磷脂调质泵</w:t>
                  </w:r>
                </w:p>
              </w:tc>
              <w:tc>
                <w:tcPr>
                  <w:tcW w:w="1341" w:type="pct"/>
                  <w:tcBorders>
                    <w:tl2br w:val="nil"/>
                    <w:tr2bl w:val="nil"/>
                  </w:tcBorders>
                  <w:vAlign w:val="center"/>
                </w:tcPr>
                <w:p w14:paraId="2B62F176">
                  <w:pPr>
                    <w:pStyle w:val="3"/>
                    <w:bidi w:val="0"/>
                    <w:rPr>
                      <w:rFonts w:hint="default" w:ascii="Times New Roman" w:hAnsi="Times New Roman" w:cs="Times New Roman"/>
                      <w:color w:val="auto"/>
                    </w:rPr>
                  </w:pPr>
                  <w:r>
                    <w:rPr>
                      <w:rFonts w:hint="default" w:ascii="Times New Roman" w:hAnsi="Times New Roman" w:cs="Times New Roman"/>
                      <w:color w:val="auto"/>
                    </w:rPr>
                    <w:t>40TLS</w:t>
                  </w:r>
                </w:p>
              </w:tc>
              <w:tc>
                <w:tcPr>
                  <w:tcW w:w="477" w:type="pct"/>
                  <w:tcBorders>
                    <w:tl2br w:val="nil"/>
                    <w:tr2bl w:val="nil"/>
                  </w:tcBorders>
                  <w:vAlign w:val="center"/>
                </w:tcPr>
                <w:p w14:paraId="1E0736A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30C544C4">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5016D0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4ADB2295">
                  <w:pPr>
                    <w:pStyle w:val="3"/>
                    <w:bidi w:val="0"/>
                    <w:rPr>
                      <w:rFonts w:hint="default" w:ascii="Times New Roman" w:hAnsi="Times New Roman" w:cs="Times New Roman"/>
                      <w:color w:val="auto"/>
                    </w:rPr>
                  </w:pPr>
                </w:p>
              </w:tc>
              <w:tc>
                <w:tcPr>
                  <w:tcW w:w="934" w:type="pct"/>
                  <w:tcBorders>
                    <w:tl2br w:val="nil"/>
                    <w:tr2bl w:val="nil"/>
                  </w:tcBorders>
                  <w:vAlign w:val="center"/>
                </w:tcPr>
                <w:p w14:paraId="703FE3EF">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薄膜蒸发</w:t>
                  </w:r>
                </w:p>
              </w:tc>
              <w:tc>
                <w:tcPr>
                  <w:tcW w:w="972" w:type="pct"/>
                  <w:tcBorders>
                    <w:tl2br w:val="nil"/>
                    <w:tr2bl w:val="nil"/>
                  </w:tcBorders>
                  <w:vAlign w:val="center"/>
                </w:tcPr>
                <w:p w14:paraId="0217D258">
                  <w:pPr>
                    <w:pStyle w:val="3"/>
                    <w:bidi w:val="0"/>
                    <w:rPr>
                      <w:rFonts w:hint="default"/>
                      <w:color w:val="auto"/>
                      <w:lang w:eastAsia="zh-CN"/>
                    </w:rPr>
                  </w:pPr>
                  <w:r>
                    <w:rPr>
                      <w:rFonts w:hint="eastAsia"/>
                      <w:color w:val="auto"/>
                    </w:rPr>
                    <w:t>薄膜蒸发器</w:t>
                  </w:r>
                </w:p>
              </w:tc>
              <w:tc>
                <w:tcPr>
                  <w:tcW w:w="1341" w:type="pct"/>
                  <w:tcBorders>
                    <w:tl2br w:val="nil"/>
                    <w:tr2bl w:val="nil"/>
                  </w:tcBorders>
                  <w:vAlign w:val="center"/>
                </w:tcPr>
                <w:p w14:paraId="4C0D4B98">
                  <w:pPr>
                    <w:pStyle w:val="3"/>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蒸汽加热，蒸汽用量：6t/h</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台，一用一备</w:t>
                  </w:r>
                </w:p>
              </w:tc>
              <w:tc>
                <w:tcPr>
                  <w:tcW w:w="477" w:type="pct"/>
                  <w:tcBorders>
                    <w:tl2br w:val="nil"/>
                    <w:tr2bl w:val="nil"/>
                  </w:tcBorders>
                  <w:vAlign w:val="center"/>
                </w:tcPr>
                <w:p w14:paraId="1F636501">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642565C9">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312EE7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439A96ED">
                  <w:pPr>
                    <w:pStyle w:val="3"/>
                    <w:bidi w:val="0"/>
                    <w:rPr>
                      <w:rFonts w:hint="default" w:ascii="Times New Roman" w:hAnsi="Times New Roman" w:cs="Times New Roman"/>
                      <w:color w:val="auto"/>
                    </w:rPr>
                  </w:pPr>
                </w:p>
              </w:tc>
              <w:tc>
                <w:tcPr>
                  <w:tcW w:w="934" w:type="pct"/>
                  <w:tcBorders>
                    <w:tl2br w:val="nil"/>
                    <w:tr2bl w:val="nil"/>
                  </w:tcBorders>
                  <w:vAlign w:val="center"/>
                </w:tcPr>
                <w:p w14:paraId="24F2F498">
                  <w:pPr>
                    <w:pStyle w:val="3"/>
                    <w:bidi w:val="0"/>
                    <w:rPr>
                      <w:rFonts w:hint="default" w:ascii="Times New Roman" w:hAnsi="Times New Roman" w:cs="Times New Roman"/>
                      <w:color w:val="auto"/>
                      <w:lang w:eastAsia="zh-CN"/>
                    </w:rPr>
                  </w:pPr>
                  <w:r>
                    <w:rPr>
                      <w:rFonts w:hint="eastAsia" w:ascii="Times New Roman" w:hAnsi="Times New Roman" w:cs="Times New Roman"/>
                      <w:color w:val="auto"/>
                      <w:highlight w:val="none"/>
                      <w:lang w:eastAsia="zh-CN"/>
                    </w:rPr>
                    <w:t>油汽分离</w:t>
                  </w:r>
                </w:p>
              </w:tc>
              <w:tc>
                <w:tcPr>
                  <w:tcW w:w="972" w:type="pct"/>
                  <w:tcBorders>
                    <w:tl2br w:val="nil"/>
                    <w:tr2bl w:val="nil"/>
                  </w:tcBorders>
                  <w:vAlign w:val="center"/>
                </w:tcPr>
                <w:p w14:paraId="7C808C05">
                  <w:pPr>
                    <w:pStyle w:val="3"/>
                    <w:bidi w:val="0"/>
                    <w:rPr>
                      <w:rFonts w:hint="default"/>
                      <w:color w:val="auto"/>
                      <w:lang w:eastAsia="zh-CN"/>
                    </w:rPr>
                  </w:pPr>
                  <w:r>
                    <w:rPr>
                      <w:rFonts w:hint="eastAsia"/>
                      <w:color w:val="auto"/>
                    </w:rPr>
                    <w:t>旋液分离器</w:t>
                  </w:r>
                </w:p>
              </w:tc>
              <w:tc>
                <w:tcPr>
                  <w:tcW w:w="1341" w:type="pct"/>
                  <w:tcBorders>
                    <w:tl2br w:val="nil"/>
                    <w:tr2bl w:val="nil"/>
                  </w:tcBorders>
                  <w:vAlign w:val="center"/>
                </w:tcPr>
                <w:p w14:paraId="54F538A4">
                  <w:pPr>
                    <w:pStyle w:val="3"/>
                    <w:bidi w:val="0"/>
                    <w:rPr>
                      <w:rFonts w:hint="default" w:ascii="Times New Roman" w:hAnsi="Times New Roman" w:cs="Times New Roman"/>
                      <w:color w:val="auto"/>
                    </w:rPr>
                  </w:pPr>
                  <w:r>
                    <w:rPr>
                      <w:rFonts w:hint="default" w:ascii="Times New Roman" w:hAnsi="Times New Roman" w:cs="Times New Roman"/>
                      <w:color w:val="auto"/>
                    </w:rPr>
                    <w:t>BJQ120</w:t>
                  </w:r>
                </w:p>
              </w:tc>
              <w:tc>
                <w:tcPr>
                  <w:tcW w:w="477" w:type="pct"/>
                  <w:tcBorders>
                    <w:tl2br w:val="nil"/>
                    <w:tr2bl w:val="nil"/>
                  </w:tcBorders>
                  <w:vAlign w:val="center"/>
                </w:tcPr>
                <w:p w14:paraId="7D9236D9">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27EC45D2">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65B8E6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14D805EB">
                  <w:pPr>
                    <w:pStyle w:val="3"/>
                    <w:bidi w:val="0"/>
                    <w:rPr>
                      <w:rFonts w:hint="default" w:ascii="Times New Roman" w:hAnsi="Times New Roman" w:cs="Times New Roman"/>
                      <w:color w:val="auto"/>
                    </w:rPr>
                  </w:pPr>
                </w:p>
              </w:tc>
              <w:tc>
                <w:tcPr>
                  <w:tcW w:w="934" w:type="pct"/>
                  <w:tcBorders>
                    <w:tl2br w:val="nil"/>
                    <w:tr2bl w:val="nil"/>
                  </w:tcBorders>
                  <w:vAlign w:val="center"/>
                </w:tcPr>
                <w:p w14:paraId="4C96A3E3">
                  <w:pPr>
                    <w:pStyle w:val="3"/>
                    <w:bidi w:val="0"/>
                    <w:ind w:firstLine="0" w:firstLineChars="0"/>
                    <w:jc w:val="center"/>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油汽分离</w:t>
                  </w:r>
                </w:p>
              </w:tc>
              <w:tc>
                <w:tcPr>
                  <w:tcW w:w="972" w:type="pct"/>
                  <w:tcBorders>
                    <w:tl2br w:val="nil"/>
                    <w:tr2bl w:val="nil"/>
                  </w:tcBorders>
                  <w:vAlign w:val="center"/>
                </w:tcPr>
                <w:p w14:paraId="3DB96D33">
                  <w:pPr>
                    <w:pStyle w:val="3"/>
                    <w:bidi w:val="0"/>
                    <w:ind w:firstLine="0" w:firstLineChars="0"/>
                    <w:rPr>
                      <w:rFonts w:hint="eastAsia"/>
                      <w:color w:val="auto"/>
                    </w:rPr>
                  </w:pPr>
                  <w:r>
                    <w:rPr>
                      <w:rFonts w:hint="eastAsia"/>
                      <w:color w:val="auto"/>
                    </w:rPr>
                    <w:t>分离器</w:t>
                  </w:r>
                </w:p>
              </w:tc>
              <w:tc>
                <w:tcPr>
                  <w:tcW w:w="1341" w:type="pct"/>
                  <w:tcBorders>
                    <w:tl2br w:val="nil"/>
                    <w:tr2bl w:val="nil"/>
                  </w:tcBorders>
                  <w:vAlign w:val="center"/>
                </w:tcPr>
                <w:p w14:paraId="276AE06A">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FLQ-325</w:t>
                  </w:r>
                </w:p>
              </w:tc>
              <w:tc>
                <w:tcPr>
                  <w:tcW w:w="477" w:type="pct"/>
                  <w:tcBorders>
                    <w:tl2br w:val="nil"/>
                    <w:tr2bl w:val="nil"/>
                  </w:tcBorders>
                  <w:vAlign w:val="center"/>
                </w:tcPr>
                <w:p w14:paraId="3B13B568">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4A82054E">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56BB22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0146CADF">
                  <w:pPr>
                    <w:pStyle w:val="3"/>
                    <w:bidi w:val="0"/>
                    <w:rPr>
                      <w:rFonts w:hint="default" w:ascii="Times New Roman" w:hAnsi="Times New Roman" w:cs="Times New Roman"/>
                      <w:color w:val="auto"/>
                    </w:rPr>
                  </w:pPr>
                </w:p>
              </w:tc>
              <w:tc>
                <w:tcPr>
                  <w:tcW w:w="934" w:type="pct"/>
                  <w:tcBorders>
                    <w:tl2br w:val="nil"/>
                    <w:tr2bl w:val="nil"/>
                  </w:tcBorders>
                  <w:vAlign w:val="center"/>
                </w:tcPr>
                <w:p w14:paraId="4F9A12F5">
                  <w:pPr>
                    <w:pStyle w:val="3"/>
                    <w:bidi w:val="0"/>
                    <w:rPr>
                      <w:rFonts w:hint="default" w:ascii="Times New Roman" w:hAnsi="Times New Roman" w:cs="Times New Roman"/>
                      <w:color w:val="auto"/>
                      <w:lang w:eastAsia="zh-CN"/>
                    </w:rPr>
                  </w:pPr>
                  <w:r>
                    <w:rPr>
                      <w:rFonts w:hint="eastAsia" w:ascii="Times New Roman" w:hAnsi="Times New Roman" w:cs="Times New Roman"/>
                      <w:color w:val="auto"/>
                      <w:highlight w:val="none"/>
                      <w:lang w:eastAsia="zh-CN"/>
                    </w:rPr>
                    <w:t>泡沫收集</w:t>
                  </w:r>
                </w:p>
              </w:tc>
              <w:tc>
                <w:tcPr>
                  <w:tcW w:w="972" w:type="pct"/>
                  <w:tcBorders>
                    <w:tl2br w:val="nil"/>
                    <w:tr2bl w:val="nil"/>
                  </w:tcBorders>
                  <w:vAlign w:val="center"/>
                </w:tcPr>
                <w:p w14:paraId="0C0B30F2">
                  <w:pPr>
                    <w:pStyle w:val="3"/>
                    <w:bidi w:val="0"/>
                    <w:rPr>
                      <w:rFonts w:hint="default"/>
                      <w:color w:val="auto"/>
                      <w:lang w:eastAsia="zh-CN"/>
                    </w:rPr>
                  </w:pPr>
                  <w:r>
                    <w:rPr>
                      <w:rFonts w:hint="eastAsia"/>
                      <w:color w:val="auto"/>
                    </w:rPr>
                    <w:t>液沫收集罐</w:t>
                  </w:r>
                </w:p>
              </w:tc>
              <w:tc>
                <w:tcPr>
                  <w:tcW w:w="1341" w:type="pct"/>
                  <w:tcBorders>
                    <w:tl2br w:val="nil"/>
                    <w:tr2bl w:val="nil"/>
                  </w:tcBorders>
                  <w:vAlign w:val="center"/>
                </w:tcPr>
                <w:p w14:paraId="4A6406F0">
                  <w:pPr>
                    <w:pStyle w:val="3"/>
                    <w:bidi w:val="0"/>
                    <w:rPr>
                      <w:rFonts w:hint="default" w:ascii="Times New Roman" w:hAnsi="Times New Roman" w:cs="Times New Roman"/>
                      <w:color w:val="auto"/>
                    </w:rPr>
                  </w:pPr>
                  <w:r>
                    <w:rPr>
                      <w:rFonts w:hint="default" w:ascii="Times New Roman" w:hAnsi="Times New Roman" w:cs="Times New Roman"/>
                      <w:color w:val="auto"/>
                    </w:rPr>
                    <w:t>SJQ60</w:t>
                  </w:r>
                </w:p>
              </w:tc>
              <w:tc>
                <w:tcPr>
                  <w:tcW w:w="477" w:type="pct"/>
                  <w:tcBorders>
                    <w:tl2br w:val="nil"/>
                    <w:tr2bl w:val="nil"/>
                  </w:tcBorders>
                  <w:vAlign w:val="center"/>
                </w:tcPr>
                <w:p w14:paraId="42D61F39">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个</w:t>
                  </w:r>
                </w:p>
              </w:tc>
              <w:tc>
                <w:tcPr>
                  <w:tcW w:w="478" w:type="pct"/>
                  <w:tcBorders>
                    <w:tl2br w:val="nil"/>
                    <w:tr2bl w:val="nil"/>
                  </w:tcBorders>
                  <w:vAlign w:val="center"/>
                </w:tcPr>
                <w:p w14:paraId="3B148025">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5EAEE1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6210C99F">
                  <w:pPr>
                    <w:pStyle w:val="3"/>
                    <w:bidi w:val="0"/>
                    <w:rPr>
                      <w:rFonts w:hint="default" w:ascii="Times New Roman" w:hAnsi="Times New Roman" w:cs="Times New Roman"/>
                      <w:color w:val="auto"/>
                    </w:rPr>
                  </w:pPr>
                </w:p>
              </w:tc>
              <w:tc>
                <w:tcPr>
                  <w:tcW w:w="934" w:type="pct"/>
                  <w:tcBorders>
                    <w:tl2br w:val="nil"/>
                    <w:tr2bl w:val="nil"/>
                  </w:tcBorders>
                  <w:vAlign w:val="center"/>
                </w:tcPr>
                <w:p w14:paraId="29DBAE42">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磷脂临时储存</w:t>
                  </w:r>
                </w:p>
              </w:tc>
              <w:tc>
                <w:tcPr>
                  <w:tcW w:w="972" w:type="pct"/>
                  <w:tcBorders>
                    <w:tl2br w:val="nil"/>
                    <w:tr2bl w:val="nil"/>
                  </w:tcBorders>
                  <w:vAlign w:val="center"/>
                </w:tcPr>
                <w:p w14:paraId="2E7C9956">
                  <w:pPr>
                    <w:pStyle w:val="3"/>
                    <w:bidi w:val="0"/>
                    <w:rPr>
                      <w:rFonts w:hint="default"/>
                      <w:color w:val="auto"/>
                      <w:lang w:eastAsia="zh-CN"/>
                    </w:rPr>
                  </w:pPr>
                  <w:r>
                    <w:rPr>
                      <w:rFonts w:hint="eastAsia"/>
                      <w:color w:val="auto"/>
                    </w:rPr>
                    <w:t>磷脂收集罐</w:t>
                  </w:r>
                </w:p>
              </w:tc>
              <w:tc>
                <w:tcPr>
                  <w:tcW w:w="1341" w:type="pct"/>
                  <w:tcBorders>
                    <w:tl2br w:val="nil"/>
                    <w:tr2bl w:val="nil"/>
                  </w:tcBorders>
                  <w:vAlign w:val="center"/>
                </w:tcPr>
                <w:p w14:paraId="16248181">
                  <w:pPr>
                    <w:pStyle w:val="3"/>
                    <w:bidi w:val="0"/>
                    <w:rPr>
                      <w:rFonts w:hint="default" w:ascii="Times New Roman" w:hAnsi="Times New Roman" w:cs="Times New Roman"/>
                      <w:color w:val="auto"/>
                    </w:rPr>
                  </w:pPr>
                  <w:r>
                    <w:rPr>
                      <w:rFonts w:hint="default" w:ascii="Times New Roman" w:hAnsi="Times New Roman" w:cs="Times New Roman"/>
                      <w:color w:val="auto"/>
                    </w:rPr>
                    <w:t>JSG60</w:t>
                  </w:r>
                </w:p>
              </w:tc>
              <w:tc>
                <w:tcPr>
                  <w:tcW w:w="477" w:type="pct"/>
                  <w:tcBorders>
                    <w:tl2br w:val="nil"/>
                    <w:tr2bl w:val="nil"/>
                  </w:tcBorders>
                  <w:vAlign w:val="center"/>
                </w:tcPr>
                <w:p w14:paraId="139A3795">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个</w:t>
                  </w:r>
                </w:p>
              </w:tc>
              <w:tc>
                <w:tcPr>
                  <w:tcW w:w="478" w:type="pct"/>
                  <w:tcBorders>
                    <w:tl2br w:val="nil"/>
                    <w:tr2bl w:val="nil"/>
                  </w:tcBorders>
                  <w:vAlign w:val="center"/>
                </w:tcPr>
                <w:p w14:paraId="7FC014C6">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199427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1BA3FFC8">
                  <w:pPr>
                    <w:pStyle w:val="3"/>
                    <w:bidi w:val="0"/>
                    <w:rPr>
                      <w:rFonts w:hint="default" w:ascii="Times New Roman" w:hAnsi="Times New Roman" w:cs="Times New Roman"/>
                      <w:color w:val="auto"/>
                    </w:rPr>
                  </w:pPr>
                </w:p>
              </w:tc>
              <w:tc>
                <w:tcPr>
                  <w:tcW w:w="934" w:type="pct"/>
                  <w:tcBorders>
                    <w:tl2br w:val="nil"/>
                    <w:tr2bl w:val="nil"/>
                  </w:tcBorders>
                  <w:vAlign w:val="center"/>
                </w:tcPr>
                <w:p w14:paraId="49C73637">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磷脂输送</w:t>
                  </w:r>
                </w:p>
              </w:tc>
              <w:tc>
                <w:tcPr>
                  <w:tcW w:w="972" w:type="pct"/>
                  <w:tcBorders>
                    <w:tl2br w:val="nil"/>
                    <w:tr2bl w:val="nil"/>
                  </w:tcBorders>
                  <w:vAlign w:val="center"/>
                </w:tcPr>
                <w:p w14:paraId="7D1C4002">
                  <w:pPr>
                    <w:pStyle w:val="3"/>
                    <w:bidi w:val="0"/>
                    <w:rPr>
                      <w:rFonts w:hint="default"/>
                      <w:color w:val="auto"/>
                      <w:lang w:eastAsia="zh-CN"/>
                    </w:rPr>
                  </w:pPr>
                  <w:r>
                    <w:rPr>
                      <w:rFonts w:hint="eastAsia"/>
                      <w:color w:val="auto"/>
                    </w:rPr>
                    <w:t>磷脂收集泵</w:t>
                  </w:r>
                </w:p>
              </w:tc>
              <w:tc>
                <w:tcPr>
                  <w:tcW w:w="1341" w:type="pct"/>
                  <w:tcBorders>
                    <w:tl2br w:val="nil"/>
                    <w:tr2bl w:val="nil"/>
                  </w:tcBorders>
                  <w:vAlign w:val="center"/>
                </w:tcPr>
                <w:p w14:paraId="53F97CC0">
                  <w:pPr>
                    <w:pStyle w:val="3"/>
                    <w:bidi w:val="0"/>
                    <w:rPr>
                      <w:rFonts w:hint="default" w:ascii="Times New Roman" w:hAnsi="Times New Roman" w:cs="Times New Roman"/>
                      <w:color w:val="auto"/>
                    </w:rPr>
                  </w:pPr>
                  <w:r>
                    <w:rPr>
                      <w:rFonts w:hint="default" w:ascii="Times New Roman" w:hAnsi="Times New Roman" w:cs="Times New Roman"/>
                      <w:color w:val="auto"/>
                    </w:rPr>
                    <w:t>40TLS</w:t>
                  </w:r>
                </w:p>
              </w:tc>
              <w:tc>
                <w:tcPr>
                  <w:tcW w:w="477" w:type="pct"/>
                  <w:tcBorders>
                    <w:tl2br w:val="nil"/>
                    <w:tr2bl w:val="nil"/>
                  </w:tcBorders>
                  <w:vAlign w:val="center"/>
                </w:tcPr>
                <w:p w14:paraId="0596E33A">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157722C5">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6F47A0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084A1069">
                  <w:pPr>
                    <w:pStyle w:val="3"/>
                    <w:bidi w:val="0"/>
                    <w:rPr>
                      <w:rFonts w:hint="default" w:ascii="Times New Roman" w:hAnsi="Times New Roman" w:cs="Times New Roman"/>
                      <w:color w:val="auto"/>
                    </w:rPr>
                  </w:pPr>
                </w:p>
              </w:tc>
              <w:tc>
                <w:tcPr>
                  <w:tcW w:w="934" w:type="pct"/>
                  <w:tcBorders>
                    <w:tl2br w:val="nil"/>
                    <w:tr2bl w:val="nil"/>
                  </w:tcBorders>
                  <w:vAlign w:val="center"/>
                </w:tcPr>
                <w:p w14:paraId="5C9A4B05">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磷脂冷却</w:t>
                  </w:r>
                </w:p>
              </w:tc>
              <w:tc>
                <w:tcPr>
                  <w:tcW w:w="972" w:type="pct"/>
                  <w:tcBorders>
                    <w:tl2br w:val="nil"/>
                    <w:tr2bl w:val="nil"/>
                  </w:tcBorders>
                  <w:vAlign w:val="center"/>
                </w:tcPr>
                <w:p w14:paraId="0776FD7F">
                  <w:pPr>
                    <w:pStyle w:val="3"/>
                    <w:bidi w:val="0"/>
                    <w:rPr>
                      <w:rFonts w:hint="default"/>
                      <w:color w:val="auto"/>
                      <w:lang w:eastAsia="zh-CN"/>
                    </w:rPr>
                  </w:pPr>
                  <w:r>
                    <w:rPr>
                      <w:rFonts w:hint="eastAsia"/>
                      <w:color w:val="auto"/>
                    </w:rPr>
                    <w:t>磷脂冷却器</w:t>
                  </w:r>
                </w:p>
              </w:tc>
              <w:tc>
                <w:tcPr>
                  <w:tcW w:w="1341" w:type="pct"/>
                  <w:tcBorders>
                    <w:tl2br w:val="nil"/>
                    <w:tr2bl w:val="nil"/>
                  </w:tcBorders>
                  <w:vAlign w:val="center"/>
                </w:tcPr>
                <w:p w14:paraId="5F86749B">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冷却循环水量：</w:t>
                  </w:r>
                  <w:r>
                    <w:rPr>
                      <w:rFonts w:hint="eastAsia" w:ascii="Times New Roman" w:hAnsi="Times New Roman" w:eastAsia="宋体" w:cs="Times New Roman"/>
                      <w:color w:val="auto"/>
                      <w:lang w:val="en-US" w:eastAsia="zh-CN"/>
                    </w:rPr>
                    <w:t>5m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/h</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台</w:t>
                  </w:r>
                </w:p>
              </w:tc>
              <w:tc>
                <w:tcPr>
                  <w:tcW w:w="477" w:type="pct"/>
                  <w:tcBorders>
                    <w:tl2br w:val="nil"/>
                    <w:tr2bl w:val="nil"/>
                  </w:tcBorders>
                  <w:vAlign w:val="center"/>
                </w:tcPr>
                <w:p w14:paraId="6B2D99F3">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329A3F65">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5825A0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34531412">
                  <w:pPr>
                    <w:pStyle w:val="3"/>
                    <w:bidi w:val="0"/>
                    <w:rPr>
                      <w:rFonts w:hint="default" w:ascii="Times New Roman" w:hAnsi="Times New Roman" w:cs="Times New Roman"/>
                      <w:color w:val="auto"/>
                    </w:rPr>
                  </w:pPr>
                </w:p>
              </w:tc>
              <w:tc>
                <w:tcPr>
                  <w:tcW w:w="934" w:type="pct"/>
                  <w:tcBorders>
                    <w:tl2br w:val="nil"/>
                    <w:tr2bl w:val="nil"/>
                  </w:tcBorders>
                  <w:vAlign w:val="center"/>
                </w:tcPr>
                <w:p w14:paraId="14683942">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磷脂储存</w:t>
                  </w:r>
                </w:p>
              </w:tc>
              <w:tc>
                <w:tcPr>
                  <w:tcW w:w="972" w:type="pct"/>
                  <w:tcBorders>
                    <w:tl2br w:val="nil"/>
                    <w:tr2bl w:val="nil"/>
                  </w:tcBorders>
                  <w:vAlign w:val="center"/>
                </w:tcPr>
                <w:p w14:paraId="2F60A84E">
                  <w:pPr>
                    <w:pStyle w:val="3"/>
                    <w:bidi w:val="0"/>
                    <w:rPr>
                      <w:rFonts w:hint="default"/>
                      <w:color w:val="auto"/>
                      <w:lang w:eastAsia="zh-CN"/>
                    </w:rPr>
                  </w:pPr>
                  <w:r>
                    <w:rPr>
                      <w:rFonts w:hint="eastAsia"/>
                      <w:color w:val="auto"/>
                    </w:rPr>
                    <w:t>磷脂储存罐</w:t>
                  </w:r>
                </w:p>
              </w:tc>
              <w:tc>
                <w:tcPr>
                  <w:tcW w:w="1341" w:type="pct"/>
                  <w:tcBorders>
                    <w:tl2br w:val="nil"/>
                    <w:tr2bl w:val="nil"/>
                  </w:tcBorders>
                  <w:vAlign w:val="center"/>
                </w:tcPr>
                <w:p w14:paraId="05C325F7">
                  <w:pPr>
                    <w:pStyle w:val="3"/>
                    <w:bidi w:val="0"/>
                    <w:rPr>
                      <w:rFonts w:hint="default" w:ascii="Times New Roman" w:hAnsi="Times New Roman" w:cs="Times New Roman"/>
                      <w:color w:val="auto"/>
                    </w:rPr>
                  </w:pPr>
                  <w:r>
                    <w:rPr>
                      <w:rFonts w:hint="eastAsia" w:ascii="Times New Roman" w:hAnsi="Times New Roman" w:eastAsia="宋体" w:cs="Times New Roman"/>
                      <w:color w:val="auto"/>
                      <w:highlight w:val="none"/>
                      <w:lang w:eastAsia="zh-CN"/>
                    </w:rPr>
                    <w:t>容积：</w:t>
                  </w:r>
                  <w:r>
                    <w:rPr>
                      <w:rFonts w:hint="eastAsia" w:ascii="Times New Roman" w:hAnsi="Times New Roman" w:eastAsia="宋体" w:cs="Times New Roman"/>
                      <w:color w:val="auto"/>
                      <w:highlight w:val="none"/>
                      <w:lang w:val="en-US" w:eastAsia="zh-CN"/>
                    </w:rPr>
                    <w:t>50m</w:t>
                  </w:r>
                  <w:r>
                    <w:rPr>
                      <w:rFonts w:hint="eastAsia" w:ascii="Times New Roman" w:hAnsi="Times New Roman" w:eastAsia="宋体" w:cs="Times New Roman"/>
                      <w:color w:val="auto"/>
                      <w:highlight w:val="none"/>
                      <w:vertAlign w:val="superscript"/>
                      <w:lang w:val="en-US" w:eastAsia="zh-CN"/>
                    </w:rPr>
                    <w:t>3</w:t>
                  </w:r>
                </w:p>
              </w:tc>
              <w:tc>
                <w:tcPr>
                  <w:tcW w:w="477" w:type="pct"/>
                  <w:tcBorders>
                    <w:tl2br w:val="nil"/>
                    <w:tr2bl w:val="nil"/>
                  </w:tcBorders>
                  <w:vAlign w:val="center"/>
                </w:tcPr>
                <w:p w14:paraId="661EED67">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个</w:t>
                  </w:r>
                </w:p>
              </w:tc>
              <w:tc>
                <w:tcPr>
                  <w:tcW w:w="478" w:type="pct"/>
                  <w:tcBorders>
                    <w:tl2br w:val="nil"/>
                    <w:tr2bl w:val="nil"/>
                  </w:tcBorders>
                  <w:vAlign w:val="center"/>
                </w:tcPr>
                <w:p w14:paraId="0E014746">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68D9EB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16347398">
                  <w:pPr>
                    <w:pStyle w:val="3"/>
                    <w:bidi w:val="0"/>
                    <w:rPr>
                      <w:rFonts w:hint="default" w:ascii="Times New Roman" w:hAnsi="Times New Roman" w:cs="Times New Roman"/>
                      <w:color w:val="auto"/>
                    </w:rPr>
                  </w:pPr>
                </w:p>
              </w:tc>
              <w:tc>
                <w:tcPr>
                  <w:tcW w:w="934" w:type="pct"/>
                  <w:tcBorders>
                    <w:tl2br w:val="nil"/>
                    <w:tr2bl w:val="nil"/>
                  </w:tcBorders>
                  <w:vAlign w:val="center"/>
                </w:tcPr>
                <w:p w14:paraId="6D09A3B0">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物料输送</w:t>
                  </w:r>
                </w:p>
              </w:tc>
              <w:tc>
                <w:tcPr>
                  <w:tcW w:w="972" w:type="pct"/>
                  <w:tcBorders>
                    <w:tl2br w:val="nil"/>
                    <w:tr2bl w:val="nil"/>
                  </w:tcBorders>
                  <w:vAlign w:val="center"/>
                </w:tcPr>
                <w:p w14:paraId="4979DC80">
                  <w:pPr>
                    <w:pStyle w:val="3"/>
                    <w:bidi w:val="0"/>
                    <w:rPr>
                      <w:rFonts w:hint="eastAsia"/>
                      <w:color w:val="auto"/>
                    </w:rPr>
                  </w:pPr>
                  <w:r>
                    <w:rPr>
                      <w:rFonts w:hint="eastAsia"/>
                      <w:color w:val="auto"/>
                    </w:rPr>
                    <w:t>输送泵</w:t>
                  </w:r>
                </w:p>
              </w:tc>
              <w:tc>
                <w:tcPr>
                  <w:tcW w:w="1341" w:type="pct"/>
                  <w:tcBorders>
                    <w:tl2br w:val="nil"/>
                    <w:tr2bl w:val="nil"/>
                  </w:tcBorders>
                  <w:vAlign w:val="center"/>
                </w:tcPr>
                <w:p w14:paraId="0B5E935E">
                  <w:pPr>
                    <w:pStyle w:val="3"/>
                    <w:bidi w:val="0"/>
                    <w:rPr>
                      <w:rFonts w:hint="default" w:ascii="Times New Roman" w:hAnsi="Times New Roman" w:cs="Times New Roman"/>
                      <w:color w:val="auto"/>
                    </w:rPr>
                  </w:pPr>
                  <w:r>
                    <w:rPr>
                      <w:rFonts w:hint="default" w:ascii="Times New Roman" w:hAnsi="Times New Roman" w:cs="Times New Roman"/>
                      <w:color w:val="auto"/>
                    </w:rPr>
                    <w:t>60TLS</w:t>
                  </w:r>
                </w:p>
              </w:tc>
              <w:tc>
                <w:tcPr>
                  <w:tcW w:w="477" w:type="pct"/>
                  <w:tcBorders>
                    <w:tl2br w:val="nil"/>
                    <w:tr2bl w:val="nil"/>
                  </w:tcBorders>
                  <w:vAlign w:val="center"/>
                </w:tcPr>
                <w:p w14:paraId="5902A9B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09CE3E45">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776E1E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2F8E9551">
                  <w:pPr>
                    <w:pStyle w:val="3"/>
                    <w:bidi w:val="0"/>
                    <w:rPr>
                      <w:rFonts w:hint="default" w:ascii="Times New Roman" w:hAnsi="Times New Roman" w:cs="Times New Roman"/>
                      <w:color w:val="auto"/>
                    </w:rPr>
                  </w:pPr>
                </w:p>
              </w:tc>
              <w:tc>
                <w:tcPr>
                  <w:tcW w:w="934" w:type="pct"/>
                  <w:tcBorders>
                    <w:tl2br w:val="nil"/>
                    <w:tr2bl w:val="nil"/>
                  </w:tcBorders>
                  <w:vAlign w:val="center"/>
                </w:tcPr>
                <w:p w14:paraId="095B26FA">
                  <w:pPr>
                    <w:pStyle w:val="3"/>
                    <w:bidi w:val="0"/>
                    <w:rPr>
                      <w:rFonts w:hint="default" w:ascii="Times New Roman" w:hAnsi="Times New Roman" w:cs="Times New Roman"/>
                      <w:color w:val="auto"/>
                      <w:highlight w:val="yellow"/>
                      <w:lang w:eastAsia="zh-CN"/>
                    </w:rPr>
                  </w:pPr>
                  <w:r>
                    <w:rPr>
                      <w:rFonts w:hint="eastAsia" w:ascii="Times New Roman" w:hAnsi="Times New Roman" w:cs="Times New Roman"/>
                      <w:color w:val="auto"/>
                      <w:highlight w:val="none"/>
                      <w:lang w:eastAsia="zh-CN"/>
                    </w:rPr>
                    <w:t>水蒸气冷凝</w:t>
                  </w:r>
                </w:p>
              </w:tc>
              <w:tc>
                <w:tcPr>
                  <w:tcW w:w="972" w:type="pct"/>
                  <w:tcBorders>
                    <w:tl2br w:val="nil"/>
                    <w:tr2bl w:val="nil"/>
                  </w:tcBorders>
                  <w:vAlign w:val="center"/>
                </w:tcPr>
                <w:p w14:paraId="68AD6307">
                  <w:pPr>
                    <w:pStyle w:val="3"/>
                    <w:bidi w:val="0"/>
                    <w:rPr>
                      <w:rFonts w:hint="eastAsia"/>
                      <w:color w:val="auto"/>
                    </w:rPr>
                  </w:pPr>
                  <w:r>
                    <w:rPr>
                      <w:rFonts w:hint="eastAsia"/>
                      <w:color w:val="auto"/>
                    </w:rPr>
                    <w:t>真空冷凝器</w:t>
                  </w:r>
                </w:p>
              </w:tc>
              <w:tc>
                <w:tcPr>
                  <w:tcW w:w="1341" w:type="pct"/>
                  <w:tcBorders>
                    <w:tl2br w:val="nil"/>
                    <w:tr2bl w:val="nil"/>
                  </w:tcBorders>
                  <w:vAlign w:val="center"/>
                </w:tcPr>
                <w:p w14:paraId="39280FAF">
                  <w:pPr>
                    <w:pStyle w:val="3"/>
                    <w:bidi w:val="0"/>
                    <w:rPr>
                      <w:rFonts w:hint="default" w:ascii="Times New Roman" w:hAnsi="Times New Roman" w:cs="Times New Roman"/>
                      <w:color w:val="auto"/>
                    </w:rPr>
                  </w:pPr>
                  <w:r>
                    <w:rPr>
                      <w:rFonts w:hint="default" w:ascii="Times New Roman" w:hAnsi="Times New Roman" w:cs="Times New Roman"/>
                      <w:color w:val="auto"/>
                    </w:rPr>
                    <w:t>LGLN150</w:t>
                  </w:r>
                </w:p>
              </w:tc>
              <w:tc>
                <w:tcPr>
                  <w:tcW w:w="477" w:type="pct"/>
                  <w:tcBorders>
                    <w:tl2br w:val="nil"/>
                    <w:tr2bl w:val="nil"/>
                  </w:tcBorders>
                  <w:vAlign w:val="center"/>
                </w:tcPr>
                <w:p w14:paraId="6F425C79">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3BCC27A1">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73E90D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3B5C17D4">
                  <w:pPr>
                    <w:pStyle w:val="3"/>
                    <w:bidi w:val="0"/>
                    <w:rPr>
                      <w:rFonts w:hint="default" w:ascii="Times New Roman" w:hAnsi="Times New Roman" w:cs="Times New Roman"/>
                      <w:color w:val="auto"/>
                    </w:rPr>
                  </w:pPr>
                </w:p>
              </w:tc>
              <w:tc>
                <w:tcPr>
                  <w:tcW w:w="934" w:type="pct"/>
                  <w:tcBorders>
                    <w:tl2br w:val="nil"/>
                    <w:tr2bl w:val="nil"/>
                  </w:tcBorders>
                  <w:vAlign w:val="center"/>
                </w:tcPr>
                <w:p w14:paraId="129CA11A">
                  <w:pPr>
                    <w:pStyle w:val="3"/>
                    <w:bidi w:val="0"/>
                    <w:rPr>
                      <w:rFonts w:hint="default" w:ascii="Times New Roman" w:hAnsi="Times New Roman" w:cs="Times New Roman"/>
                      <w:color w:val="auto"/>
                      <w:highlight w:val="yellow"/>
                      <w:lang w:eastAsia="zh-CN"/>
                    </w:rPr>
                  </w:pPr>
                  <w:r>
                    <w:rPr>
                      <w:rFonts w:hint="eastAsia" w:ascii="Times New Roman" w:hAnsi="Times New Roman" w:cs="Times New Roman"/>
                      <w:color w:val="auto"/>
                      <w:lang w:eastAsia="zh-CN"/>
                    </w:rPr>
                    <w:t>薄膜蒸发负压保持</w:t>
                  </w:r>
                </w:p>
              </w:tc>
              <w:tc>
                <w:tcPr>
                  <w:tcW w:w="972" w:type="pct"/>
                  <w:tcBorders>
                    <w:tl2br w:val="nil"/>
                    <w:tr2bl w:val="nil"/>
                  </w:tcBorders>
                  <w:vAlign w:val="center"/>
                </w:tcPr>
                <w:p w14:paraId="49858202">
                  <w:pPr>
                    <w:pStyle w:val="3"/>
                    <w:bidi w:val="0"/>
                    <w:rPr>
                      <w:rFonts w:hint="eastAsia"/>
                      <w:color w:val="auto"/>
                    </w:rPr>
                  </w:pPr>
                  <w:r>
                    <w:rPr>
                      <w:rFonts w:hint="eastAsia"/>
                      <w:color w:val="auto"/>
                    </w:rPr>
                    <w:t>液环真空泵</w:t>
                  </w:r>
                </w:p>
              </w:tc>
              <w:tc>
                <w:tcPr>
                  <w:tcW w:w="1341" w:type="pct"/>
                  <w:tcBorders>
                    <w:tl2br w:val="nil"/>
                    <w:tr2bl w:val="nil"/>
                  </w:tcBorders>
                  <w:vAlign w:val="center"/>
                </w:tcPr>
                <w:p w14:paraId="34A0A713">
                  <w:pPr>
                    <w:pStyle w:val="3"/>
                    <w:bidi w:val="0"/>
                    <w:rPr>
                      <w:rFonts w:hint="default" w:ascii="Times New Roman" w:hAnsi="Times New Roman" w:cs="Times New Roman"/>
                      <w:color w:val="auto"/>
                    </w:rPr>
                  </w:pPr>
                  <w:r>
                    <w:rPr>
                      <w:rFonts w:hint="default" w:ascii="Times New Roman" w:hAnsi="Times New Roman" w:cs="Times New Roman"/>
                      <w:color w:val="auto"/>
                    </w:rPr>
                    <w:t>2BV5</w:t>
                  </w:r>
                </w:p>
              </w:tc>
              <w:tc>
                <w:tcPr>
                  <w:tcW w:w="477" w:type="pct"/>
                  <w:tcBorders>
                    <w:tl2br w:val="nil"/>
                    <w:tr2bl w:val="nil"/>
                  </w:tcBorders>
                  <w:vAlign w:val="center"/>
                </w:tcPr>
                <w:p w14:paraId="33F2150C">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r>
                    <w:rPr>
                      <w:rFonts w:hint="eastAsia" w:ascii="Times New Roman" w:hAnsi="Times New Roman" w:eastAsia="宋体" w:cs="Times New Roman"/>
                      <w:color w:val="auto"/>
                      <w:lang w:val="en-US" w:eastAsia="zh-CN"/>
                    </w:rPr>
                    <w:t>台</w:t>
                  </w:r>
                </w:p>
              </w:tc>
              <w:tc>
                <w:tcPr>
                  <w:tcW w:w="478" w:type="pct"/>
                  <w:tcBorders>
                    <w:tl2br w:val="nil"/>
                    <w:tr2bl w:val="nil"/>
                  </w:tcBorders>
                  <w:vAlign w:val="center"/>
                </w:tcPr>
                <w:p w14:paraId="754D64A6">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163C04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95" w:type="pct"/>
                  <w:vMerge w:val="continue"/>
                  <w:tcBorders>
                    <w:tl2br w:val="nil"/>
                    <w:tr2bl w:val="nil"/>
                  </w:tcBorders>
                  <w:vAlign w:val="center"/>
                </w:tcPr>
                <w:p w14:paraId="5C249AD0">
                  <w:pPr>
                    <w:pStyle w:val="3"/>
                    <w:bidi w:val="0"/>
                    <w:rPr>
                      <w:rFonts w:hint="default" w:ascii="Times New Roman" w:hAnsi="Times New Roman" w:cs="Times New Roman"/>
                      <w:color w:val="auto"/>
                    </w:rPr>
                  </w:pPr>
                </w:p>
              </w:tc>
              <w:tc>
                <w:tcPr>
                  <w:tcW w:w="934" w:type="pct"/>
                  <w:tcBorders>
                    <w:tl2br w:val="nil"/>
                    <w:tr2bl w:val="nil"/>
                  </w:tcBorders>
                  <w:vAlign w:val="center"/>
                </w:tcPr>
                <w:p w14:paraId="02E0508D">
                  <w:pPr>
                    <w:pStyle w:val="3"/>
                    <w:bidi w:val="0"/>
                    <w:rPr>
                      <w:rFonts w:hint="default" w:ascii="Times New Roman" w:hAnsi="Times New Roman" w:cs="Times New Roman"/>
                      <w:color w:val="auto"/>
                      <w:highlight w:val="yellow"/>
                      <w:lang w:eastAsia="zh-CN"/>
                    </w:rPr>
                  </w:pPr>
                  <w:r>
                    <w:rPr>
                      <w:rFonts w:hint="eastAsia" w:ascii="Times New Roman" w:hAnsi="Times New Roman" w:cs="Times New Roman"/>
                      <w:color w:val="auto"/>
                      <w:lang w:eastAsia="zh-CN"/>
                    </w:rPr>
                    <w:t>薄膜蒸发负压保持</w:t>
                  </w:r>
                </w:p>
              </w:tc>
              <w:tc>
                <w:tcPr>
                  <w:tcW w:w="972" w:type="pct"/>
                  <w:tcBorders>
                    <w:tl2br w:val="nil"/>
                    <w:tr2bl w:val="nil"/>
                  </w:tcBorders>
                  <w:vAlign w:val="center"/>
                </w:tcPr>
                <w:p w14:paraId="2B62403A">
                  <w:pPr>
                    <w:pStyle w:val="3"/>
                    <w:bidi w:val="0"/>
                    <w:rPr>
                      <w:rFonts w:hint="eastAsia"/>
                      <w:color w:val="auto"/>
                    </w:rPr>
                  </w:pPr>
                  <w:r>
                    <w:rPr>
                      <w:rFonts w:hint="eastAsia"/>
                      <w:color w:val="auto"/>
                    </w:rPr>
                    <w:t>水封罐</w:t>
                  </w:r>
                </w:p>
              </w:tc>
              <w:tc>
                <w:tcPr>
                  <w:tcW w:w="1341" w:type="pct"/>
                  <w:tcBorders>
                    <w:tl2br w:val="nil"/>
                    <w:tr2bl w:val="nil"/>
                  </w:tcBorders>
                  <w:vAlign w:val="center"/>
                </w:tcPr>
                <w:p w14:paraId="221BE9BB">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477" w:type="pct"/>
                  <w:tcBorders>
                    <w:tl2br w:val="nil"/>
                    <w:tr2bl w:val="nil"/>
                  </w:tcBorders>
                  <w:vAlign w:val="center"/>
                </w:tcPr>
                <w:p w14:paraId="34FF4BE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1个</w:t>
                  </w:r>
                </w:p>
              </w:tc>
              <w:tc>
                <w:tcPr>
                  <w:tcW w:w="478" w:type="pct"/>
                  <w:tcBorders>
                    <w:tl2br w:val="nil"/>
                    <w:tr2bl w:val="nil"/>
                  </w:tcBorders>
                  <w:vAlign w:val="center"/>
                </w:tcPr>
                <w:p w14:paraId="37409A8C">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r w14:paraId="67CA0A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95" w:type="pct"/>
                  <w:vMerge w:val="continue"/>
                  <w:tcBorders>
                    <w:tl2br w:val="nil"/>
                    <w:tr2bl w:val="nil"/>
                  </w:tcBorders>
                  <w:vAlign w:val="center"/>
                </w:tcPr>
                <w:p w14:paraId="33238C45">
                  <w:pPr>
                    <w:pStyle w:val="3"/>
                    <w:bidi w:val="0"/>
                    <w:rPr>
                      <w:rFonts w:hint="default" w:ascii="Times New Roman" w:hAnsi="Times New Roman" w:cs="Times New Roman"/>
                      <w:color w:val="auto"/>
                    </w:rPr>
                  </w:pPr>
                </w:p>
              </w:tc>
              <w:tc>
                <w:tcPr>
                  <w:tcW w:w="934" w:type="pct"/>
                  <w:tcBorders>
                    <w:tl2br w:val="nil"/>
                    <w:tr2bl w:val="nil"/>
                  </w:tcBorders>
                  <w:vAlign w:val="center"/>
                </w:tcPr>
                <w:p w14:paraId="362BFFBC">
                  <w:pPr>
                    <w:pStyle w:val="3"/>
                    <w:bidi w:val="0"/>
                    <w:rPr>
                      <w:rFonts w:hint="default" w:ascii="Times New Roman" w:hAnsi="Times New Roman" w:cs="Times New Roman"/>
                      <w:color w:val="auto"/>
                      <w:lang w:eastAsia="zh-CN"/>
                    </w:rPr>
                  </w:pPr>
                  <w:r>
                    <w:rPr>
                      <w:rFonts w:hint="eastAsia" w:ascii="Times New Roman" w:hAnsi="Times New Roman" w:cs="Times New Roman"/>
                      <w:color w:val="auto"/>
                      <w:highlight w:val="none"/>
                      <w:lang w:eastAsia="zh-CN"/>
                    </w:rPr>
                    <w:t>油水混合</w:t>
                  </w:r>
                </w:p>
              </w:tc>
              <w:tc>
                <w:tcPr>
                  <w:tcW w:w="972" w:type="pct"/>
                  <w:tcBorders>
                    <w:tl2br w:val="nil"/>
                    <w:tr2bl w:val="nil"/>
                  </w:tcBorders>
                  <w:vAlign w:val="center"/>
                </w:tcPr>
                <w:p w14:paraId="757831A4">
                  <w:pPr>
                    <w:pStyle w:val="3"/>
                    <w:bidi w:val="0"/>
                    <w:rPr>
                      <w:rFonts w:hint="eastAsia"/>
                      <w:color w:val="auto"/>
                    </w:rPr>
                  </w:pPr>
                  <w:r>
                    <w:rPr>
                      <w:rFonts w:hint="eastAsia"/>
                      <w:color w:val="auto"/>
                    </w:rPr>
                    <w:t>脱胶混合器</w:t>
                  </w:r>
                </w:p>
              </w:tc>
              <w:tc>
                <w:tcPr>
                  <w:tcW w:w="1341" w:type="pct"/>
                  <w:tcBorders>
                    <w:tl2br w:val="nil"/>
                    <w:tr2bl w:val="nil"/>
                  </w:tcBorders>
                  <w:vAlign w:val="center"/>
                </w:tcPr>
                <w:p w14:paraId="43342EF2">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容积：12m</w:t>
                  </w:r>
                  <w:r>
                    <w:rPr>
                      <w:rFonts w:hint="eastAsia" w:ascii="Times New Roman" w:hAnsi="Times New Roman" w:eastAsia="宋体" w:cs="Times New Roman"/>
                      <w:color w:val="auto"/>
                      <w:vertAlign w:val="superscript"/>
                      <w:lang w:val="en-US" w:eastAsia="zh-CN"/>
                    </w:rPr>
                    <w:t>3</w:t>
                  </w:r>
                </w:p>
              </w:tc>
              <w:tc>
                <w:tcPr>
                  <w:tcW w:w="477" w:type="pct"/>
                  <w:tcBorders>
                    <w:tl2br w:val="nil"/>
                    <w:tr2bl w:val="nil"/>
                  </w:tcBorders>
                  <w:vAlign w:val="center"/>
                </w:tcPr>
                <w:p w14:paraId="062FE49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1台</w:t>
                  </w:r>
                </w:p>
              </w:tc>
              <w:tc>
                <w:tcPr>
                  <w:tcW w:w="478" w:type="pct"/>
                  <w:tcBorders>
                    <w:tl2br w:val="nil"/>
                    <w:tr2bl w:val="nil"/>
                  </w:tcBorders>
                  <w:vAlign w:val="center"/>
                </w:tcPr>
                <w:p w14:paraId="26EBCE4E">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新增</w:t>
                  </w:r>
                </w:p>
              </w:tc>
            </w:tr>
          </w:tbl>
          <w:p w14:paraId="1BBB9E0D">
            <w:pPr>
              <w:pStyle w:val="3"/>
              <w:bidi w:val="0"/>
              <w:rPr>
                <w:rFonts w:hint="default" w:ascii="Times New Roman" w:hAnsi="Times New Roman" w:cs="Times New Roman"/>
                <w:color w:val="auto"/>
              </w:rPr>
            </w:pPr>
          </w:p>
          <w:p w14:paraId="5C4F86C4">
            <w:pPr>
              <w:rPr>
                <w:rFonts w:hint="default" w:ascii="Times New Roman" w:hAnsi="Times New Roman" w:cs="Times New Roman"/>
                <w:color w:val="auto"/>
              </w:rPr>
            </w:pPr>
          </w:p>
          <w:p w14:paraId="6871DB6A">
            <w:pPr>
              <w:pStyle w:val="2"/>
              <w:rPr>
                <w:rFonts w:hint="default" w:ascii="Times New Roman" w:hAnsi="Times New Roman" w:cs="Times New Roman"/>
                <w:color w:val="auto"/>
              </w:rPr>
            </w:pPr>
          </w:p>
          <w:p w14:paraId="3636CBA3">
            <w:pPr>
              <w:rPr>
                <w:rFonts w:hint="default" w:ascii="Times New Roman" w:hAnsi="Times New Roman" w:cs="Times New Roman"/>
                <w:color w:val="auto"/>
              </w:rPr>
            </w:pPr>
          </w:p>
          <w:p w14:paraId="1933F8E6">
            <w:pPr>
              <w:pStyle w:val="2"/>
              <w:rPr>
                <w:rFonts w:hint="default"/>
                <w:color w:val="auto"/>
              </w:rPr>
            </w:pPr>
          </w:p>
          <w:p w14:paraId="2C70C201">
            <w:pPr>
              <w:pStyle w:val="3"/>
              <w:bidi w:val="0"/>
              <w:rPr>
                <w:rFonts w:hint="default" w:ascii="Times New Roman" w:hAnsi="Times New Roman" w:cs="Times New Roman"/>
                <w:color w:val="auto"/>
              </w:rPr>
            </w:pPr>
          </w:p>
          <w:p w14:paraId="7A30B0C1">
            <w:pPr>
              <w:pStyle w:val="3"/>
              <w:bidi w:val="0"/>
              <w:rPr>
                <w:rFonts w:hint="default" w:ascii="Times New Roman" w:hAnsi="Times New Roman" w:cs="Times New Roman"/>
                <w:color w:val="auto"/>
              </w:rPr>
            </w:pPr>
          </w:p>
          <w:p w14:paraId="7DA04CAB">
            <w:pPr>
              <w:adjustRightInd w:val="0"/>
              <w:snapToGrid w:val="0"/>
              <w:spacing w:line="360" w:lineRule="auto"/>
              <w:ind w:left="0" w:leftChars="0" w:firstLine="0" w:firstLineChars="0"/>
              <w:rPr>
                <w:rFonts w:hint="default" w:eastAsia="宋体"/>
                <w:color w:val="auto"/>
                <w:lang w:val="en-US" w:eastAsia="zh-CN"/>
              </w:rPr>
            </w:pPr>
          </w:p>
        </w:tc>
      </w:tr>
    </w:tbl>
    <w:p w14:paraId="4321E460">
      <w:pPr>
        <w:pStyle w:val="16"/>
        <w:ind w:left="0" w:leftChars="0" w:firstLine="0" w:firstLineChars="0"/>
        <w:jc w:val="both"/>
        <w:rPr>
          <w:rFonts w:ascii="黑体" w:hAnsi="黑体" w:eastAsia="黑体"/>
          <w:snapToGrid w:val="0"/>
          <w:color w:val="auto"/>
          <w:sz w:val="36"/>
          <w:szCs w:val="36"/>
        </w:rPr>
        <w:sectPr>
          <w:footerReference r:id="rId6"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1C4EEF9B">
      <w:pPr>
        <w:keepNext w:val="0"/>
        <w:keepLines w:val="0"/>
        <w:pageBreakBefore w:val="0"/>
        <w:widowControl w:val="0"/>
        <w:kinsoku/>
        <w:wordWrap/>
        <w:overflowPunct/>
        <w:topLinePunct w:val="0"/>
        <w:autoSpaceDE/>
        <w:autoSpaceDN/>
        <w:bidi w:val="0"/>
        <w:adjustRightInd/>
        <w:snapToGrid w:val="0"/>
        <w:spacing w:line="360" w:lineRule="auto"/>
        <w:ind w:firstLine="0" w:firstLineChars="0"/>
        <w:jc w:val="center"/>
        <w:textAlignment w:val="auto"/>
        <w:rPr>
          <w:rFonts w:hint="default" w:ascii="Times New Roman" w:hAnsi="Times New Roman" w:eastAsia="宋体" w:cs="Times New Roman"/>
          <w:bCs/>
          <w:snapToGrid w:val="0"/>
          <w:color w:val="auto"/>
          <w:kern w:val="0"/>
          <w:sz w:val="21"/>
          <w:szCs w:val="21"/>
          <w:highlight w:val="none"/>
        </w:rPr>
      </w:pPr>
      <w:r>
        <w:rPr>
          <w:rFonts w:hint="default" w:ascii="Times New Roman" w:hAnsi="Times New Roman" w:eastAsia="宋体" w:cs="Times New Roman"/>
          <w:bCs/>
          <w:snapToGrid w:val="0"/>
          <w:color w:val="auto"/>
          <w:kern w:val="0"/>
          <w:sz w:val="21"/>
          <w:szCs w:val="21"/>
          <w:highlight w:val="none"/>
        </w:rPr>
        <w:t>表</w:t>
      </w:r>
      <w:r>
        <w:rPr>
          <w:rFonts w:hint="eastAsia" w:ascii="Times New Roman" w:hAnsi="Times New Roman" w:eastAsia="宋体" w:cs="Times New Roman"/>
          <w:bCs/>
          <w:snapToGrid w:val="0"/>
          <w:color w:val="auto"/>
          <w:kern w:val="0"/>
          <w:sz w:val="21"/>
          <w:szCs w:val="21"/>
          <w:highlight w:val="none"/>
          <w:lang w:val="en-US" w:eastAsia="zh-CN"/>
        </w:rPr>
        <w:t>2.3-2</w:t>
      </w:r>
      <w:r>
        <w:rPr>
          <w:rFonts w:hint="eastAsia" w:eastAsia="宋体" w:cs="Times New Roman"/>
          <w:bCs/>
          <w:snapToGrid w:val="0"/>
          <w:color w:val="auto"/>
          <w:kern w:val="0"/>
          <w:sz w:val="21"/>
          <w:szCs w:val="21"/>
          <w:highlight w:val="none"/>
          <w:lang w:eastAsia="zh-CN"/>
        </w:rPr>
        <w:t>技改前后各生产线产品变化情况</w:t>
      </w:r>
      <w:r>
        <w:rPr>
          <w:rFonts w:hint="eastAsia" w:ascii="Times New Roman" w:hAnsi="Times New Roman" w:eastAsia="宋体" w:cs="Times New Roman"/>
          <w:bCs/>
          <w:snapToGrid w:val="0"/>
          <w:color w:val="auto"/>
          <w:kern w:val="0"/>
          <w:sz w:val="21"/>
          <w:szCs w:val="21"/>
          <w:highlight w:val="none"/>
        </w:rPr>
        <w:t>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1161"/>
        <w:gridCol w:w="970"/>
        <w:gridCol w:w="1385"/>
        <w:gridCol w:w="1162"/>
        <w:gridCol w:w="1315"/>
        <w:gridCol w:w="1315"/>
        <w:gridCol w:w="2736"/>
        <w:gridCol w:w="2639"/>
      </w:tblGrid>
      <w:tr w14:paraId="3B580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restart"/>
            <w:tcBorders>
              <w:tl2br w:val="nil"/>
              <w:tr2bl w:val="nil"/>
            </w:tcBorders>
            <w:vAlign w:val="center"/>
          </w:tcPr>
          <w:p w14:paraId="53743BCC">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snapToGrid w:val="0"/>
                <w:color w:val="auto"/>
                <w:sz w:val="21"/>
                <w:szCs w:val="21"/>
                <w:lang w:eastAsia="zh-CN"/>
              </w:rPr>
              <w:t>生产线</w:t>
            </w:r>
          </w:p>
        </w:tc>
        <w:tc>
          <w:tcPr>
            <w:tcW w:w="0" w:type="auto"/>
            <w:vMerge w:val="restart"/>
            <w:tcBorders>
              <w:tl2br w:val="nil"/>
              <w:tr2bl w:val="nil"/>
            </w:tcBorders>
            <w:vAlign w:val="center"/>
          </w:tcPr>
          <w:p w14:paraId="033DABEF">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原材料</w:t>
            </w:r>
          </w:p>
          <w:p w14:paraId="06F7C67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名称</w:t>
            </w:r>
          </w:p>
        </w:tc>
        <w:tc>
          <w:tcPr>
            <w:tcW w:w="0" w:type="auto"/>
            <w:vMerge w:val="restart"/>
            <w:tcBorders>
              <w:tl2br w:val="nil"/>
              <w:tr2bl w:val="nil"/>
            </w:tcBorders>
            <w:vAlign w:val="center"/>
          </w:tcPr>
          <w:p w14:paraId="6E807064">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加工能力</w:t>
            </w:r>
          </w:p>
        </w:tc>
        <w:tc>
          <w:tcPr>
            <w:tcW w:w="0" w:type="auto"/>
            <w:vMerge w:val="restart"/>
            <w:tcBorders>
              <w:tl2br w:val="nil"/>
              <w:tr2bl w:val="nil"/>
            </w:tcBorders>
            <w:vAlign w:val="center"/>
          </w:tcPr>
          <w:p w14:paraId="1B9F75C3">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产品名称</w:t>
            </w:r>
          </w:p>
        </w:tc>
        <w:tc>
          <w:tcPr>
            <w:tcW w:w="0" w:type="auto"/>
            <w:gridSpan w:val="2"/>
            <w:tcBorders>
              <w:tl2br w:val="nil"/>
              <w:tr2bl w:val="nil"/>
            </w:tcBorders>
            <w:vAlign w:val="center"/>
          </w:tcPr>
          <w:p w14:paraId="65FFE00E">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产出率</w:t>
            </w:r>
          </w:p>
        </w:tc>
        <w:tc>
          <w:tcPr>
            <w:tcW w:w="0" w:type="auto"/>
            <w:gridSpan w:val="2"/>
            <w:tcBorders>
              <w:tl2br w:val="nil"/>
              <w:tr2bl w:val="nil"/>
            </w:tcBorders>
            <w:vAlign w:val="center"/>
          </w:tcPr>
          <w:p w14:paraId="3D50BECF">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产量</w:t>
            </w:r>
          </w:p>
        </w:tc>
      </w:tr>
      <w:tr w14:paraId="1CBB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continue"/>
            <w:tcBorders>
              <w:tl2br w:val="nil"/>
              <w:tr2bl w:val="nil"/>
            </w:tcBorders>
            <w:vAlign w:val="center"/>
          </w:tcPr>
          <w:p w14:paraId="0955F516">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492F4D26">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3A9F3AA5">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52122370">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41403595">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改扩建前</w:t>
            </w:r>
          </w:p>
        </w:tc>
        <w:tc>
          <w:tcPr>
            <w:tcW w:w="0" w:type="auto"/>
            <w:tcBorders>
              <w:tl2br w:val="nil"/>
              <w:tr2bl w:val="nil"/>
            </w:tcBorders>
            <w:vAlign w:val="center"/>
          </w:tcPr>
          <w:p w14:paraId="1A2B623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改扩建后</w:t>
            </w:r>
          </w:p>
        </w:tc>
        <w:tc>
          <w:tcPr>
            <w:tcW w:w="0" w:type="auto"/>
            <w:tcBorders>
              <w:tl2br w:val="nil"/>
              <w:tr2bl w:val="nil"/>
            </w:tcBorders>
            <w:vAlign w:val="center"/>
          </w:tcPr>
          <w:p w14:paraId="3505C068">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改扩建前</w:t>
            </w:r>
          </w:p>
        </w:tc>
        <w:tc>
          <w:tcPr>
            <w:tcW w:w="0" w:type="auto"/>
            <w:tcBorders>
              <w:tl2br w:val="nil"/>
              <w:tr2bl w:val="nil"/>
            </w:tcBorders>
            <w:vAlign w:val="center"/>
          </w:tcPr>
          <w:p w14:paraId="5510DDF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改扩建后</w:t>
            </w:r>
          </w:p>
        </w:tc>
      </w:tr>
      <w:tr w14:paraId="0D4E6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restart"/>
            <w:tcBorders>
              <w:tl2br w:val="nil"/>
              <w:tr2bl w:val="nil"/>
            </w:tcBorders>
            <w:vAlign w:val="center"/>
          </w:tcPr>
          <w:p w14:paraId="10D7CB75">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r>
              <w:rPr>
                <w:rFonts w:hint="eastAsia" w:ascii="Times New Roman" w:hAnsi="Times New Roman"/>
                <w:snapToGrid w:val="0"/>
                <w:color w:val="auto"/>
                <w:sz w:val="21"/>
                <w:szCs w:val="21"/>
                <w:lang w:eastAsia="zh-CN"/>
              </w:rPr>
              <w:t>预处理线</w:t>
            </w:r>
          </w:p>
        </w:tc>
        <w:tc>
          <w:tcPr>
            <w:tcW w:w="0" w:type="auto"/>
            <w:vMerge w:val="restart"/>
            <w:tcBorders>
              <w:tl2br w:val="nil"/>
              <w:tr2bl w:val="nil"/>
            </w:tcBorders>
            <w:vAlign w:val="center"/>
          </w:tcPr>
          <w:p w14:paraId="46231E92">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cs="Times New Roman"/>
                <w:snapToGrid w:val="0"/>
                <w:color w:val="auto"/>
                <w:sz w:val="21"/>
                <w:szCs w:val="21"/>
                <w:highlight w:val="none"/>
                <w:lang w:eastAsia="zh-CN"/>
              </w:rPr>
              <w:t>大豆</w:t>
            </w:r>
          </w:p>
        </w:tc>
        <w:tc>
          <w:tcPr>
            <w:tcW w:w="0" w:type="auto"/>
            <w:vMerge w:val="restart"/>
            <w:tcBorders>
              <w:tl2br w:val="nil"/>
              <w:tr2bl w:val="nil"/>
            </w:tcBorders>
            <w:vAlign w:val="center"/>
          </w:tcPr>
          <w:p w14:paraId="056AA1B6">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6000吨/天</w:t>
            </w:r>
          </w:p>
        </w:tc>
        <w:tc>
          <w:tcPr>
            <w:tcW w:w="0" w:type="auto"/>
            <w:tcBorders>
              <w:tl2br w:val="nil"/>
              <w:tr2bl w:val="nil"/>
            </w:tcBorders>
            <w:vAlign w:val="center"/>
          </w:tcPr>
          <w:p w14:paraId="0BFF5986">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胚片</w:t>
            </w:r>
          </w:p>
        </w:tc>
        <w:tc>
          <w:tcPr>
            <w:tcW w:w="0" w:type="auto"/>
            <w:tcBorders>
              <w:tl2br w:val="nil"/>
              <w:tr2bl w:val="nil"/>
            </w:tcBorders>
            <w:vAlign w:val="center"/>
          </w:tcPr>
          <w:p w14:paraId="4E748FA3">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88%</w:t>
            </w:r>
          </w:p>
        </w:tc>
        <w:tc>
          <w:tcPr>
            <w:tcW w:w="0" w:type="auto"/>
            <w:vMerge w:val="restart"/>
            <w:tcBorders>
              <w:tl2br w:val="nil"/>
              <w:tr2bl w:val="nil"/>
            </w:tcBorders>
            <w:vAlign w:val="center"/>
          </w:tcPr>
          <w:p w14:paraId="47A02BDC">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不变</w:t>
            </w:r>
          </w:p>
        </w:tc>
        <w:tc>
          <w:tcPr>
            <w:tcW w:w="0" w:type="auto"/>
            <w:tcBorders>
              <w:tl2br w:val="nil"/>
              <w:tr2bl w:val="nil"/>
            </w:tcBorders>
            <w:vAlign w:val="center"/>
          </w:tcPr>
          <w:p w14:paraId="7A16328B">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5280吨/天，158.4万吨/年</w:t>
            </w:r>
          </w:p>
        </w:tc>
        <w:tc>
          <w:tcPr>
            <w:tcW w:w="0" w:type="auto"/>
            <w:vMerge w:val="restart"/>
            <w:tcBorders>
              <w:tl2br w:val="nil"/>
              <w:tr2bl w:val="nil"/>
            </w:tcBorders>
            <w:vAlign w:val="center"/>
          </w:tcPr>
          <w:p w14:paraId="13D4E7FE">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不变</w:t>
            </w:r>
          </w:p>
        </w:tc>
      </w:tr>
      <w:tr w14:paraId="6D03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gridSpan w:val="2"/>
            <w:vMerge w:val="continue"/>
            <w:tcBorders>
              <w:tl2br w:val="nil"/>
              <w:tr2bl w:val="nil"/>
            </w:tcBorders>
            <w:vAlign w:val="center"/>
          </w:tcPr>
          <w:p w14:paraId="19B5E39C">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5443670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2999B5D8">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30A01786">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豆皮</w:t>
            </w:r>
            <w:r>
              <w:rPr>
                <w:rFonts w:hint="eastAsia" w:ascii="Times New Roman" w:hAnsi="Times New Roman"/>
                <w:color w:val="auto"/>
                <w:sz w:val="21"/>
                <w:szCs w:val="21"/>
                <w:lang w:val="en-US" w:eastAsia="zh-CN"/>
              </w:rPr>
              <w:t>*</w:t>
            </w:r>
          </w:p>
        </w:tc>
        <w:tc>
          <w:tcPr>
            <w:tcW w:w="0" w:type="auto"/>
            <w:tcBorders>
              <w:tl2br w:val="nil"/>
              <w:tr2bl w:val="nil"/>
            </w:tcBorders>
            <w:vAlign w:val="center"/>
          </w:tcPr>
          <w:p w14:paraId="515A8A79">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9.5%</w:t>
            </w:r>
          </w:p>
        </w:tc>
        <w:tc>
          <w:tcPr>
            <w:tcW w:w="0" w:type="auto"/>
            <w:vMerge w:val="continue"/>
            <w:tcBorders>
              <w:tl2br w:val="nil"/>
              <w:tr2bl w:val="nil"/>
            </w:tcBorders>
            <w:vAlign w:val="center"/>
          </w:tcPr>
          <w:p w14:paraId="1ACB8762">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c>
          <w:tcPr>
            <w:tcW w:w="0" w:type="auto"/>
            <w:tcBorders>
              <w:tl2br w:val="nil"/>
              <w:tr2bl w:val="nil"/>
            </w:tcBorders>
            <w:vAlign w:val="center"/>
          </w:tcPr>
          <w:p w14:paraId="0A2387D7">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570吨/天，17.1万吨/年</w:t>
            </w:r>
          </w:p>
        </w:tc>
        <w:tc>
          <w:tcPr>
            <w:tcW w:w="0" w:type="auto"/>
            <w:vMerge w:val="continue"/>
            <w:tcBorders>
              <w:tl2br w:val="nil"/>
              <w:tr2bl w:val="nil"/>
            </w:tcBorders>
            <w:vAlign w:val="center"/>
          </w:tcPr>
          <w:p w14:paraId="1998C98B">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r>
      <w:tr w14:paraId="3971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gridSpan w:val="2"/>
            <w:vMerge w:val="continue"/>
            <w:tcBorders>
              <w:tl2br w:val="nil"/>
              <w:tr2bl w:val="nil"/>
            </w:tcBorders>
            <w:vAlign w:val="center"/>
          </w:tcPr>
          <w:p w14:paraId="2B25B4D6">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4F708672">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37A0C102">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05E8F9D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杂质</w:t>
            </w:r>
          </w:p>
        </w:tc>
        <w:tc>
          <w:tcPr>
            <w:tcW w:w="0" w:type="auto"/>
            <w:tcBorders>
              <w:tl2br w:val="nil"/>
              <w:tr2bl w:val="nil"/>
            </w:tcBorders>
            <w:vAlign w:val="center"/>
          </w:tcPr>
          <w:p w14:paraId="0D671E06">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2.4%</w:t>
            </w:r>
          </w:p>
        </w:tc>
        <w:tc>
          <w:tcPr>
            <w:tcW w:w="0" w:type="auto"/>
            <w:vMerge w:val="continue"/>
            <w:tcBorders>
              <w:tl2br w:val="nil"/>
              <w:tr2bl w:val="nil"/>
            </w:tcBorders>
            <w:shd w:val="clear" w:color="auto" w:fill="auto"/>
            <w:vAlign w:val="center"/>
          </w:tcPr>
          <w:p w14:paraId="648CC7FB">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c>
          <w:tcPr>
            <w:tcW w:w="0" w:type="auto"/>
            <w:tcBorders>
              <w:tl2br w:val="nil"/>
              <w:tr2bl w:val="nil"/>
            </w:tcBorders>
            <w:shd w:val="clear" w:color="auto" w:fill="auto"/>
            <w:vAlign w:val="center"/>
          </w:tcPr>
          <w:p w14:paraId="1EB0E066">
            <w:pPr>
              <w:pStyle w:val="35"/>
              <w:spacing w:line="240" w:lineRule="auto"/>
              <w:ind w:firstLine="0" w:firstLineChars="0"/>
              <w:jc w:val="center"/>
              <w:outlineLvl w:val="9"/>
              <w:rPr>
                <w:rFonts w:hint="eastAsia" w:ascii="Times New Roman" w:hAnsi="Times New Roman" w:eastAsia="宋体" w:cs="Times New Roman"/>
                <w:snapToGrid w:val="0"/>
                <w:color w:val="auto"/>
                <w:kern w:val="2"/>
                <w:sz w:val="21"/>
                <w:szCs w:val="21"/>
                <w:lang w:val="en-US" w:eastAsia="zh-CN" w:bidi="ar-SA"/>
              </w:rPr>
            </w:pPr>
            <w:r>
              <w:rPr>
                <w:rFonts w:hint="eastAsia" w:ascii="Times New Roman" w:hAnsi="Times New Roman" w:eastAsia="宋体"/>
                <w:snapToGrid w:val="0"/>
                <w:color w:val="auto"/>
                <w:sz w:val="21"/>
                <w:szCs w:val="21"/>
                <w:lang w:val="en-US" w:eastAsia="zh-CN"/>
              </w:rPr>
              <w:t>126.7t吨/天，38016吨/年</w:t>
            </w:r>
          </w:p>
        </w:tc>
        <w:tc>
          <w:tcPr>
            <w:tcW w:w="0" w:type="auto"/>
            <w:vMerge w:val="continue"/>
            <w:tcBorders>
              <w:tl2br w:val="nil"/>
              <w:tr2bl w:val="nil"/>
            </w:tcBorders>
            <w:shd w:val="clear" w:color="auto" w:fill="auto"/>
            <w:vAlign w:val="center"/>
          </w:tcPr>
          <w:p w14:paraId="1CF332D8">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r>
      <w:tr w14:paraId="5610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restart"/>
            <w:tcBorders>
              <w:tl2br w:val="nil"/>
              <w:tr2bl w:val="nil"/>
            </w:tcBorders>
            <w:vAlign w:val="center"/>
          </w:tcPr>
          <w:p w14:paraId="431AFCE3">
            <w:pPr>
              <w:pStyle w:val="35"/>
              <w:spacing w:line="240" w:lineRule="auto"/>
              <w:ind w:firstLine="0" w:firstLineChars="0"/>
              <w:jc w:val="center"/>
              <w:outlineLvl w:val="9"/>
              <w:rPr>
                <w:rFonts w:hint="default" w:ascii="Times New Roman" w:hAnsi="Times New Roman"/>
                <w:snapToGrid w:val="0"/>
                <w:color w:val="auto"/>
                <w:sz w:val="21"/>
                <w:szCs w:val="21"/>
                <w:lang w:val="en-US" w:eastAsia="zh-CN"/>
              </w:rPr>
            </w:pPr>
            <w:r>
              <w:rPr>
                <w:rFonts w:hint="eastAsia" w:ascii="Times New Roman" w:hAnsi="Times New Roman"/>
                <w:snapToGrid w:val="0"/>
                <w:color w:val="auto"/>
                <w:sz w:val="21"/>
                <w:szCs w:val="21"/>
                <w:lang w:val="en-US" w:eastAsia="zh-CN"/>
              </w:rPr>
              <w:t>浸出线</w:t>
            </w:r>
          </w:p>
        </w:tc>
        <w:tc>
          <w:tcPr>
            <w:tcW w:w="0" w:type="auto"/>
            <w:vMerge w:val="restart"/>
            <w:tcBorders>
              <w:tl2br w:val="nil"/>
              <w:tr2bl w:val="nil"/>
            </w:tcBorders>
            <w:vAlign w:val="center"/>
          </w:tcPr>
          <w:p w14:paraId="11BF5AC2">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val="en-US" w:eastAsia="zh-CN"/>
              </w:rPr>
              <w:t>胚片</w:t>
            </w:r>
          </w:p>
        </w:tc>
        <w:tc>
          <w:tcPr>
            <w:tcW w:w="0" w:type="auto"/>
            <w:vMerge w:val="restart"/>
            <w:tcBorders>
              <w:tl2br w:val="nil"/>
              <w:tr2bl w:val="nil"/>
            </w:tcBorders>
            <w:vAlign w:val="center"/>
          </w:tcPr>
          <w:p w14:paraId="2409A8CF">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5280吨/天</w:t>
            </w:r>
          </w:p>
        </w:tc>
        <w:tc>
          <w:tcPr>
            <w:tcW w:w="0" w:type="auto"/>
            <w:tcBorders>
              <w:tl2br w:val="nil"/>
              <w:tr2bl w:val="nil"/>
            </w:tcBorders>
            <w:vAlign w:val="center"/>
          </w:tcPr>
          <w:p w14:paraId="188F1304">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毛油</w:t>
            </w:r>
          </w:p>
        </w:tc>
        <w:tc>
          <w:tcPr>
            <w:tcW w:w="0" w:type="auto"/>
            <w:tcBorders>
              <w:tl2br w:val="nil"/>
              <w:tr2bl w:val="nil"/>
            </w:tcBorders>
            <w:vAlign w:val="center"/>
          </w:tcPr>
          <w:p w14:paraId="7D440528">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20%</w:t>
            </w:r>
          </w:p>
        </w:tc>
        <w:tc>
          <w:tcPr>
            <w:tcW w:w="0" w:type="auto"/>
            <w:vMerge w:val="continue"/>
            <w:tcBorders>
              <w:tl2br w:val="nil"/>
              <w:tr2bl w:val="nil"/>
            </w:tcBorders>
            <w:vAlign w:val="center"/>
          </w:tcPr>
          <w:p w14:paraId="621D0A75">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c>
          <w:tcPr>
            <w:tcW w:w="0" w:type="auto"/>
            <w:tcBorders>
              <w:tl2br w:val="nil"/>
              <w:tr2bl w:val="nil"/>
            </w:tcBorders>
            <w:vAlign w:val="center"/>
          </w:tcPr>
          <w:p w14:paraId="2DBB1EE4">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1056吨/天，31.68万吨/年</w:t>
            </w:r>
          </w:p>
        </w:tc>
        <w:tc>
          <w:tcPr>
            <w:tcW w:w="0" w:type="auto"/>
            <w:vMerge w:val="continue"/>
            <w:tcBorders>
              <w:tl2br w:val="nil"/>
              <w:tr2bl w:val="nil"/>
            </w:tcBorders>
            <w:vAlign w:val="center"/>
          </w:tcPr>
          <w:p w14:paraId="6D4CEE0A">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r>
      <w:tr w14:paraId="44AB6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continue"/>
            <w:tcBorders>
              <w:tl2br w:val="nil"/>
              <w:tr2bl w:val="nil"/>
            </w:tcBorders>
            <w:vAlign w:val="center"/>
          </w:tcPr>
          <w:p w14:paraId="00387B8D">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1903E81B">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2D54D061">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0F31EEC7">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豆粕</w:t>
            </w:r>
            <w:r>
              <w:rPr>
                <w:rFonts w:hint="eastAsia" w:ascii="Times New Roman" w:hAnsi="Times New Roman"/>
                <w:color w:val="auto"/>
                <w:sz w:val="21"/>
                <w:szCs w:val="21"/>
                <w:lang w:val="en-US" w:eastAsia="zh-CN"/>
              </w:rPr>
              <w:t>*</w:t>
            </w:r>
          </w:p>
        </w:tc>
        <w:tc>
          <w:tcPr>
            <w:tcW w:w="0" w:type="auto"/>
            <w:tcBorders>
              <w:tl2br w:val="nil"/>
              <w:tr2bl w:val="nil"/>
            </w:tcBorders>
            <w:vAlign w:val="center"/>
          </w:tcPr>
          <w:p w14:paraId="5CEA8D9B">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80%</w:t>
            </w:r>
          </w:p>
        </w:tc>
        <w:tc>
          <w:tcPr>
            <w:tcW w:w="0" w:type="auto"/>
            <w:vMerge w:val="continue"/>
            <w:tcBorders>
              <w:tl2br w:val="nil"/>
              <w:tr2bl w:val="nil"/>
            </w:tcBorders>
            <w:vAlign w:val="center"/>
          </w:tcPr>
          <w:p w14:paraId="28C0D485">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c>
          <w:tcPr>
            <w:tcW w:w="0" w:type="auto"/>
            <w:tcBorders>
              <w:tl2br w:val="nil"/>
              <w:tr2bl w:val="nil"/>
            </w:tcBorders>
            <w:vAlign w:val="center"/>
          </w:tcPr>
          <w:p w14:paraId="1FE241DF">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val="en-US" w:eastAsia="zh-CN"/>
              </w:rPr>
              <w:t>4224吨/天，126.72万吨/年</w:t>
            </w:r>
          </w:p>
        </w:tc>
        <w:tc>
          <w:tcPr>
            <w:tcW w:w="0" w:type="auto"/>
            <w:vMerge w:val="continue"/>
            <w:tcBorders>
              <w:tl2br w:val="nil"/>
              <w:tr2bl w:val="nil"/>
            </w:tcBorders>
            <w:vAlign w:val="center"/>
          </w:tcPr>
          <w:p w14:paraId="5E17ABC7">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p>
        </w:tc>
      </w:tr>
      <w:tr w14:paraId="1E30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0" w:type="auto"/>
            <w:vMerge w:val="restart"/>
            <w:tcBorders>
              <w:tl2br w:val="nil"/>
              <w:tr2bl w:val="nil"/>
            </w:tcBorders>
            <w:vAlign w:val="center"/>
          </w:tcPr>
          <w:p w14:paraId="104EBA36">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r>
              <w:rPr>
                <w:rFonts w:hint="eastAsia" w:ascii="Times New Roman" w:hAnsi="Times New Roman"/>
                <w:snapToGrid w:val="0"/>
                <w:color w:val="auto"/>
                <w:sz w:val="21"/>
                <w:szCs w:val="21"/>
                <w:lang w:eastAsia="zh-CN"/>
              </w:rPr>
              <w:t>精炼线</w:t>
            </w:r>
          </w:p>
        </w:tc>
        <w:tc>
          <w:tcPr>
            <w:tcW w:w="0" w:type="auto"/>
            <w:vMerge w:val="restart"/>
            <w:tcBorders>
              <w:tl2br w:val="nil"/>
              <w:tr2bl w:val="nil"/>
            </w:tcBorders>
            <w:vAlign w:val="center"/>
          </w:tcPr>
          <w:p w14:paraId="0E0B4EFE">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r>
              <w:rPr>
                <w:rFonts w:hint="eastAsia" w:ascii="Times New Roman" w:hAnsi="Times New Roman"/>
                <w:snapToGrid w:val="0"/>
                <w:color w:val="auto"/>
                <w:sz w:val="21"/>
                <w:szCs w:val="21"/>
                <w:lang w:eastAsia="zh-CN"/>
              </w:rPr>
              <w:t>主线</w:t>
            </w:r>
          </w:p>
        </w:tc>
        <w:tc>
          <w:tcPr>
            <w:tcW w:w="0" w:type="auto"/>
            <w:tcBorders>
              <w:tl2br w:val="nil"/>
              <w:tr2bl w:val="nil"/>
            </w:tcBorders>
            <w:vAlign w:val="center"/>
          </w:tcPr>
          <w:p w14:paraId="14ED87DE">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毛油</w:t>
            </w:r>
          </w:p>
        </w:tc>
        <w:tc>
          <w:tcPr>
            <w:tcW w:w="0" w:type="auto"/>
            <w:vMerge w:val="restart"/>
            <w:tcBorders>
              <w:tl2br w:val="nil"/>
              <w:tr2bl w:val="nil"/>
            </w:tcBorders>
            <w:vAlign w:val="center"/>
          </w:tcPr>
          <w:p w14:paraId="4F54C36D">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1092吨/天</w:t>
            </w:r>
          </w:p>
        </w:tc>
        <w:tc>
          <w:tcPr>
            <w:tcW w:w="0" w:type="auto"/>
            <w:vMerge w:val="restart"/>
            <w:tcBorders>
              <w:tl2br w:val="nil"/>
              <w:tr2bl w:val="nil"/>
            </w:tcBorders>
            <w:vAlign w:val="center"/>
          </w:tcPr>
          <w:p w14:paraId="0CF54D19">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大豆油</w:t>
            </w:r>
          </w:p>
        </w:tc>
        <w:tc>
          <w:tcPr>
            <w:tcW w:w="0" w:type="auto"/>
            <w:tcBorders>
              <w:tl2br w:val="nil"/>
              <w:tr2bl w:val="nil"/>
            </w:tcBorders>
            <w:vAlign w:val="center"/>
          </w:tcPr>
          <w:p w14:paraId="05254629">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94%</w:t>
            </w:r>
          </w:p>
        </w:tc>
        <w:tc>
          <w:tcPr>
            <w:tcW w:w="0" w:type="auto"/>
            <w:vMerge w:val="restart"/>
            <w:tcBorders>
              <w:tl2br w:val="nil"/>
              <w:tr2bl w:val="nil"/>
            </w:tcBorders>
            <w:vAlign w:val="center"/>
          </w:tcPr>
          <w:p w14:paraId="048EE21A">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不变</w:t>
            </w:r>
          </w:p>
        </w:tc>
        <w:tc>
          <w:tcPr>
            <w:tcW w:w="0" w:type="auto"/>
            <w:tcBorders>
              <w:tl2br w:val="nil"/>
              <w:tr2bl w:val="nil"/>
            </w:tcBorders>
            <w:vAlign w:val="center"/>
          </w:tcPr>
          <w:p w14:paraId="03EF9DED">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1027</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30.292万</w:t>
            </w:r>
            <w:r>
              <w:rPr>
                <w:rFonts w:hint="eastAsia" w:ascii="Times New Roman" w:hAnsi="Times New Roman" w:eastAsia="宋体"/>
                <w:snapToGrid w:val="0"/>
                <w:color w:val="auto"/>
                <w:sz w:val="21"/>
                <w:szCs w:val="21"/>
                <w:lang w:val="en-US" w:eastAsia="zh-CN"/>
              </w:rPr>
              <w:t>吨/年</w:t>
            </w:r>
          </w:p>
        </w:tc>
        <w:tc>
          <w:tcPr>
            <w:tcW w:w="0" w:type="auto"/>
            <w:vMerge w:val="restart"/>
            <w:tcBorders>
              <w:tl2br w:val="nil"/>
              <w:tr2bl w:val="nil"/>
            </w:tcBorders>
            <w:vAlign w:val="center"/>
          </w:tcPr>
          <w:p w14:paraId="017B9F46">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不变</w:t>
            </w:r>
          </w:p>
        </w:tc>
      </w:tr>
      <w:tr w14:paraId="3EA3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3A276C2D">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753BDB93">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tcBorders>
              <w:tl2br w:val="nil"/>
              <w:tr2bl w:val="nil"/>
            </w:tcBorders>
            <w:vAlign w:val="center"/>
          </w:tcPr>
          <w:p w14:paraId="7656919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val="en-US" w:eastAsia="zh-CN"/>
              </w:rPr>
              <w:t>脱胶油</w:t>
            </w:r>
          </w:p>
        </w:tc>
        <w:tc>
          <w:tcPr>
            <w:tcW w:w="0" w:type="auto"/>
            <w:vMerge w:val="continue"/>
            <w:tcBorders>
              <w:tl2br w:val="nil"/>
              <w:tr2bl w:val="nil"/>
            </w:tcBorders>
            <w:vAlign w:val="center"/>
          </w:tcPr>
          <w:p w14:paraId="03EC68A3">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655A03AC">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p>
        </w:tc>
        <w:tc>
          <w:tcPr>
            <w:tcW w:w="0" w:type="auto"/>
            <w:tcBorders>
              <w:tl2br w:val="nil"/>
              <w:tr2bl w:val="nil"/>
            </w:tcBorders>
            <w:vAlign w:val="center"/>
          </w:tcPr>
          <w:p w14:paraId="27123074">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96.5%</w:t>
            </w:r>
          </w:p>
        </w:tc>
        <w:tc>
          <w:tcPr>
            <w:tcW w:w="0" w:type="auto"/>
            <w:vMerge w:val="continue"/>
            <w:tcBorders>
              <w:tl2br w:val="nil"/>
              <w:tr2bl w:val="nil"/>
            </w:tcBorders>
            <w:vAlign w:val="center"/>
          </w:tcPr>
          <w:p w14:paraId="24BFB159">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p>
        </w:tc>
        <w:tc>
          <w:tcPr>
            <w:tcW w:w="0" w:type="auto"/>
            <w:tcBorders>
              <w:tl2br w:val="nil"/>
              <w:tr2bl w:val="nil"/>
            </w:tcBorders>
            <w:vAlign w:val="center"/>
          </w:tcPr>
          <w:p w14:paraId="2EC88327">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1054</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5271万</w:t>
            </w:r>
            <w:r>
              <w:rPr>
                <w:rFonts w:hint="eastAsia" w:ascii="Times New Roman" w:hAnsi="Times New Roman" w:eastAsia="宋体"/>
                <w:snapToGrid w:val="0"/>
                <w:color w:val="auto"/>
                <w:sz w:val="21"/>
                <w:szCs w:val="21"/>
                <w:lang w:val="en-US" w:eastAsia="zh-CN"/>
              </w:rPr>
              <w:t>吨/年</w:t>
            </w:r>
          </w:p>
        </w:tc>
        <w:tc>
          <w:tcPr>
            <w:tcW w:w="0" w:type="auto"/>
            <w:vMerge w:val="continue"/>
            <w:tcBorders>
              <w:tl2br w:val="nil"/>
              <w:tr2bl w:val="nil"/>
            </w:tcBorders>
            <w:vAlign w:val="center"/>
          </w:tcPr>
          <w:p w14:paraId="48B3669A">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p>
        </w:tc>
      </w:tr>
      <w:tr w14:paraId="5ECC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3D9895DB">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4F0EF8FF">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tcBorders>
              <w:tl2br w:val="nil"/>
              <w:tr2bl w:val="nil"/>
            </w:tcBorders>
            <w:vAlign w:val="center"/>
          </w:tcPr>
          <w:p w14:paraId="6A8E54DD">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合计</w:t>
            </w:r>
          </w:p>
        </w:tc>
        <w:tc>
          <w:tcPr>
            <w:tcW w:w="0" w:type="auto"/>
            <w:vMerge w:val="continue"/>
            <w:tcBorders>
              <w:tl2br w:val="nil"/>
              <w:tr2bl w:val="nil"/>
            </w:tcBorders>
            <w:vAlign w:val="center"/>
          </w:tcPr>
          <w:p w14:paraId="259DBD2A">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3CD5135C">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p>
        </w:tc>
        <w:tc>
          <w:tcPr>
            <w:tcW w:w="0" w:type="auto"/>
            <w:tcBorders>
              <w:tl2br w:val="nil"/>
              <w:tr2bl w:val="nil"/>
            </w:tcBorders>
            <w:vAlign w:val="center"/>
          </w:tcPr>
          <w:p w14:paraId="720C31F5">
            <w:pPr>
              <w:pStyle w:val="35"/>
              <w:spacing w:line="240" w:lineRule="auto"/>
              <w:ind w:firstLine="0" w:firstLineChars="0"/>
              <w:jc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0" w:type="auto"/>
            <w:vMerge w:val="continue"/>
            <w:tcBorders>
              <w:tl2br w:val="nil"/>
              <w:tr2bl w:val="nil"/>
            </w:tcBorders>
            <w:vAlign w:val="center"/>
          </w:tcPr>
          <w:p w14:paraId="49A4860F">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p>
        </w:tc>
        <w:tc>
          <w:tcPr>
            <w:tcW w:w="0" w:type="auto"/>
            <w:tcBorders>
              <w:tl2br w:val="nil"/>
              <w:tr2bl w:val="nil"/>
            </w:tcBorders>
            <w:vAlign w:val="center"/>
          </w:tcPr>
          <w:p w14:paraId="7237D150">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1027</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30.82万</w:t>
            </w:r>
            <w:r>
              <w:rPr>
                <w:rFonts w:hint="eastAsia" w:ascii="Times New Roman" w:hAnsi="Times New Roman" w:eastAsia="宋体"/>
                <w:snapToGrid w:val="0"/>
                <w:color w:val="auto"/>
                <w:sz w:val="21"/>
                <w:szCs w:val="21"/>
                <w:lang w:val="en-US" w:eastAsia="zh-CN"/>
              </w:rPr>
              <w:t>吨/年</w:t>
            </w:r>
          </w:p>
        </w:tc>
        <w:tc>
          <w:tcPr>
            <w:tcW w:w="0" w:type="auto"/>
            <w:vMerge w:val="continue"/>
            <w:tcBorders>
              <w:tl2br w:val="nil"/>
              <w:tr2bl w:val="nil"/>
            </w:tcBorders>
            <w:vAlign w:val="center"/>
          </w:tcPr>
          <w:p w14:paraId="332196EB">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p>
        </w:tc>
      </w:tr>
      <w:tr w14:paraId="282E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3325F41E">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50F906F8">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tcBorders>
              <w:tl2br w:val="nil"/>
              <w:tr2bl w:val="nil"/>
            </w:tcBorders>
            <w:vAlign w:val="center"/>
          </w:tcPr>
          <w:p w14:paraId="30635755">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val="en-US" w:eastAsia="zh-CN"/>
              </w:rPr>
              <w:t>毛油</w:t>
            </w:r>
          </w:p>
        </w:tc>
        <w:tc>
          <w:tcPr>
            <w:tcW w:w="0" w:type="auto"/>
            <w:vMerge w:val="continue"/>
            <w:tcBorders>
              <w:tl2br w:val="nil"/>
              <w:tr2bl w:val="nil"/>
            </w:tcBorders>
            <w:vAlign w:val="center"/>
          </w:tcPr>
          <w:p w14:paraId="58A8529B">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restart"/>
            <w:tcBorders>
              <w:tl2br w:val="nil"/>
              <w:tr2bl w:val="nil"/>
            </w:tcBorders>
            <w:vAlign w:val="center"/>
          </w:tcPr>
          <w:p w14:paraId="7AF48841">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皂脚</w:t>
            </w:r>
          </w:p>
        </w:tc>
        <w:tc>
          <w:tcPr>
            <w:tcW w:w="0" w:type="auto"/>
            <w:tcBorders>
              <w:tl2br w:val="nil"/>
              <w:tr2bl w:val="nil"/>
            </w:tcBorders>
            <w:vAlign w:val="center"/>
          </w:tcPr>
          <w:p w14:paraId="7B39E64B">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5.5%</w:t>
            </w:r>
          </w:p>
        </w:tc>
        <w:tc>
          <w:tcPr>
            <w:tcW w:w="0" w:type="auto"/>
            <w:tcBorders>
              <w:tl2br w:val="nil"/>
              <w:tr2bl w:val="nil"/>
            </w:tcBorders>
            <w:vAlign w:val="center"/>
          </w:tcPr>
          <w:p w14:paraId="601F87BB">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3.0%</w:t>
            </w:r>
          </w:p>
        </w:tc>
        <w:tc>
          <w:tcPr>
            <w:tcW w:w="0" w:type="auto"/>
            <w:tcBorders>
              <w:tl2br w:val="nil"/>
              <w:tr2bl w:val="nil"/>
            </w:tcBorders>
            <w:vAlign w:val="center"/>
          </w:tcPr>
          <w:p w14:paraId="435BA288">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64.6</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，19046</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31B9DFBE">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37</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10908</w:t>
            </w:r>
            <w:r>
              <w:rPr>
                <w:rFonts w:hint="eastAsia" w:ascii="Times New Roman" w:hAnsi="Times New Roman" w:eastAsia="宋体"/>
                <w:snapToGrid w:val="0"/>
                <w:color w:val="auto"/>
                <w:sz w:val="21"/>
                <w:szCs w:val="21"/>
                <w:lang w:val="en-US" w:eastAsia="zh-CN"/>
              </w:rPr>
              <w:t>吨/年</w:t>
            </w:r>
          </w:p>
        </w:tc>
      </w:tr>
      <w:tr w14:paraId="672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04544014">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3DB98730">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tcBorders>
              <w:tl2br w:val="nil"/>
              <w:tr2bl w:val="nil"/>
            </w:tcBorders>
            <w:vAlign w:val="center"/>
          </w:tcPr>
          <w:p w14:paraId="75960DDB">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val="en-US" w:eastAsia="zh-CN"/>
              </w:rPr>
              <w:t>脱胶油</w:t>
            </w:r>
          </w:p>
        </w:tc>
        <w:tc>
          <w:tcPr>
            <w:tcW w:w="0" w:type="auto"/>
            <w:vMerge w:val="continue"/>
            <w:tcBorders>
              <w:tl2br w:val="nil"/>
              <w:tr2bl w:val="nil"/>
            </w:tcBorders>
            <w:vAlign w:val="center"/>
          </w:tcPr>
          <w:p w14:paraId="63ADE96A">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58A2AE6D">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485D94E2">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3.0%</w:t>
            </w:r>
          </w:p>
        </w:tc>
        <w:tc>
          <w:tcPr>
            <w:tcW w:w="0" w:type="auto"/>
            <w:tcBorders>
              <w:tl2br w:val="nil"/>
              <w:tr2bl w:val="nil"/>
            </w:tcBorders>
            <w:vAlign w:val="center"/>
          </w:tcPr>
          <w:p w14:paraId="3B4D5858">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3.0%</w:t>
            </w:r>
          </w:p>
        </w:tc>
        <w:tc>
          <w:tcPr>
            <w:tcW w:w="0" w:type="auto"/>
            <w:tcBorders>
              <w:tl2br w:val="nil"/>
              <w:tr2bl w:val="nil"/>
            </w:tcBorders>
            <w:vAlign w:val="center"/>
          </w:tcPr>
          <w:p w14:paraId="53288416">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37</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185</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59D8C1AD">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37</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185</w:t>
            </w:r>
            <w:r>
              <w:rPr>
                <w:rFonts w:hint="eastAsia" w:ascii="Times New Roman" w:hAnsi="Times New Roman" w:eastAsia="宋体"/>
                <w:snapToGrid w:val="0"/>
                <w:color w:val="auto"/>
                <w:sz w:val="21"/>
                <w:szCs w:val="21"/>
                <w:lang w:val="en-US" w:eastAsia="zh-CN"/>
              </w:rPr>
              <w:t>吨/年</w:t>
            </w:r>
          </w:p>
        </w:tc>
      </w:tr>
      <w:tr w14:paraId="08488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5B43F708">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5AFF7E82">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tcBorders>
              <w:tl2br w:val="nil"/>
              <w:tr2bl w:val="nil"/>
            </w:tcBorders>
            <w:vAlign w:val="center"/>
          </w:tcPr>
          <w:p w14:paraId="023396D1">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合计</w:t>
            </w:r>
          </w:p>
        </w:tc>
        <w:tc>
          <w:tcPr>
            <w:tcW w:w="0" w:type="auto"/>
            <w:vMerge w:val="continue"/>
            <w:tcBorders>
              <w:tl2br w:val="nil"/>
              <w:tr2bl w:val="nil"/>
            </w:tcBorders>
            <w:vAlign w:val="center"/>
          </w:tcPr>
          <w:p w14:paraId="3C02BE7E">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728C45B5">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2F817DAE">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w:t>
            </w:r>
          </w:p>
        </w:tc>
        <w:tc>
          <w:tcPr>
            <w:tcW w:w="0" w:type="auto"/>
            <w:tcBorders>
              <w:tl2br w:val="nil"/>
              <w:tr2bl w:val="nil"/>
            </w:tcBorders>
            <w:vAlign w:val="center"/>
          </w:tcPr>
          <w:p w14:paraId="0719BE83">
            <w:pPr>
              <w:pStyle w:val="35"/>
              <w:spacing w:line="240" w:lineRule="auto"/>
              <w:ind w:firstLine="0" w:firstLineChars="0"/>
              <w:jc w:val="center"/>
              <w:outlineLvl w:val="9"/>
              <w:rPr>
                <w:rFonts w:hint="default" w:ascii="Times New Roman" w:hAnsi="Times New Roman" w:eastAsia="宋体"/>
                <w:snapToGrid w:val="0"/>
                <w:color w:val="auto"/>
                <w:sz w:val="21"/>
                <w:szCs w:val="21"/>
                <w:lang w:val="en-US" w:eastAsia="zh-CN"/>
              </w:rPr>
            </w:pPr>
            <w:r>
              <w:rPr>
                <w:rFonts w:hint="eastAsia" w:ascii="Times New Roman" w:hAnsi="Times New Roman" w:eastAsia="宋体"/>
                <w:snapToGrid w:val="0"/>
                <w:color w:val="auto"/>
                <w:sz w:val="21"/>
                <w:szCs w:val="21"/>
                <w:lang w:val="en-US" w:eastAsia="zh-CN"/>
              </w:rPr>
              <w:t>/</w:t>
            </w:r>
          </w:p>
        </w:tc>
        <w:tc>
          <w:tcPr>
            <w:tcW w:w="0" w:type="auto"/>
            <w:tcBorders>
              <w:tl2br w:val="nil"/>
              <w:tr2bl w:val="nil"/>
            </w:tcBorders>
            <w:vAlign w:val="center"/>
          </w:tcPr>
          <w:p w14:paraId="6B12BB34">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64.1</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19231</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5E657F5F">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37</w:t>
            </w:r>
            <w:r>
              <w:rPr>
                <w:rFonts w:hint="eastAsia" w:ascii="Times New Roman" w:hAnsi="Times New Roman" w:eastAsia="宋体"/>
                <w:snapToGrid w:val="0"/>
                <w:color w:val="auto"/>
                <w:sz w:val="21"/>
                <w:szCs w:val="21"/>
                <w:lang w:val="en-US" w:eastAsia="zh-CN"/>
              </w:rPr>
              <w:t>吨/天</w:t>
            </w:r>
            <w:r>
              <w:rPr>
                <w:rFonts w:hint="eastAsia" w:ascii="Times New Roman" w:hAnsi="Times New Roman" w:eastAsia="宋体"/>
                <w:color w:val="auto"/>
                <w:sz w:val="21"/>
                <w:szCs w:val="21"/>
                <w:highlight w:val="none"/>
                <w:lang w:val="en-US" w:eastAsia="zh-CN"/>
              </w:rPr>
              <w:t>，11093</w:t>
            </w:r>
            <w:r>
              <w:rPr>
                <w:rFonts w:hint="eastAsia" w:ascii="Times New Roman" w:hAnsi="Times New Roman" w:eastAsia="宋体"/>
                <w:snapToGrid w:val="0"/>
                <w:color w:val="auto"/>
                <w:sz w:val="21"/>
                <w:szCs w:val="21"/>
                <w:lang w:val="en-US" w:eastAsia="zh-CN"/>
              </w:rPr>
              <w:t>吨/年</w:t>
            </w:r>
          </w:p>
        </w:tc>
      </w:tr>
      <w:tr w14:paraId="498C7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7DB7325E">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7DB759A2">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restart"/>
            <w:tcBorders>
              <w:tl2br w:val="nil"/>
              <w:tr2bl w:val="nil"/>
            </w:tcBorders>
            <w:vAlign w:val="center"/>
          </w:tcPr>
          <w:p w14:paraId="49E6D694">
            <w:pPr>
              <w:pStyle w:val="35"/>
              <w:spacing w:line="240" w:lineRule="auto"/>
              <w:ind w:firstLine="0" w:firstLineChars="0"/>
              <w:jc w:val="center"/>
              <w:outlineLvl w:val="9"/>
              <w:rPr>
                <w:rFonts w:hint="default" w:ascii="Times New Roman" w:hAnsi="Times New Roman" w:eastAsia="宋体"/>
                <w:snapToGrid w:val="0"/>
                <w:color w:val="auto"/>
                <w:sz w:val="21"/>
                <w:szCs w:val="21"/>
                <w:highlight w:val="none"/>
                <w:lang w:val="en-US" w:eastAsia="zh-CN"/>
              </w:rPr>
            </w:pPr>
            <w:r>
              <w:rPr>
                <w:rFonts w:hint="eastAsia" w:ascii="Times New Roman" w:hAnsi="Times New Roman" w:eastAsia="宋体"/>
                <w:snapToGrid w:val="0"/>
                <w:color w:val="auto"/>
                <w:sz w:val="21"/>
                <w:szCs w:val="21"/>
                <w:highlight w:val="none"/>
                <w:lang w:val="en-US" w:eastAsia="zh-CN"/>
              </w:rPr>
              <w:t>毛油</w:t>
            </w:r>
          </w:p>
          <w:p w14:paraId="0E4304D2">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highlight w:val="none"/>
                <w:lang w:val="en-US" w:eastAsia="zh-CN"/>
              </w:rPr>
              <w:t>脱胶油</w:t>
            </w:r>
          </w:p>
        </w:tc>
        <w:tc>
          <w:tcPr>
            <w:tcW w:w="0" w:type="auto"/>
            <w:vMerge w:val="continue"/>
            <w:tcBorders>
              <w:tl2br w:val="nil"/>
              <w:tr2bl w:val="nil"/>
            </w:tcBorders>
            <w:vAlign w:val="center"/>
          </w:tcPr>
          <w:p w14:paraId="02BE8A50">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58DF3F8E">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脂肪酸</w:t>
            </w:r>
          </w:p>
        </w:tc>
        <w:tc>
          <w:tcPr>
            <w:tcW w:w="0" w:type="auto"/>
            <w:tcBorders>
              <w:tl2br w:val="nil"/>
              <w:tr2bl w:val="nil"/>
            </w:tcBorders>
            <w:vAlign w:val="center"/>
          </w:tcPr>
          <w:p w14:paraId="3869744F">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0.2%</w:t>
            </w:r>
          </w:p>
        </w:tc>
        <w:tc>
          <w:tcPr>
            <w:tcW w:w="0" w:type="auto"/>
            <w:tcBorders>
              <w:tl2br w:val="nil"/>
              <w:tr2bl w:val="nil"/>
            </w:tcBorders>
            <w:vAlign w:val="center"/>
          </w:tcPr>
          <w:p w14:paraId="6D7FB30D">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不变</w:t>
            </w:r>
          </w:p>
        </w:tc>
        <w:tc>
          <w:tcPr>
            <w:tcW w:w="0" w:type="auto"/>
            <w:tcBorders>
              <w:tl2br w:val="nil"/>
              <w:tr2bl w:val="nil"/>
            </w:tcBorders>
            <w:vAlign w:val="center"/>
          </w:tcPr>
          <w:p w14:paraId="60579C3F">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2</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655</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3C616A4E">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不变</w:t>
            </w:r>
          </w:p>
        </w:tc>
      </w:tr>
      <w:tr w14:paraId="5EC5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362BD88D">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4F10EAD6">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vMerge w:val="continue"/>
            <w:tcBorders>
              <w:tl2br w:val="nil"/>
              <w:tr2bl w:val="nil"/>
            </w:tcBorders>
            <w:vAlign w:val="center"/>
          </w:tcPr>
          <w:p w14:paraId="04910F68">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vMerge w:val="continue"/>
            <w:tcBorders>
              <w:tl2br w:val="nil"/>
              <w:tr2bl w:val="nil"/>
            </w:tcBorders>
            <w:vAlign w:val="center"/>
          </w:tcPr>
          <w:p w14:paraId="03284576">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p>
        </w:tc>
        <w:tc>
          <w:tcPr>
            <w:tcW w:w="0" w:type="auto"/>
            <w:tcBorders>
              <w:tl2br w:val="nil"/>
              <w:tr2bl w:val="nil"/>
            </w:tcBorders>
            <w:vAlign w:val="center"/>
          </w:tcPr>
          <w:p w14:paraId="27F858C3">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lang w:eastAsia="zh-CN"/>
              </w:rPr>
              <w:t>废白土</w:t>
            </w:r>
          </w:p>
        </w:tc>
        <w:tc>
          <w:tcPr>
            <w:tcW w:w="0" w:type="auto"/>
            <w:tcBorders>
              <w:tl2br w:val="nil"/>
              <w:tr2bl w:val="nil"/>
            </w:tcBorders>
            <w:vAlign w:val="center"/>
          </w:tcPr>
          <w:p w14:paraId="783BFF50">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0.3%*</w:t>
            </w:r>
          </w:p>
        </w:tc>
        <w:tc>
          <w:tcPr>
            <w:tcW w:w="0" w:type="auto"/>
            <w:tcBorders>
              <w:tl2br w:val="nil"/>
              <w:tr2bl w:val="nil"/>
            </w:tcBorders>
            <w:vAlign w:val="center"/>
          </w:tcPr>
          <w:p w14:paraId="5CE9916A">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不变</w:t>
            </w:r>
          </w:p>
        </w:tc>
        <w:tc>
          <w:tcPr>
            <w:tcW w:w="0" w:type="auto"/>
            <w:tcBorders>
              <w:tl2br w:val="nil"/>
              <w:tr2bl w:val="nil"/>
            </w:tcBorders>
            <w:vAlign w:val="center"/>
          </w:tcPr>
          <w:p w14:paraId="1A8EF89F">
            <w:pPr>
              <w:pStyle w:val="35"/>
              <w:spacing w:line="240" w:lineRule="auto"/>
              <w:ind w:firstLine="0" w:firstLineChars="0"/>
              <w:jc w:val="center"/>
              <w:outlineLvl w:val="9"/>
              <w:rPr>
                <w:rFonts w:hint="eastAsia" w:ascii="Times New Roman" w:hAnsi="Times New Roman" w:eastAsia="宋体"/>
                <w:snapToGrid w:val="0"/>
                <w:color w:val="auto"/>
                <w:sz w:val="21"/>
                <w:szCs w:val="21"/>
                <w:lang w:val="en-US" w:eastAsia="zh-CN"/>
              </w:rPr>
            </w:pPr>
            <w:r>
              <w:rPr>
                <w:rFonts w:hint="eastAsia" w:ascii="Times New Roman" w:hAnsi="Times New Roman" w:eastAsia="宋体"/>
                <w:color w:val="auto"/>
                <w:sz w:val="21"/>
                <w:szCs w:val="21"/>
                <w:highlight w:val="none"/>
                <w:lang w:val="en-US" w:eastAsia="zh-CN"/>
              </w:rPr>
              <w:t>11</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3277</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094CF6ED">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不变</w:t>
            </w:r>
          </w:p>
        </w:tc>
      </w:tr>
      <w:tr w14:paraId="079C4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vMerge w:val="continue"/>
            <w:tcBorders>
              <w:tl2br w:val="nil"/>
              <w:tr2bl w:val="nil"/>
            </w:tcBorders>
            <w:vAlign w:val="center"/>
          </w:tcPr>
          <w:p w14:paraId="6680E4EB">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p>
        </w:tc>
        <w:tc>
          <w:tcPr>
            <w:tcW w:w="0" w:type="auto"/>
            <w:tcBorders>
              <w:tl2br w:val="nil"/>
              <w:tr2bl w:val="nil"/>
            </w:tcBorders>
            <w:vAlign w:val="center"/>
          </w:tcPr>
          <w:p w14:paraId="10D281F8">
            <w:pPr>
              <w:pStyle w:val="35"/>
              <w:spacing w:line="240" w:lineRule="auto"/>
              <w:ind w:firstLine="0" w:firstLineChars="0"/>
              <w:jc w:val="center"/>
              <w:outlineLvl w:val="9"/>
              <w:rPr>
                <w:rFonts w:hint="eastAsia" w:ascii="Times New Roman" w:hAnsi="Times New Roman"/>
                <w:snapToGrid w:val="0"/>
                <w:color w:val="auto"/>
                <w:sz w:val="21"/>
                <w:szCs w:val="21"/>
                <w:lang w:eastAsia="zh-CN"/>
              </w:rPr>
            </w:pPr>
            <w:r>
              <w:rPr>
                <w:rFonts w:hint="eastAsia" w:ascii="Times New Roman" w:hAnsi="Times New Roman"/>
                <w:snapToGrid w:val="0"/>
                <w:color w:val="auto"/>
                <w:sz w:val="21"/>
                <w:szCs w:val="21"/>
                <w:lang w:eastAsia="zh-CN"/>
              </w:rPr>
              <w:t>磷脂分线</w:t>
            </w:r>
          </w:p>
        </w:tc>
        <w:tc>
          <w:tcPr>
            <w:tcW w:w="0" w:type="auto"/>
            <w:tcBorders>
              <w:tl2br w:val="nil"/>
              <w:tr2bl w:val="nil"/>
            </w:tcBorders>
            <w:vAlign w:val="center"/>
          </w:tcPr>
          <w:p w14:paraId="4C3DB0B5">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snapToGrid w:val="0"/>
                <w:color w:val="auto"/>
                <w:sz w:val="21"/>
                <w:szCs w:val="21"/>
                <w:highlight w:val="none"/>
                <w:lang w:eastAsia="zh-CN"/>
              </w:rPr>
              <w:t>油脚</w:t>
            </w:r>
          </w:p>
        </w:tc>
        <w:tc>
          <w:tcPr>
            <w:tcW w:w="0" w:type="auto"/>
            <w:tcBorders>
              <w:tl2br w:val="nil"/>
              <w:tr2bl w:val="nil"/>
            </w:tcBorders>
            <w:vAlign w:val="center"/>
          </w:tcPr>
          <w:p w14:paraId="32A83199">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eastAsia="宋体"/>
                <w:snapToGrid w:val="0"/>
                <w:color w:val="auto"/>
                <w:sz w:val="21"/>
                <w:szCs w:val="21"/>
                <w:highlight w:val="none"/>
                <w:lang w:val="en-US" w:eastAsia="zh-CN"/>
              </w:rPr>
              <w:t>27.31</w:t>
            </w:r>
            <w:r>
              <w:rPr>
                <w:rFonts w:hint="eastAsia" w:ascii="Times New Roman" w:hAnsi="Times New Roman" w:eastAsia="宋体"/>
                <w:snapToGrid w:val="0"/>
                <w:color w:val="auto"/>
                <w:sz w:val="21"/>
                <w:szCs w:val="21"/>
                <w:lang w:val="en-US" w:eastAsia="zh-CN"/>
              </w:rPr>
              <w:t>吨/天</w:t>
            </w:r>
          </w:p>
        </w:tc>
        <w:tc>
          <w:tcPr>
            <w:tcW w:w="0" w:type="auto"/>
            <w:tcBorders>
              <w:tl2br w:val="nil"/>
              <w:tr2bl w:val="nil"/>
            </w:tcBorders>
            <w:vAlign w:val="center"/>
          </w:tcPr>
          <w:p w14:paraId="443129D1">
            <w:pPr>
              <w:pStyle w:val="35"/>
              <w:spacing w:line="240" w:lineRule="auto"/>
              <w:ind w:firstLine="0" w:firstLineChars="0"/>
              <w:jc w:val="center"/>
              <w:outlineLvl w:val="9"/>
              <w:rPr>
                <w:rFonts w:hint="eastAsia" w:ascii="Times New Roman" w:hAnsi="Times New Roman" w:eastAsia="宋体"/>
                <w:snapToGrid w:val="0"/>
                <w:color w:val="auto"/>
                <w:sz w:val="21"/>
                <w:szCs w:val="21"/>
                <w:lang w:eastAsia="zh-CN"/>
              </w:rPr>
            </w:pPr>
            <w:r>
              <w:rPr>
                <w:rFonts w:hint="eastAsia" w:ascii="Times New Roman" w:hAnsi="Times New Roman"/>
                <w:snapToGrid w:val="0"/>
                <w:color w:val="auto"/>
                <w:sz w:val="21"/>
                <w:szCs w:val="21"/>
                <w:highlight w:val="none"/>
                <w:lang w:eastAsia="zh-CN"/>
              </w:rPr>
              <w:t>磷脂</w:t>
            </w:r>
          </w:p>
        </w:tc>
        <w:tc>
          <w:tcPr>
            <w:tcW w:w="0" w:type="auto"/>
            <w:tcBorders>
              <w:tl2br w:val="nil"/>
              <w:tr2bl w:val="nil"/>
            </w:tcBorders>
            <w:vAlign w:val="center"/>
          </w:tcPr>
          <w:p w14:paraId="4AC5AA15">
            <w:pPr>
              <w:pStyle w:val="35"/>
              <w:spacing w:line="240" w:lineRule="auto"/>
              <w:ind w:firstLine="0" w:firstLineChars="0"/>
              <w:jc w:val="center"/>
              <w:outlineLvl w:val="9"/>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w:t>
            </w:r>
          </w:p>
        </w:tc>
        <w:tc>
          <w:tcPr>
            <w:tcW w:w="0" w:type="auto"/>
            <w:tcBorders>
              <w:tl2br w:val="nil"/>
              <w:tr2bl w:val="nil"/>
            </w:tcBorders>
            <w:vAlign w:val="center"/>
          </w:tcPr>
          <w:p w14:paraId="241E2FA8">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color w:val="auto"/>
                <w:sz w:val="21"/>
                <w:szCs w:val="21"/>
                <w:lang w:val="en-US" w:eastAsia="zh-CN"/>
              </w:rPr>
              <w:t>99%</w:t>
            </w:r>
          </w:p>
        </w:tc>
        <w:tc>
          <w:tcPr>
            <w:tcW w:w="0" w:type="auto"/>
            <w:tcBorders>
              <w:tl2br w:val="nil"/>
              <w:tr2bl w:val="nil"/>
            </w:tcBorders>
            <w:vAlign w:val="center"/>
          </w:tcPr>
          <w:p w14:paraId="2656B41D">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snapToGrid w:val="0"/>
                <w:color w:val="auto"/>
                <w:sz w:val="21"/>
                <w:szCs w:val="21"/>
                <w:lang w:val="en-US" w:eastAsia="zh-CN"/>
              </w:rPr>
              <w:t>0吨/天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0</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0BF7B718">
            <w:pPr>
              <w:pStyle w:val="35"/>
              <w:spacing w:line="240" w:lineRule="auto"/>
              <w:ind w:firstLine="0" w:firstLineChars="0"/>
              <w:jc w:val="center"/>
              <w:outlineLvl w:val="9"/>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27.04</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7976</w:t>
            </w:r>
            <w:r>
              <w:rPr>
                <w:rFonts w:hint="eastAsia" w:ascii="Times New Roman" w:hAnsi="Times New Roman" w:eastAsia="宋体"/>
                <w:snapToGrid w:val="0"/>
                <w:color w:val="auto"/>
                <w:sz w:val="21"/>
                <w:szCs w:val="21"/>
                <w:lang w:val="en-US" w:eastAsia="zh-CN"/>
              </w:rPr>
              <w:t>吨/年</w:t>
            </w:r>
          </w:p>
        </w:tc>
      </w:tr>
      <w:tr w14:paraId="10F5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restart"/>
            <w:tcBorders>
              <w:tl2br w:val="nil"/>
              <w:tr2bl w:val="nil"/>
            </w:tcBorders>
            <w:vAlign w:val="center"/>
          </w:tcPr>
          <w:p w14:paraId="09324D65">
            <w:pPr>
              <w:pStyle w:val="35"/>
              <w:spacing w:line="240" w:lineRule="auto"/>
              <w:ind w:firstLine="0" w:firstLineChars="0"/>
              <w:jc w:val="center"/>
              <w:outlineLvl w:val="9"/>
              <w:rPr>
                <w:rFonts w:hint="eastAsia" w:ascii="Times New Roman" w:hAnsi="Times New Roman"/>
                <w:snapToGrid w:val="0"/>
                <w:color w:val="auto"/>
                <w:sz w:val="21"/>
                <w:szCs w:val="21"/>
                <w:lang w:val="en-US" w:eastAsia="zh-CN"/>
              </w:rPr>
            </w:pPr>
            <w:r>
              <w:rPr>
                <w:rFonts w:hint="eastAsia" w:ascii="Times New Roman" w:hAnsi="Times New Roman"/>
                <w:snapToGrid w:val="0"/>
                <w:color w:val="auto"/>
                <w:sz w:val="21"/>
                <w:szCs w:val="21"/>
                <w:lang w:val="en-US" w:eastAsia="zh-CN"/>
              </w:rPr>
              <w:t>大豆膨化线</w:t>
            </w:r>
          </w:p>
        </w:tc>
        <w:tc>
          <w:tcPr>
            <w:tcW w:w="0" w:type="auto"/>
            <w:vMerge w:val="restart"/>
            <w:tcBorders>
              <w:tl2br w:val="nil"/>
              <w:tr2bl w:val="nil"/>
            </w:tcBorders>
            <w:vAlign w:val="center"/>
          </w:tcPr>
          <w:p w14:paraId="32AE9764">
            <w:pPr>
              <w:pStyle w:val="35"/>
              <w:spacing w:line="240" w:lineRule="auto"/>
              <w:ind w:firstLine="0" w:firstLineChars="0"/>
              <w:jc w:val="center"/>
              <w:outlineLvl w:val="9"/>
              <w:rPr>
                <w:rFonts w:hint="eastAsia" w:ascii="Times New Roman" w:hAnsi="Times New Roman" w:cs="Times New Roman"/>
                <w:snapToGrid w:val="0"/>
                <w:color w:val="auto"/>
                <w:sz w:val="21"/>
                <w:szCs w:val="21"/>
                <w:highlight w:val="none"/>
                <w:lang w:eastAsia="zh-CN"/>
              </w:rPr>
            </w:pPr>
            <w:r>
              <w:rPr>
                <w:rFonts w:hint="eastAsia" w:ascii="Times New Roman" w:hAnsi="Times New Roman" w:cs="Times New Roman"/>
                <w:snapToGrid w:val="0"/>
                <w:color w:val="auto"/>
                <w:sz w:val="21"/>
                <w:szCs w:val="21"/>
                <w:highlight w:val="none"/>
                <w:lang w:eastAsia="zh-CN"/>
              </w:rPr>
              <w:t>大豆</w:t>
            </w:r>
          </w:p>
        </w:tc>
        <w:tc>
          <w:tcPr>
            <w:tcW w:w="0" w:type="auto"/>
            <w:vMerge w:val="restart"/>
            <w:tcBorders>
              <w:tl2br w:val="nil"/>
              <w:tr2bl w:val="nil"/>
            </w:tcBorders>
            <w:vAlign w:val="center"/>
          </w:tcPr>
          <w:p w14:paraId="06A24099">
            <w:pPr>
              <w:pStyle w:val="35"/>
              <w:spacing w:line="240" w:lineRule="auto"/>
              <w:ind w:firstLine="0" w:firstLineChars="0"/>
              <w:jc w:val="center"/>
              <w:outlineLvl w:val="9"/>
              <w:rPr>
                <w:rFonts w:hint="eastAsia" w:ascii="Times New Roman" w:hAnsi="Times New Roman"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250</w:t>
            </w:r>
            <w:r>
              <w:rPr>
                <w:rFonts w:hint="eastAsia" w:ascii="Times New Roman" w:hAnsi="Times New Roman" w:eastAsia="宋体"/>
                <w:snapToGrid w:val="0"/>
                <w:color w:val="auto"/>
                <w:sz w:val="21"/>
                <w:szCs w:val="21"/>
                <w:lang w:val="en-US" w:eastAsia="zh-CN"/>
              </w:rPr>
              <w:t>吨/天</w:t>
            </w:r>
          </w:p>
        </w:tc>
        <w:tc>
          <w:tcPr>
            <w:tcW w:w="0" w:type="auto"/>
            <w:tcBorders>
              <w:tl2br w:val="nil"/>
              <w:tr2bl w:val="nil"/>
            </w:tcBorders>
            <w:vAlign w:val="center"/>
          </w:tcPr>
          <w:p w14:paraId="5FA4D05F">
            <w:pPr>
              <w:pStyle w:val="35"/>
              <w:spacing w:line="240" w:lineRule="auto"/>
              <w:ind w:firstLine="0" w:firstLineChars="0"/>
              <w:jc w:val="center"/>
              <w:outlineLvl w:val="9"/>
              <w:rPr>
                <w:rFonts w:hint="eastAsia" w:ascii="Times New Roman" w:hAnsi="Times New Roman" w:cs="Times New Roman"/>
                <w:snapToGrid w:val="0"/>
                <w:color w:val="auto"/>
                <w:sz w:val="21"/>
                <w:szCs w:val="21"/>
                <w:highlight w:val="none"/>
                <w:lang w:eastAsia="zh-CN"/>
              </w:rPr>
            </w:pPr>
            <w:r>
              <w:rPr>
                <w:rFonts w:hint="eastAsia" w:ascii="Times New Roman" w:hAnsi="Times New Roman" w:cs="Times New Roman"/>
                <w:snapToGrid w:val="0"/>
                <w:color w:val="auto"/>
                <w:sz w:val="21"/>
                <w:szCs w:val="21"/>
                <w:highlight w:val="none"/>
                <w:lang w:eastAsia="zh-CN"/>
              </w:rPr>
              <w:t>大豆粉</w:t>
            </w:r>
          </w:p>
        </w:tc>
        <w:tc>
          <w:tcPr>
            <w:tcW w:w="0" w:type="auto"/>
            <w:tcBorders>
              <w:tl2br w:val="nil"/>
              <w:tr2bl w:val="nil"/>
            </w:tcBorders>
            <w:vAlign w:val="center"/>
          </w:tcPr>
          <w:p w14:paraId="0F7E9452">
            <w:pPr>
              <w:pStyle w:val="35"/>
              <w:spacing w:line="240" w:lineRule="auto"/>
              <w:ind w:firstLine="0" w:firstLineChars="0"/>
              <w:jc w:val="center"/>
              <w:outlineLvl w:val="9"/>
              <w:rPr>
                <w:rFonts w:hint="eastAsia"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w:t>
            </w:r>
          </w:p>
        </w:tc>
        <w:tc>
          <w:tcPr>
            <w:tcW w:w="0" w:type="auto"/>
            <w:tcBorders>
              <w:tl2br w:val="nil"/>
              <w:tr2bl w:val="nil"/>
            </w:tcBorders>
            <w:vAlign w:val="center"/>
          </w:tcPr>
          <w:p w14:paraId="656D3846">
            <w:pPr>
              <w:pStyle w:val="35"/>
              <w:spacing w:line="240" w:lineRule="auto"/>
              <w:ind w:firstLine="0" w:firstLineChars="0"/>
              <w:jc w:val="center"/>
              <w:outlineLvl w:val="9"/>
              <w:rPr>
                <w:rFonts w:hint="eastAsia"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97.5%</w:t>
            </w:r>
          </w:p>
        </w:tc>
        <w:tc>
          <w:tcPr>
            <w:tcW w:w="0" w:type="auto"/>
            <w:tcBorders>
              <w:tl2br w:val="nil"/>
              <w:tr2bl w:val="nil"/>
            </w:tcBorders>
            <w:vAlign w:val="center"/>
          </w:tcPr>
          <w:p w14:paraId="6B480339">
            <w:pPr>
              <w:pStyle w:val="35"/>
              <w:spacing w:line="240" w:lineRule="auto"/>
              <w:ind w:firstLine="0" w:firstLineChars="0"/>
              <w:jc w:val="center"/>
              <w:outlineLvl w:val="9"/>
              <w:rPr>
                <w:rFonts w:hint="eastAsia"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0</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，0</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14763495">
            <w:pPr>
              <w:pStyle w:val="35"/>
              <w:spacing w:line="240" w:lineRule="auto"/>
              <w:ind w:firstLine="0" w:firstLineChars="0"/>
              <w:jc w:val="center"/>
              <w:outlineLvl w:val="9"/>
              <w:rPr>
                <w:rFonts w:hint="eastAsia"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243.75</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，73125</w:t>
            </w:r>
            <w:r>
              <w:rPr>
                <w:rFonts w:hint="eastAsia" w:ascii="Times New Roman" w:hAnsi="Times New Roman" w:eastAsia="宋体"/>
                <w:snapToGrid w:val="0"/>
                <w:color w:val="auto"/>
                <w:sz w:val="21"/>
                <w:szCs w:val="21"/>
                <w:lang w:val="en-US" w:eastAsia="zh-CN"/>
              </w:rPr>
              <w:t>吨/年</w:t>
            </w:r>
          </w:p>
        </w:tc>
      </w:tr>
      <w:tr w14:paraId="644C0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0" w:type="auto"/>
            <w:gridSpan w:val="2"/>
            <w:vMerge w:val="continue"/>
            <w:tcBorders>
              <w:tl2br w:val="nil"/>
              <w:tr2bl w:val="nil"/>
            </w:tcBorders>
            <w:vAlign w:val="center"/>
          </w:tcPr>
          <w:p w14:paraId="320B4029">
            <w:pPr>
              <w:pStyle w:val="35"/>
              <w:spacing w:line="240" w:lineRule="auto"/>
              <w:ind w:firstLine="0" w:firstLineChars="0"/>
              <w:jc w:val="center"/>
              <w:outlineLvl w:val="9"/>
              <w:rPr>
                <w:rFonts w:hint="eastAsia" w:ascii="Times New Roman" w:hAnsi="Times New Roman"/>
                <w:snapToGrid w:val="0"/>
                <w:color w:val="auto"/>
                <w:sz w:val="21"/>
                <w:szCs w:val="21"/>
                <w:lang w:val="en-US" w:eastAsia="zh-CN"/>
              </w:rPr>
            </w:pPr>
          </w:p>
        </w:tc>
        <w:tc>
          <w:tcPr>
            <w:tcW w:w="0" w:type="auto"/>
            <w:vMerge w:val="continue"/>
            <w:tcBorders>
              <w:tl2br w:val="nil"/>
              <w:tr2bl w:val="nil"/>
            </w:tcBorders>
            <w:vAlign w:val="center"/>
          </w:tcPr>
          <w:p w14:paraId="7BA1CA1F">
            <w:pPr>
              <w:pStyle w:val="35"/>
              <w:spacing w:line="240" w:lineRule="auto"/>
              <w:ind w:firstLine="0" w:firstLineChars="0"/>
              <w:jc w:val="center"/>
              <w:outlineLvl w:val="9"/>
              <w:rPr>
                <w:rFonts w:hint="eastAsia" w:ascii="Times New Roman" w:hAnsi="Times New Roman" w:cs="Times New Roman"/>
                <w:snapToGrid w:val="0"/>
                <w:color w:val="auto"/>
                <w:sz w:val="21"/>
                <w:szCs w:val="21"/>
                <w:highlight w:val="none"/>
                <w:lang w:eastAsia="zh-CN"/>
              </w:rPr>
            </w:pPr>
          </w:p>
        </w:tc>
        <w:tc>
          <w:tcPr>
            <w:tcW w:w="0" w:type="auto"/>
            <w:vMerge w:val="continue"/>
            <w:tcBorders>
              <w:tl2br w:val="nil"/>
              <w:tr2bl w:val="nil"/>
            </w:tcBorders>
            <w:vAlign w:val="center"/>
          </w:tcPr>
          <w:p w14:paraId="4A2103B8">
            <w:pPr>
              <w:pStyle w:val="35"/>
              <w:spacing w:line="240" w:lineRule="auto"/>
              <w:ind w:firstLine="0" w:firstLineChars="0"/>
              <w:jc w:val="center"/>
              <w:outlineLvl w:val="9"/>
              <w:rPr>
                <w:rFonts w:hint="eastAsia" w:ascii="Times New Roman" w:hAnsi="Times New Roman" w:cs="Times New Roman"/>
                <w:snapToGrid w:val="0"/>
                <w:color w:val="auto"/>
                <w:sz w:val="21"/>
                <w:szCs w:val="21"/>
                <w:highlight w:val="none"/>
                <w:lang w:val="en-US" w:eastAsia="zh-CN"/>
              </w:rPr>
            </w:pPr>
          </w:p>
        </w:tc>
        <w:tc>
          <w:tcPr>
            <w:tcW w:w="0" w:type="auto"/>
            <w:tcBorders>
              <w:tl2br w:val="nil"/>
              <w:tr2bl w:val="nil"/>
            </w:tcBorders>
            <w:vAlign w:val="center"/>
          </w:tcPr>
          <w:p w14:paraId="215AF890">
            <w:pPr>
              <w:pStyle w:val="35"/>
              <w:spacing w:line="240" w:lineRule="auto"/>
              <w:ind w:firstLine="0" w:firstLineChars="0"/>
              <w:jc w:val="center"/>
              <w:outlineLvl w:val="9"/>
              <w:rPr>
                <w:rFonts w:hint="default" w:ascii="Times New Roman" w:hAnsi="Times New Roman" w:cs="Times New Roman"/>
                <w:snapToGrid w:val="0"/>
                <w:color w:val="auto"/>
                <w:sz w:val="21"/>
                <w:szCs w:val="21"/>
                <w:highlight w:val="none"/>
                <w:lang w:val="en-US" w:eastAsia="zh-CN"/>
              </w:rPr>
            </w:pPr>
            <w:r>
              <w:rPr>
                <w:rFonts w:hint="eastAsia" w:ascii="Times New Roman" w:hAnsi="Times New Roman" w:cs="Times New Roman"/>
                <w:snapToGrid w:val="0"/>
                <w:color w:val="auto"/>
                <w:sz w:val="21"/>
                <w:szCs w:val="21"/>
                <w:highlight w:val="none"/>
                <w:lang w:val="en-US" w:eastAsia="zh-CN"/>
              </w:rPr>
              <w:t>杂质</w:t>
            </w:r>
          </w:p>
        </w:tc>
        <w:tc>
          <w:tcPr>
            <w:tcW w:w="0" w:type="auto"/>
            <w:tcBorders>
              <w:tl2br w:val="nil"/>
              <w:tr2bl w:val="nil"/>
            </w:tcBorders>
            <w:vAlign w:val="center"/>
          </w:tcPr>
          <w:p w14:paraId="20DE59BC">
            <w:pPr>
              <w:pStyle w:val="35"/>
              <w:spacing w:line="240" w:lineRule="auto"/>
              <w:ind w:firstLine="0" w:firstLineChars="0"/>
              <w:jc w:val="center"/>
              <w:outlineLvl w:val="9"/>
              <w:rPr>
                <w:rFonts w:hint="default"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w:t>
            </w:r>
          </w:p>
        </w:tc>
        <w:tc>
          <w:tcPr>
            <w:tcW w:w="0" w:type="auto"/>
            <w:tcBorders>
              <w:tl2br w:val="nil"/>
              <w:tr2bl w:val="nil"/>
            </w:tcBorders>
            <w:vAlign w:val="center"/>
          </w:tcPr>
          <w:p w14:paraId="155758FE">
            <w:pPr>
              <w:pStyle w:val="35"/>
              <w:spacing w:line="240" w:lineRule="auto"/>
              <w:ind w:firstLine="0" w:firstLineChars="0"/>
              <w:jc w:val="center"/>
              <w:outlineLvl w:val="9"/>
              <w:rPr>
                <w:rFonts w:hint="eastAsia"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2.4%</w:t>
            </w:r>
          </w:p>
        </w:tc>
        <w:tc>
          <w:tcPr>
            <w:tcW w:w="0" w:type="auto"/>
            <w:tcBorders>
              <w:tl2br w:val="nil"/>
              <w:tr2bl w:val="nil"/>
            </w:tcBorders>
            <w:vAlign w:val="center"/>
          </w:tcPr>
          <w:p w14:paraId="7A688599">
            <w:pPr>
              <w:pStyle w:val="35"/>
              <w:spacing w:line="240" w:lineRule="auto"/>
              <w:ind w:firstLine="0" w:firstLineChars="0"/>
              <w:jc w:val="center"/>
              <w:outlineLvl w:val="9"/>
              <w:rPr>
                <w:rFonts w:hint="eastAsia" w:ascii="Times New Roman" w:hAnsi="Times New Roman"/>
                <w:snapToGrid w:val="0"/>
                <w:color w:val="auto"/>
                <w:sz w:val="21"/>
                <w:szCs w:val="21"/>
                <w:highlight w:val="yellow"/>
                <w:lang w:val="en-US" w:eastAsia="zh-CN"/>
              </w:rPr>
            </w:pPr>
            <w:r>
              <w:rPr>
                <w:rFonts w:hint="eastAsia" w:ascii="Times New Roman" w:hAnsi="Times New Roman"/>
                <w:snapToGrid w:val="0"/>
                <w:color w:val="auto"/>
                <w:sz w:val="21"/>
                <w:szCs w:val="21"/>
                <w:highlight w:val="none"/>
                <w:lang w:val="en-US" w:eastAsia="zh-CN"/>
              </w:rPr>
              <w:t>0</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，0</w:t>
            </w:r>
            <w:r>
              <w:rPr>
                <w:rFonts w:hint="eastAsia" w:ascii="Times New Roman" w:hAnsi="Times New Roman" w:eastAsia="宋体"/>
                <w:snapToGrid w:val="0"/>
                <w:color w:val="auto"/>
                <w:sz w:val="21"/>
                <w:szCs w:val="21"/>
                <w:lang w:val="en-US" w:eastAsia="zh-CN"/>
              </w:rPr>
              <w:t>吨/年</w:t>
            </w:r>
          </w:p>
        </w:tc>
        <w:tc>
          <w:tcPr>
            <w:tcW w:w="0" w:type="auto"/>
            <w:tcBorders>
              <w:tl2br w:val="nil"/>
              <w:tr2bl w:val="nil"/>
            </w:tcBorders>
            <w:vAlign w:val="center"/>
          </w:tcPr>
          <w:p w14:paraId="7985F413">
            <w:pPr>
              <w:pStyle w:val="35"/>
              <w:spacing w:line="240" w:lineRule="auto"/>
              <w:ind w:firstLine="0" w:firstLineChars="0"/>
              <w:jc w:val="center"/>
              <w:outlineLvl w:val="9"/>
              <w:rPr>
                <w:rFonts w:hint="eastAsia" w:ascii="Times New Roman" w:hAnsi="Times New Roman"/>
                <w:snapToGrid w:val="0"/>
                <w:color w:val="auto"/>
                <w:sz w:val="21"/>
                <w:szCs w:val="21"/>
                <w:highlight w:val="none"/>
                <w:lang w:val="en-US" w:eastAsia="zh-CN"/>
              </w:rPr>
            </w:pPr>
            <w:r>
              <w:rPr>
                <w:rFonts w:hint="eastAsia" w:ascii="Times New Roman" w:hAnsi="Times New Roman"/>
                <w:snapToGrid w:val="0"/>
                <w:color w:val="auto"/>
                <w:sz w:val="21"/>
                <w:szCs w:val="21"/>
                <w:highlight w:val="none"/>
                <w:lang w:val="en-US" w:eastAsia="zh-CN"/>
              </w:rPr>
              <w:t>6</w:t>
            </w:r>
            <w:r>
              <w:rPr>
                <w:rFonts w:hint="eastAsia" w:ascii="Times New Roman" w:hAnsi="Times New Roman" w:eastAsia="宋体"/>
                <w:snapToGrid w:val="0"/>
                <w:color w:val="auto"/>
                <w:sz w:val="21"/>
                <w:szCs w:val="21"/>
                <w:lang w:val="en-US" w:eastAsia="zh-CN"/>
              </w:rPr>
              <w:t>吨/天</w:t>
            </w:r>
            <w:r>
              <w:rPr>
                <w:rFonts w:hint="eastAsia" w:ascii="Times New Roman" w:hAnsi="Times New Roman"/>
                <w:snapToGrid w:val="0"/>
                <w:color w:val="auto"/>
                <w:sz w:val="21"/>
                <w:szCs w:val="21"/>
                <w:highlight w:val="none"/>
                <w:lang w:val="en-US" w:eastAsia="zh-CN"/>
              </w:rPr>
              <w:t>，1800</w:t>
            </w:r>
            <w:r>
              <w:rPr>
                <w:rFonts w:hint="eastAsia" w:ascii="Times New Roman" w:hAnsi="Times New Roman" w:eastAsia="宋体"/>
                <w:snapToGrid w:val="0"/>
                <w:color w:val="auto"/>
                <w:sz w:val="21"/>
                <w:szCs w:val="21"/>
                <w:lang w:val="en-US" w:eastAsia="zh-CN"/>
              </w:rPr>
              <w:t>吨/年</w:t>
            </w:r>
          </w:p>
        </w:tc>
      </w:tr>
      <w:tr w14:paraId="112C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gridSpan w:val="9"/>
            <w:tcBorders>
              <w:tl2br w:val="nil"/>
              <w:tr2bl w:val="nil"/>
            </w:tcBorders>
            <w:vAlign w:val="center"/>
          </w:tcPr>
          <w:p w14:paraId="5EBBF5A7">
            <w:pPr>
              <w:pStyle w:val="35"/>
              <w:spacing w:line="240" w:lineRule="auto"/>
              <w:ind w:firstLine="0" w:firstLineChars="0"/>
              <w:jc w:val="both"/>
              <w:outlineLvl w:val="9"/>
              <w:rPr>
                <w:rFonts w:hint="eastAsia" w:ascii="Times New Roman" w:hAnsi="Times New Roman"/>
                <w:color w:val="auto"/>
                <w:sz w:val="21"/>
                <w:szCs w:val="21"/>
                <w:lang w:val="en-US" w:eastAsia="zh-CN"/>
              </w:rPr>
            </w:pPr>
            <w:r>
              <w:rPr>
                <w:rFonts w:hint="eastAsia" w:ascii="Times New Roman" w:hAnsi="Times New Roman"/>
                <w:color w:val="auto"/>
                <w:sz w:val="21"/>
                <w:szCs w:val="21"/>
                <w:lang w:val="en-US" w:eastAsia="zh-CN"/>
              </w:rPr>
              <w:t>备注：*废</w:t>
            </w:r>
            <w:r>
              <w:rPr>
                <w:rFonts w:hint="eastAsia" w:ascii="Times New Roman" w:hAnsi="Times New Roman"/>
                <w:color w:val="auto"/>
                <w:sz w:val="21"/>
                <w:szCs w:val="21"/>
                <w:highlight w:val="none"/>
                <w:lang w:val="en-US" w:eastAsia="zh-CN"/>
              </w:rPr>
              <w:t>白土产量为白土的吸附量+白土投加量，其中0.3%为吸附量，由表2.4-3分析可知，白土投加量为2292t/a</w:t>
            </w:r>
            <w:r>
              <w:rPr>
                <w:rFonts w:hint="eastAsia" w:ascii="Times New Roman" w:hAnsi="Times New Roman"/>
                <w:color w:val="auto"/>
                <w:sz w:val="21"/>
                <w:szCs w:val="21"/>
                <w:lang w:val="en-US" w:eastAsia="zh-CN"/>
              </w:rPr>
              <w:t>；外售产品豆粕由豆粕+豆皮两部分组成，其中豆粕126.72万t/a，豆皮17.1万t/a，外售豆粕产量为143.82万t/a。</w:t>
            </w:r>
          </w:p>
        </w:tc>
      </w:tr>
    </w:tbl>
    <w:p w14:paraId="50B739EF">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eastAsia" w:eastAsia="宋体" w:cs="Times New Roman"/>
          <w:b/>
          <w:bCs/>
          <w:color w:val="auto"/>
          <w:sz w:val="24"/>
          <w:szCs w:val="24"/>
          <w:lang w:val="en-US" w:eastAsia="zh-CN"/>
        </w:rPr>
      </w:pPr>
      <w:r>
        <w:rPr>
          <w:rFonts w:hint="eastAsia" w:eastAsia="宋体"/>
          <w:color w:val="auto"/>
          <w:sz w:val="24"/>
          <w:lang w:eastAsia="zh-CN"/>
        </w:rPr>
        <w:t>由上表分析可知</w:t>
      </w:r>
      <w:r>
        <w:rPr>
          <w:rFonts w:hint="eastAsia"/>
          <w:color w:val="auto"/>
          <w:sz w:val="24"/>
        </w:rPr>
        <w:t>，本</w:t>
      </w:r>
      <w:r>
        <w:rPr>
          <w:rFonts w:hint="eastAsia" w:eastAsia="宋体"/>
          <w:color w:val="auto"/>
          <w:sz w:val="24"/>
          <w:lang w:eastAsia="zh-CN"/>
        </w:rPr>
        <w:t>项目</w:t>
      </w:r>
      <w:r>
        <w:rPr>
          <w:rFonts w:hint="eastAsia"/>
          <w:color w:val="auto"/>
          <w:sz w:val="24"/>
        </w:rPr>
        <w:t>配备的生产设备能够满足项目设计产能的需求。</w:t>
      </w:r>
    </w:p>
    <w:p w14:paraId="35BE7A9F">
      <w:pPr>
        <w:pStyle w:val="16"/>
        <w:ind w:left="0" w:leftChars="0" w:firstLine="0" w:firstLineChars="0"/>
        <w:jc w:val="both"/>
        <w:rPr>
          <w:rFonts w:ascii="黑体" w:hAnsi="黑体" w:eastAsia="黑体"/>
          <w:snapToGrid w:val="0"/>
          <w:color w:val="auto"/>
          <w:sz w:val="36"/>
          <w:szCs w:val="36"/>
        </w:rPr>
        <w:sectPr>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Layout w:type="autofit"/>
        <w:tblCellMar>
          <w:top w:w="0" w:type="dxa"/>
          <w:left w:w="108" w:type="dxa"/>
          <w:bottom w:w="0" w:type="dxa"/>
          <w:right w:w="108" w:type="dxa"/>
        </w:tblCellMar>
      </w:tblPr>
      <w:tblGrid>
        <w:gridCol w:w="455"/>
        <w:gridCol w:w="8605"/>
      </w:tblGrid>
      <w:tr w14:paraId="30BD9CB4">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020" w:hRule="atLeast"/>
          <w:jc w:val="center"/>
        </w:trPr>
        <w:tc>
          <w:tcPr>
            <w:tcW w:w="731" w:type="dxa"/>
            <w:tcBorders>
              <w:tl2br w:val="nil"/>
              <w:tr2bl w:val="nil"/>
            </w:tcBorders>
            <w:vAlign w:val="center"/>
          </w:tcPr>
          <w:p w14:paraId="42A7CA61">
            <w:pPr>
              <w:pStyle w:val="16"/>
              <w:adjustRightInd w:val="0"/>
              <w:snapToGrid w:val="0"/>
              <w:spacing w:before="0" w:beforeAutospacing="0" w:after="0" w:afterAutospacing="0"/>
              <w:ind w:left="0" w:leftChars="0" w:firstLine="0" w:firstLineChars="0"/>
              <w:jc w:val="both"/>
              <w:rPr>
                <w:rFonts w:cs="宋体"/>
                <w:color w:val="auto"/>
                <w:sz w:val="21"/>
                <w:szCs w:val="21"/>
              </w:rPr>
            </w:pPr>
            <w:r>
              <w:rPr>
                <w:rFonts w:hint="eastAsia" w:cs="宋体"/>
                <w:color w:val="auto"/>
                <w:sz w:val="24"/>
                <w:szCs w:val="24"/>
              </w:rPr>
              <w:t>建设内容</w:t>
            </w:r>
          </w:p>
        </w:tc>
        <w:tc>
          <w:tcPr>
            <w:tcW w:w="8329" w:type="dxa"/>
            <w:tcBorders>
              <w:tl2br w:val="nil"/>
              <w:tr2bl w:val="nil"/>
            </w:tcBorders>
            <w:vAlign w:val="top"/>
          </w:tcPr>
          <w:p w14:paraId="11307E72">
            <w:pPr>
              <w:keepNext w:val="0"/>
              <w:keepLines w:val="0"/>
              <w:pageBreakBefore w:val="0"/>
              <w:widowControl w:val="0"/>
              <w:kinsoku/>
              <w:wordWrap/>
              <w:overflowPunct/>
              <w:topLinePunct w:val="0"/>
              <w:bidi w:val="0"/>
              <w:adjustRightInd w:val="0"/>
              <w:snapToGrid w:val="0"/>
              <w:spacing w:line="360" w:lineRule="auto"/>
              <w:ind w:left="0" w:leftChars="0" w:firstLine="0" w:firstLineChars="0"/>
              <w:textAlignment w:val="auto"/>
              <w:rPr>
                <w:rFonts w:hint="default" w:ascii="Times New Roman" w:hAnsi="Times New Roman" w:cs="Times New Roman"/>
                <w:b/>
                <w:bCs/>
                <w:color w:val="auto"/>
                <w:sz w:val="24"/>
                <w:szCs w:val="24"/>
              </w:rPr>
            </w:pPr>
            <w:r>
              <w:rPr>
                <w:rFonts w:hint="eastAsia" w:eastAsia="宋体" w:cs="Times New Roman"/>
                <w:b/>
                <w:bCs/>
                <w:color w:val="auto"/>
                <w:sz w:val="24"/>
                <w:szCs w:val="24"/>
                <w:lang w:val="en-US" w:eastAsia="zh-CN"/>
              </w:rPr>
              <w:t>4.</w:t>
            </w:r>
            <w:r>
              <w:rPr>
                <w:rFonts w:hint="default" w:ascii="Times New Roman" w:hAnsi="Times New Roman" w:cs="Times New Roman"/>
                <w:b/>
                <w:bCs/>
                <w:color w:val="auto"/>
                <w:sz w:val="24"/>
                <w:szCs w:val="24"/>
              </w:rPr>
              <w:t>主要原辅材料名称及年消耗数量</w:t>
            </w:r>
          </w:p>
          <w:p w14:paraId="5FDCFC12">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eastAsia="等线" w:cs="Times New Roman"/>
                <w:color w:val="auto"/>
                <w:sz w:val="24"/>
                <w:szCs w:val="24"/>
                <w:lang w:eastAsia="zh-CN"/>
              </w:rPr>
            </w:pP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1</w:t>
            </w:r>
            <w:r>
              <w:rPr>
                <w:rFonts w:hint="eastAsia" w:ascii="Times New Roman" w:cs="Times New Roman"/>
                <w:color w:val="auto"/>
                <w:sz w:val="24"/>
                <w:szCs w:val="24"/>
                <w:lang w:eastAsia="zh-CN"/>
              </w:rPr>
              <w:t>）用水量核算</w:t>
            </w:r>
          </w:p>
          <w:p w14:paraId="54495461">
            <w:pPr>
              <w:rPr>
                <w:rFonts w:hint="default" w:cs="Times New Roman"/>
                <w:b w:val="0"/>
                <w:bCs w:val="0"/>
                <w:color w:val="auto"/>
                <w:sz w:val="24"/>
                <w:szCs w:val="24"/>
                <w:lang w:val="en-US" w:eastAsia="zh-CN"/>
              </w:rPr>
            </w:pPr>
            <w:r>
              <w:rPr>
                <w:rFonts w:hint="eastAsia" w:ascii="Times New Roman" w:cs="Times New Roman"/>
                <w:color w:val="auto"/>
                <w:sz w:val="24"/>
                <w:szCs w:val="24"/>
                <w:lang w:val="en-US" w:eastAsia="zh-CN"/>
              </w:rPr>
              <w:t>大豆膨化生产线不新增用水，</w:t>
            </w:r>
            <w:r>
              <w:rPr>
                <w:rFonts w:hint="eastAsia" w:ascii="Times New Roman" w:hAnsi="Times New Roman" w:cs="Times New Roman"/>
                <w:color w:val="auto"/>
                <w:sz w:val="24"/>
                <w:szCs w:val="24"/>
                <w:lang w:val="en-US" w:eastAsia="zh-CN"/>
              </w:rPr>
              <w:t>本项目通过</w:t>
            </w:r>
            <w:r>
              <w:rPr>
                <w:rFonts w:hint="default" w:ascii="Times New Roman" w:hAnsi="Times New Roman" w:cs="Times New Roman"/>
                <w:color w:val="auto"/>
                <w:sz w:val="24"/>
                <w:szCs w:val="24"/>
              </w:rPr>
              <w:t>厂区内人员结构调整</w:t>
            </w:r>
            <w:r>
              <w:rPr>
                <w:rFonts w:hint="eastAsia" w:ascii="Times New Roman" w:cs="Times New Roman"/>
                <w:color w:val="auto"/>
                <w:sz w:val="24"/>
                <w:szCs w:val="24"/>
                <w:lang w:eastAsia="zh-CN"/>
              </w:rPr>
              <w:t>，</w:t>
            </w:r>
            <w:r>
              <w:rPr>
                <w:rFonts w:hint="default" w:ascii="Times New Roman" w:hAnsi="Times New Roman" w:cs="Times New Roman"/>
                <w:b w:val="0"/>
                <w:bCs w:val="0"/>
                <w:color w:val="auto"/>
                <w:sz w:val="24"/>
                <w:szCs w:val="24"/>
                <w:lang w:eastAsia="zh-CN"/>
              </w:rPr>
              <w:t>不新增劳动定员</w:t>
            </w:r>
            <w:r>
              <w:rPr>
                <w:rFonts w:hint="eastAsia" w:ascii="Times New Roman" w:cs="Times New Roman"/>
                <w:b w:val="0"/>
                <w:bCs w:val="0"/>
                <w:color w:val="auto"/>
                <w:sz w:val="24"/>
                <w:szCs w:val="24"/>
                <w:lang w:eastAsia="zh-CN"/>
              </w:rPr>
              <w:t>，因此不新增生活用水</w:t>
            </w:r>
            <w:r>
              <w:rPr>
                <w:rFonts w:hint="eastAsia" w:cs="Times New Roman"/>
                <w:b w:val="0"/>
                <w:bCs w:val="0"/>
                <w:color w:val="auto"/>
                <w:sz w:val="24"/>
                <w:szCs w:val="24"/>
                <w:lang w:eastAsia="zh-CN"/>
              </w:rPr>
              <w:t>。</w:t>
            </w:r>
            <w:r>
              <w:rPr>
                <w:rFonts w:hint="eastAsia" w:cs="Times New Roman"/>
                <w:b w:val="0"/>
                <w:bCs w:val="0"/>
                <w:color w:val="auto"/>
                <w:sz w:val="24"/>
                <w:szCs w:val="24"/>
                <w:lang w:val="en-US" w:eastAsia="zh-CN"/>
              </w:rPr>
              <w:t xml:space="preserve"> </w:t>
            </w:r>
          </w:p>
          <w:p w14:paraId="7E0362FA">
            <w:pPr>
              <w:ind w:firstLine="480"/>
              <w:rPr>
                <w:rFonts w:hint="eastAsia" w:cs="Times New Roman"/>
                <w:b w:val="0"/>
                <w:bCs w:val="0"/>
                <w:color w:val="auto"/>
                <w:sz w:val="24"/>
                <w:szCs w:val="24"/>
                <w:lang w:eastAsia="zh-CN"/>
              </w:rPr>
            </w:pPr>
            <w:r>
              <w:rPr>
                <w:rFonts w:hint="eastAsia" w:ascii="Times New Roman" w:cs="Times New Roman"/>
                <w:b w:val="0"/>
                <w:bCs w:val="0"/>
                <w:color w:val="auto"/>
                <w:sz w:val="24"/>
                <w:szCs w:val="24"/>
                <w:lang w:eastAsia="zh-CN"/>
              </w:rPr>
              <w:t>本项目用水工序主要为磷脂分线的静态混合工序、</w:t>
            </w:r>
            <w:r>
              <w:rPr>
                <w:rFonts w:hint="eastAsia" w:cs="Times New Roman"/>
                <w:b w:val="0"/>
                <w:bCs w:val="0"/>
                <w:color w:val="auto"/>
                <w:sz w:val="24"/>
                <w:szCs w:val="24"/>
                <w:lang w:eastAsia="zh-CN"/>
              </w:rPr>
              <w:t>磷脂</w:t>
            </w:r>
            <w:r>
              <w:rPr>
                <w:rFonts w:hint="eastAsia" w:ascii="Times New Roman" w:cs="Times New Roman"/>
                <w:b w:val="0"/>
                <w:bCs w:val="0"/>
                <w:color w:val="auto"/>
                <w:sz w:val="24"/>
                <w:szCs w:val="24"/>
                <w:lang w:eastAsia="zh-CN"/>
              </w:rPr>
              <w:t>冷却工序</w:t>
            </w:r>
            <w:r>
              <w:rPr>
                <w:rFonts w:hint="eastAsia" w:cs="Times New Roman"/>
                <w:b w:val="0"/>
                <w:bCs w:val="0"/>
                <w:color w:val="auto"/>
                <w:sz w:val="24"/>
                <w:szCs w:val="24"/>
                <w:lang w:eastAsia="zh-CN"/>
              </w:rPr>
              <w:t>，其中</w:t>
            </w:r>
            <w:r>
              <w:rPr>
                <w:rFonts w:hint="eastAsia" w:ascii="Times New Roman" w:cs="Times New Roman"/>
                <w:b w:val="0"/>
                <w:bCs w:val="0"/>
                <w:color w:val="auto"/>
                <w:sz w:val="24"/>
                <w:szCs w:val="24"/>
                <w:lang w:eastAsia="zh-CN"/>
              </w:rPr>
              <w:t>静态混合工序</w:t>
            </w:r>
            <w:r>
              <w:rPr>
                <w:rFonts w:hint="eastAsia" w:cs="Times New Roman"/>
                <w:b w:val="0"/>
                <w:bCs w:val="0"/>
                <w:color w:val="auto"/>
                <w:sz w:val="24"/>
                <w:szCs w:val="24"/>
                <w:lang w:eastAsia="zh-CN"/>
              </w:rPr>
              <w:t>使用的热水为</w:t>
            </w:r>
            <w:r>
              <w:rPr>
                <w:rFonts w:hint="eastAsia" w:ascii="Times New Roman" w:cs="Times New Roman"/>
                <w:b w:val="0"/>
                <w:bCs w:val="0"/>
                <w:color w:val="auto"/>
                <w:sz w:val="24"/>
                <w:szCs w:val="24"/>
                <w:lang w:eastAsia="zh-CN"/>
              </w:rPr>
              <w:t>薄膜蒸发工序</w:t>
            </w:r>
            <w:r>
              <w:rPr>
                <w:rFonts w:hint="eastAsia" w:cs="Times New Roman"/>
                <w:b w:val="0"/>
                <w:bCs w:val="0"/>
                <w:color w:val="auto"/>
                <w:sz w:val="24"/>
                <w:szCs w:val="24"/>
                <w:lang w:eastAsia="zh-CN"/>
              </w:rPr>
              <w:t>的蒸汽冷凝水；磷脂冷却工序使用的冷却循环水。</w:t>
            </w:r>
          </w:p>
          <w:p w14:paraId="699E8816">
            <w:pPr>
              <w:ind w:firstLine="480"/>
              <w:rPr>
                <w:rFonts w:hint="eastAsia" w:cs="Times New Roman"/>
                <w:b w:val="0"/>
                <w:bCs w:val="0"/>
                <w:color w:val="auto"/>
                <w:sz w:val="24"/>
                <w:szCs w:val="24"/>
                <w:lang w:eastAsia="zh-CN"/>
              </w:rPr>
            </w:pPr>
            <w:r>
              <w:rPr>
                <w:rFonts w:hint="eastAsia" w:cs="Times New Roman"/>
                <w:b w:val="0"/>
                <w:bCs w:val="0"/>
                <w:color w:val="auto"/>
                <w:sz w:val="24"/>
                <w:szCs w:val="24"/>
                <w:lang w:eastAsia="zh-CN"/>
              </w:rPr>
              <w:t>薄膜蒸发工序</w:t>
            </w:r>
            <w:r>
              <w:rPr>
                <w:rFonts w:hint="eastAsia" w:ascii="Times New Roman" w:cs="Times New Roman"/>
                <w:b w:val="0"/>
                <w:bCs w:val="0"/>
                <w:color w:val="auto"/>
                <w:sz w:val="24"/>
                <w:szCs w:val="24"/>
                <w:lang w:eastAsia="zh-CN"/>
              </w:rPr>
              <w:t>使用由园区供汽管网提供的蒸汽</w:t>
            </w:r>
            <w:r>
              <w:rPr>
                <w:rFonts w:hint="eastAsia" w:cs="Times New Roman"/>
                <w:b w:val="0"/>
                <w:bCs w:val="0"/>
                <w:color w:val="auto"/>
                <w:sz w:val="24"/>
                <w:szCs w:val="24"/>
                <w:lang w:eastAsia="zh-CN"/>
              </w:rPr>
              <w:t>对水化油脚进行间接加热，其产生的蒸汽冷凝水一部分添加到</w:t>
            </w:r>
            <w:r>
              <w:rPr>
                <w:rFonts w:hint="eastAsia" w:ascii="Times New Roman" w:cs="Times New Roman"/>
                <w:b w:val="0"/>
                <w:bCs w:val="0"/>
                <w:color w:val="auto"/>
                <w:sz w:val="24"/>
                <w:szCs w:val="24"/>
                <w:lang w:eastAsia="zh-CN"/>
              </w:rPr>
              <w:t>静态混合工序</w:t>
            </w:r>
            <w:r>
              <w:rPr>
                <w:rFonts w:hint="eastAsia" w:cs="Times New Roman"/>
                <w:b w:val="0"/>
                <w:bCs w:val="0"/>
                <w:color w:val="auto"/>
                <w:sz w:val="24"/>
                <w:szCs w:val="24"/>
                <w:lang w:eastAsia="zh-CN"/>
              </w:rPr>
              <w:t>，多余的蒸汽冷凝水将作为废水；</w:t>
            </w:r>
            <w:r>
              <w:rPr>
                <w:rFonts w:hint="eastAsia" w:ascii="Times New Roman" w:cs="Times New Roman"/>
                <w:b w:val="0"/>
                <w:bCs w:val="0"/>
                <w:color w:val="auto"/>
                <w:sz w:val="24"/>
                <w:szCs w:val="24"/>
                <w:lang w:eastAsia="zh-CN"/>
              </w:rPr>
              <w:t>静态混合工序</w:t>
            </w:r>
            <w:r>
              <w:rPr>
                <w:rFonts w:hint="eastAsia" w:cs="Times New Roman"/>
                <w:b w:val="0"/>
                <w:bCs w:val="0"/>
                <w:color w:val="auto"/>
                <w:sz w:val="24"/>
                <w:szCs w:val="24"/>
                <w:lang w:eastAsia="zh-CN"/>
              </w:rPr>
              <w:t>添加的蒸汽冷凝水、毛油自身携带水分</w:t>
            </w:r>
            <w:r>
              <w:rPr>
                <w:rFonts w:hint="eastAsia" w:ascii="Times New Roman" w:cs="Times New Roman"/>
                <w:b w:val="0"/>
                <w:bCs w:val="0"/>
                <w:color w:val="auto"/>
                <w:sz w:val="24"/>
                <w:szCs w:val="24"/>
                <w:lang w:eastAsia="zh-CN"/>
              </w:rPr>
              <w:t>经</w:t>
            </w:r>
            <w:r>
              <w:rPr>
                <w:rFonts w:hint="eastAsia" w:cs="Times New Roman"/>
                <w:b w:val="0"/>
                <w:bCs w:val="0"/>
                <w:color w:val="auto"/>
                <w:sz w:val="24"/>
                <w:szCs w:val="24"/>
                <w:lang w:eastAsia="zh-CN"/>
              </w:rPr>
              <w:t>薄膜蒸发后再经真空捕集也</w:t>
            </w:r>
            <w:r>
              <w:rPr>
                <w:rFonts w:hint="eastAsia" w:ascii="Times New Roman" w:cs="Times New Roman"/>
                <w:b w:val="0"/>
                <w:bCs w:val="0"/>
                <w:color w:val="auto"/>
                <w:sz w:val="24"/>
                <w:szCs w:val="24"/>
                <w:lang w:eastAsia="zh-CN"/>
              </w:rPr>
              <w:t>将产生冷凝废</w:t>
            </w:r>
            <w:r>
              <w:rPr>
                <w:rFonts w:hint="eastAsia" w:cs="Times New Roman"/>
                <w:b w:val="0"/>
                <w:bCs w:val="0"/>
                <w:color w:val="auto"/>
                <w:sz w:val="24"/>
                <w:szCs w:val="24"/>
                <w:lang w:eastAsia="zh-CN"/>
              </w:rPr>
              <w:t>水；大豆膨化生产线调质工序使用蒸汽将大豆熟化，蒸汽经冷凝后也将产生冷凝废水，该部分冷凝废水同样依托厂区现有污水处理站处理后达标排放。</w:t>
            </w:r>
          </w:p>
          <w:p w14:paraId="3399C714">
            <w:pPr>
              <w:ind w:firstLine="480"/>
              <w:rPr>
                <w:rFonts w:hint="eastAsia" w:eastAsia="宋体" w:cs="Times New Roman"/>
                <w:color w:val="auto"/>
                <w:sz w:val="24"/>
                <w:szCs w:val="24"/>
                <w:highlight w:val="none"/>
                <w:lang w:val="en-US" w:eastAsia="zh-CN"/>
              </w:rPr>
            </w:pPr>
            <w:r>
              <w:rPr>
                <w:rFonts w:hint="eastAsia" w:cs="Times New Roman"/>
                <w:b w:val="0"/>
                <w:bCs w:val="0"/>
                <w:color w:val="auto"/>
                <w:sz w:val="24"/>
                <w:szCs w:val="24"/>
                <w:highlight w:val="none"/>
                <w:lang w:eastAsia="zh-CN"/>
              </w:rPr>
              <w:t>静态混合用水：静态混合工序使用的热水为薄膜蒸发器的蒸汽冷凝水，由表</w:t>
            </w:r>
            <w:r>
              <w:rPr>
                <w:rFonts w:hint="eastAsia" w:cs="Times New Roman"/>
                <w:b w:val="0"/>
                <w:bCs w:val="0"/>
                <w:color w:val="auto"/>
                <w:sz w:val="24"/>
                <w:szCs w:val="24"/>
                <w:highlight w:val="none"/>
                <w:lang w:val="en-US" w:eastAsia="zh-CN"/>
              </w:rPr>
              <w:t>2.4-3及</w:t>
            </w:r>
            <w:r>
              <w:rPr>
                <w:rFonts w:hint="eastAsia" w:cs="Times New Roman"/>
                <w:b w:val="0"/>
                <w:bCs w:val="0"/>
                <w:color w:val="auto"/>
                <w:sz w:val="24"/>
                <w:szCs w:val="24"/>
                <w:highlight w:val="none"/>
                <w:lang w:eastAsia="zh-CN"/>
              </w:rPr>
              <w:t>工艺流程分析可知，毛油与蒸汽冷凝水的混合比例为</w:t>
            </w:r>
            <w:r>
              <w:rPr>
                <w:rFonts w:hint="eastAsia" w:cs="Times New Roman"/>
                <w:b w:val="0"/>
                <w:bCs w:val="0"/>
                <w:color w:val="auto"/>
                <w:sz w:val="24"/>
                <w:szCs w:val="24"/>
                <w:highlight w:val="none"/>
                <w:lang w:val="en-US" w:eastAsia="zh-CN"/>
              </w:rPr>
              <w:t>40</w:t>
            </w:r>
            <w:r>
              <w:rPr>
                <w:rFonts w:hint="eastAsia" w:eastAsia="宋体" w:cs="Times New Roman"/>
                <w:color w:val="auto"/>
                <w:sz w:val="24"/>
                <w:szCs w:val="24"/>
                <w:highlight w:val="none"/>
                <w:lang w:val="en-US" w:eastAsia="zh-CN"/>
              </w:rPr>
              <w:t>:1，进入磷脂分线的毛油量为302926t/a，则静态混合工序用水量为25.672m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/d，即7573m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/a，静态混合工序添加的热水经真空捕集后产生的冷凝废水按0.9计，则冷凝废水产生量为23.105m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/d，即6816m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/a。</w:t>
            </w:r>
          </w:p>
          <w:p w14:paraId="20CBC5C2">
            <w:pPr>
              <w:bidi w:val="0"/>
              <w:rPr>
                <w:rFonts w:hint="default"/>
                <w:color w:val="auto"/>
                <w:highlight w:val="yellow"/>
                <w:lang w:val="en-US" w:eastAsia="zh-CN"/>
              </w:rPr>
            </w:pPr>
            <w:r>
              <w:rPr>
                <w:rFonts w:hint="eastAsia"/>
                <w:color w:val="auto"/>
                <w:highlight w:val="none"/>
                <w:lang w:val="en-US" w:eastAsia="zh-CN"/>
              </w:rPr>
              <w:t>毛油</w:t>
            </w:r>
            <w:r>
              <w:rPr>
                <w:rFonts w:hint="default"/>
                <w:color w:val="auto"/>
                <w:highlight w:val="none"/>
                <w:lang w:val="en-US" w:eastAsia="zh-CN"/>
              </w:rPr>
              <w:t>蒸发水</w:t>
            </w:r>
            <w:r>
              <w:rPr>
                <w:rFonts w:hint="eastAsia"/>
                <w:color w:val="auto"/>
                <w:highlight w:val="none"/>
                <w:lang w:val="en-US" w:eastAsia="zh-CN"/>
              </w:rPr>
              <w:t>分</w:t>
            </w:r>
            <w:r>
              <w:rPr>
                <w:rFonts w:hint="default"/>
                <w:color w:val="auto"/>
                <w:highlight w:val="none"/>
                <w:lang w:val="en-US" w:eastAsia="zh-CN"/>
              </w:rPr>
              <w:t>：根据建设单位提供的资料，毛油的含水率约为2%，经静态混合后毛油中的水分主要集中在下层的油脚中，毛油经离心分离后水分被油脚带走，再经薄膜蒸发后，水分被蒸发掉约50%，蒸发掉的水分经真空捕集后将产生冷凝水。进入磷脂分线的毛油量为</w:t>
            </w:r>
            <w:r>
              <w:rPr>
                <w:rFonts w:hint="eastAsia"/>
                <w:color w:val="auto"/>
                <w:highlight w:val="none"/>
                <w:lang w:val="en-US" w:eastAsia="zh-CN"/>
              </w:rPr>
              <w:t>302926</w:t>
            </w:r>
            <w:r>
              <w:rPr>
                <w:rFonts w:hint="default"/>
                <w:color w:val="auto"/>
                <w:highlight w:val="none"/>
                <w:lang w:val="en-US" w:eastAsia="zh-CN"/>
              </w:rPr>
              <w:t>t/a，</w:t>
            </w:r>
            <w:r>
              <w:rPr>
                <w:rFonts w:hint="eastAsia"/>
                <w:color w:val="auto"/>
                <w:highlight w:val="none"/>
                <w:lang w:val="en-US" w:eastAsia="zh-CN"/>
              </w:rPr>
              <w:t>蒸发水量为</w:t>
            </w:r>
            <w:r>
              <w:rPr>
                <w:rFonts w:hint="eastAsia" w:eastAsia="宋体" w:cs="Times New Roman"/>
                <w:color w:val="auto"/>
                <w:sz w:val="24"/>
                <w:szCs w:val="24"/>
                <w:highlight w:val="none"/>
                <w:lang w:val="en-US" w:eastAsia="zh-CN"/>
              </w:rPr>
              <w:t>10.269m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/d，即，3029m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/a，</w:t>
            </w:r>
            <w:r>
              <w:rPr>
                <w:rFonts w:hint="eastAsia"/>
                <w:color w:val="auto"/>
                <w:highlight w:val="none"/>
                <w:lang w:val="en-US" w:eastAsia="zh-CN"/>
              </w:rPr>
              <w:t>冷凝废水产生量按蒸发水量的0.9计，则冷凝废水产生量为</w:t>
            </w:r>
            <w:r>
              <w:rPr>
                <w:rFonts w:hint="eastAsia" w:eastAsia="宋体" w:cs="Times New Roman"/>
                <w:color w:val="auto"/>
                <w:sz w:val="24"/>
                <w:szCs w:val="24"/>
                <w:highlight w:val="none"/>
                <w:lang w:val="en-US" w:eastAsia="zh-CN"/>
              </w:rPr>
              <w:t>9.242m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/d，即2726m</w:t>
            </w:r>
            <w:r>
              <w:rPr>
                <w:rFonts w:hint="eastAsia" w:eastAsia="宋体" w:cs="Times New Roman"/>
                <w:color w:val="auto"/>
                <w:sz w:val="24"/>
                <w:szCs w:val="24"/>
                <w:highlight w:val="none"/>
                <w:vertAlign w:val="superscript"/>
                <w:lang w:val="en-US" w:eastAsia="zh-CN"/>
              </w:rPr>
              <w:t>3</w:t>
            </w:r>
            <w:r>
              <w:rPr>
                <w:rFonts w:hint="eastAsia" w:eastAsia="宋体" w:cs="Times New Roman"/>
                <w:color w:val="auto"/>
                <w:sz w:val="24"/>
                <w:szCs w:val="24"/>
                <w:highlight w:val="none"/>
                <w:lang w:val="en-US" w:eastAsia="zh-CN"/>
              </w:rPr>
              <w:t>/a。</w:t>
            </w:r>
          </w:p>
          <w:p w14:paraId="7B3CE8FF">
            <w:pPr>
              <w:ind w:firstLine="480"/>
              <w:rPr>
                <w:rFonts w:hint="default" w:ascii="Times New Roman" w:cs="Times New Roman"/>
                <w:b w:val="0"/>
                <w:bCs w:val="0"/>
                <w:color w:val="auto"/>
                <w:sz w:val="24"/>
                <w:szCs w:val="24"/>
                <w:highlight w:val="none"/>
                <w:lang w:val="en-US" w:eastAsia="zh-CN"/>
              </w:rPr>
            </w:pPr>
            <w:r>
              <w:rPr>
                <w:rFonts w:hint="eastAsia" w:cs="Times New Roman"/>
                <w:b w:val="0"/>
                <w:bCs w:val="0"/>
                <w:color w:val="auto"/>
                <w:sz w:val="24"/>
                <w:szCs w:val="24"/>
                <w:highlight w:val="none"/>
                <w:lang w:eastAsia="zh-CN"/>
              </w:rPr>
              <w:t>薄膜蒸发工序蒸汽冷凝水：由表</w:t>
            </w:r>
            <w:r>
              <w:rPr>
                <w:rFonts w:hint="eastAsia" w:cs="Times New Roman"/>
                <w:b w:val="0"/>
                <w:bCs w:val="0"/>
                <w:color w:val="auto"/>
                <w:sz w:val="24"/>
                <w:szCs w:val="24"/>
                <w:highlight w:val="none"/>
                <w:lang w:val="en-US" w:eastAsia="zh-CN"/>
              </w:rPr>
              <w:t>2.3-1分析及工艺流程分析可知，薄膜蒸发器需要蒸汽对水化油脚进行加热，磷脂分线配备2台薄膜蒸发器（一用一备），蒸汽用量为</w:t>
            </w:r>
            <w:r>
              <w:rPr>
                <w:rFonts w:hint="eastAsia" w:ascii="Times New Roman" w:hAnsi="Times New Roman" w:eastAsia="宋体" w:cs="Times New Roman"/>
                <w:color w:val="auto"/>
                <w:highlight w:val="none"/>
                <w:lang w:val="en-US" w:eastAsia="zh-CN"/>
              </w:rPr>
              <w:t>6t/h</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台</w:t>
            </w:r>
            <w:r>
              <w:rPr>
                <w:rFonts w:hint="eastAsia" w:eastAsia="宋体" w:cs="Times New Roman"/>
                <w:color w:val="auto"/>
                <w:highlight w:val="none"/>
                <w:lang w:val="en-US" w:eastAsia="zh-CN"/>
              </w:rPr>
              <w:t>，则蒸汽冷凝水产生量为144m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/d，即42480m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/a，冷凝水经静态混合工序使用一部分后，</w:t>
            </w:r>
            <w:r>
              <w:rPr>
                <w:rFonts w:hint="eastAsia" w:cs="Times New Roman"/>
                <w:b w:val="0"/>
                <w:bCs w:val="0"/>
                <w:color w:val="auto"/>
                <w:sz w:val="24"/>
                <w:szCs w:val="24"/>
                <w:highlight w:val="none"/>
                <w:lang w:eastAsia="zh-CN"/>
              </w:rPr>
              <w:t>剩余的冷凝水废水产生量为</w:t>
            </w:r>
            <w:r>
              <w:rPr>
                <w:rFonts w:hint="eastAsia" w:cs="Times New Roman"/>
                <w:b w:val="0"/>
                <w:bCs w:val="0"/>
                <w:color w:val="auto"/>
                <w:sz w:val="24"/>
                <w:szCs w:val="24"/>
                <w:highlight w:val="none"/>
                <w:lang w:val="en-US" w:eastAsia="zh-CN"/>
              </w:rPr>
              <w:t>118.328</w:t>
            </w:r>
            <w:r>
              <w:rPr>
                <w:rFonts w:hint="eastAsia" w:eastAsia="宋体" w:cs="Times New Roman"/>
                <w:color w:val="auto"/>
                <w:highlight w:val="none"/>
                <w:lang w:val="en-US" w:eastAsia="zh-CN"/>
              </w:rPr>
              <w:t>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/d，即34907m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/a。</w:t>
            </w:r>
          </w:p>
          <w:p w14:paraId="17DF8DB3">
            <w:pPr>
              <w:ind w:firstLine="480"/>
              <w:rPr>
                <w:rFonts w:hint="eastAsia" w:cs="Times New Roman"/>
                <w:b w:val="0"/>
                <w:bCs w:val="0"/>
                <w:color w:val="auto"/>
                <w:sz w:val="24"/>
                <w:szCs w:val="24"/>
                <w:lang w:eastAsia="zh-CN"/>
              </w:rPr>
            </w:pPr>
            <w:r>
              <w:rPr>
                <w:rFonts w:hint="eastAsia" w:cs="Times New Roman"/>
                <w:b w:val="0"/>
                <w:bCs w:val="0"/>
                <w:color w:val="auto"/>
                <w:sz w:val="24"/>
                <w:szCs w:val="24"/>
                <w:lang w:eastAsia="zh-CN"/>
              </w:rPr>
              <w:t>调质工序蒸汽冷凝水：</w:t>
            </w:r>
            <w:r>
              <w:rPr>
                <w:rFonts w:hint="eastAsia" w:cs="Times New Roman"/>
                <w:b w:val="0"/>
                <w:bCs w:val="0"/>
                <w:color w:val="auto"/>
                <w:sz w:val="24"/>
                <w:szCs w:val="24"/>
                <w:highlight w:val="none"/>
                <w:lang w:eastAsia="zh-CN"/>
              </w:rPr>
              <w:t>由表</w:t>
            </w:r>
            <w:r>
              <w:rPr>
                <w:rFonts w:hint="eastAsia" w:cs="Times New Roman"/>
                <w:b w:val="0"/>
                <w:bCs w:val="0"/>
                <w:color w:val="auto"/>
                <w:sz w:val="24"/>
                <w:szCs w:val="24"/>
                <w:highlight w:val="none"/>
                <w:lang w:val="en-US" w:eastAsia="zh-CN"/>
              </w:rPr>
              <w:t>2.3-1分析及工艺流程分析可知，调质器需要蒸汽对大豆进行熟化，大豆膨化配备1台调质器，蒸汽用量为</w:t>
            </w:r>
            <w:r>
              <w:rPr>
                <w:rFonts w:hint="eastAsia" w:eastAsia="宋体" w:cs="Times New Roman"/>
                <w:color w:val="auto"/>
                <w:highlight w:val="none"/>
                <w:lang w:val="en-US" w:eastAsia="zh-CN"/>
              </w:rPr>
              <w:t>0.7</w:t>
            </w:r>
            <w:r>
              <w:rPr>
                <w:rFonts w:hint="eastAsia" w:ascii="Times New Roman" w:hAnsi="Times New Roman" w:eastAsia="宋体" w:cs="Times New Roman"/>
                <w:color w:val="auto"/>
                <w:highlight w:val="none"/>
                <w:lang w:val="en-US" w:eastAsia="zh-CN"/>
              </w:rPr>
              <w:t>t/h</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台</w:t>
            </w:r>
            <w:r>
              <w:rPr>
                <w:rFonts w:hint="eastAsia" w:eastAsia="宋体" w:cs="Times New Roman"/>
                <w:color w:val="auto"/>
                <w:highlight w:val="none"/>
                <w:lang w:val="en-US" w:eastAsia="zh-CN"/>
              </w:rPr>
              <w:t>，则蒸汽冷凝水产生量为6.531m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/d，即5040m</w:t>
            </w:r>
            <w:r>
              <w:rPr>
                <w:rFonts w:hint="eastAsia" w:eastAsia="宋体" w:cs="Times New Roman"/>
                <w:color w:val="auto"/>
                <w:highlight w:val="none"/>
                <w:vertAlign w:val="superscript"/>
                <w:lang w:val="en-US" w:eastAsia="zh-CN"/>
              </w:rPr>
              <w:t>3</w:t>
            </w:r>
            <w:r>
              <w:rPr>
                <w:rFonts w:hint="eastAsia" w:eastAsia="宋体" w:cs="Times New Roman"/>
                <w:color w:val="auto"/>
                <w:highlight w:val="none"/>
                <w:lang w:val="en-US" w:eastAsia="zh-CN"/>
              </w:rPr>
              <w:t>/a。</w:t>
            </w:r>
          </w:p>
          <w:p w14:paraId="16F1BAB9">
            <w:pPr>
              <w:bidi w:val="0"/>
              <w:rPr>
                <w:rFonts w:hint="default"/>
                <w:color w:val="auto"/>
                <w:sz w:val="24"/>
                <w:highlight w:val="none"/>
                <w:lang w:val="en-US" w:eastAsia="zh-CN"/>
              </w:rPr>
            </w:pPr>
            <w:r>
              <w:rPr>
                <w:rFonts w:hint="eastAsia" w:cs="Times New Roman"/>
                <w:b w:val="0"/>
                <w:bCs w:val="0"/>
                <w:color w:val="auto"/>
                <w:sz w:val="24"/>
                <w:szCs w:val="24"/>
                <w:lang w:eastAsia="zh-CN"/>
              </w:rPr>
              <w:t>磷脂冷却器用水：</w:t>
            </w:r>
            <w:r>
              <w:rPr>
                <w:rFonts w:hint="eastAsia"/>
                <w:color w:val="auto"/>
                <w:sz w:val="24"/>
                <w:highlight w:val="none"/>
                <w:lang w:val="en-US" w:eastAsia="zh-CN"/>
              </w:rPr>
              <w:t>由表2.3-1分析可知，本项目配备2台磷脂冷却器冷却浓缩磷脂，其循环水量为5m</w:t>
            </w:r>
            <w:r>
              <w:rPr>
                <w:rFonts w:hint="eastAsia"/>
                <w:color w:val="auto"/>
                <w:sz w:val="24"/>
                <w:highlight w:val="none"/>
                <w:vertAlign w:val="superscript"/>
                <w:lang w:val="en-US" w:eastAsia="zh-CN"/>
              </w:rPr>
              <w:t>3</w:t>
            </w:r>
            <w:r>
              <w:rPr>
                <w:rFonts w:hint="eastAsia"/>
                <w:color w:val="auto"/>
                <w:sz w:val="24"/>
                <w:highlight w:val="none"/>
                <w:lang w:val="en-US" w:eastAsia="zh-CN"/>
              </w:rPr>
              <w:t>/h，冷却水循环使用不排外，冷却循环水蒸发后定时补水，其用水量按循环水量的1%计，则磷脂冷凝器补充水量为2.40m</w:t>
            </w:r>
            <w:r>
              <w:rPr>
                <w:rFonts w:hint="eastAsia"/>
                <w:color w:val="auto"/>
                <w:sz w:val="24"/>
                <w:highlight w:val="none"/>
                <w:vertAlign w:val="superscript"/>
                <w:lang w:val="en-US" w:eastAsia="zh-CN"/>
              </w:rPr>
              <w:t>3</w:t>
            </w:r>
            <w:r>
              <w:rPr>
                <w:rFonts w:hint="eastAsia"/>
                <w:color w:val="auto"/>
                <w:sz w:val="24"/>
                <w:highlight w:val="none"/>
                <w:lang w:val="en-US" w:eastAsia="zh-CN"/>
              </w:rPr>
              <w:t>/d，即600m</w:t>
            </w:r>
            <w:r>
              <w:rPr>
                <w:rFonts w:hint="eastAsia"/>
                <w:color w:val="auto"/>
                <w:sz w:val="24"/>
                <w:highlight w:val="none"/>
                <w:vertAlign w:val="superscript"/>
                <w:lang w:val="en-US" w:eastAsia="zh-CN"/>
              </w:rPr>
              <w:t>3</w:t>
            </w:r>
            <w:r>
              <w:rPr>
                <w:rFonts w:hint="eastAsia"/>
                <w:color w:val="auto"/>
                <w:sz w:val="24"/>
                <w:highlight w:val="none"/>
                <w:lang w:val="en-US" w:eastAsia="zh-CN"/>
              </w:rPr>
              <w:t>/a。</w:t>
            </w:r>
          </w:p>
          <w:p w14:paraId="6C9398C8">
            <w:pPr>
              <w:ind w:left="0" w:leftChars="0" w:firstLine="480" w:firstLineChars="200"/>
              <w:jc w:val="both"/>
              <w:rPr>
                <w:color w:val="auto"/>
                <w:sz w:val="24"/>
              </w:rPr>
            </w:pPr>
            <w:r>
              <w:rPr>
                <w:rFonts w:hint="eastAsia" w:eastAsia="宋体"/>
                <w:color w:val="auto"/>
                <w:sz w:val="24"/>
                <w:lang w:eastAsia="zh-CN"/>
              </w:rPr>
              <w:t>本项目</w:t>
            </w:r>
            <w:r>
              <w:rPr>
                <w:color w:val="auto"/>
                <w:sz w:val="24"/>
              </w:rPr>
              <w:t>用水量核算见表2.</w:t>
            </w:r>
            <w:r>
              <w:rPr>
                <w:rFonts w:hint="eastAsia" w:eastAsia="宋体"/>
                <w:color w:val="auto"/>
                <w:sz w:val="24"/>
                <w:lang w:val="en-US" w:eastAsia="zh-CN"/>
              </w:rPr>
              <w:t>4-1</w:t>
            </w:r>
            <w:r>
              <w:rPr>
                <w:rFonts w:hint="eastAsia" w:eastAsia="宋体"/>
                <w:color w:val="auto"/>
                <w:sz w:val="24"/>
                <w:lang w:eastAsia="zh-CN"/>
              </w:rPr>
              <w:t>，</w:t>
            </w:r>
            <w:r>
              <w:rPr>
                <w:color w:val="auto"/>
                <w:sz w:val="24"/>
              </w:rPr>
              <w:t>其水平衡</w:t>
            </w:r>
            <w:r>
              <w:rPr>
                <w:rFonts w:hint="eastAsia"/>
                <w:color w:val="auto"/>
                <w:sz w:val="24"/>
                <w:lang w:eastAsia="zh-CN"/>
              </w:rPr>
              <w:t>图</w:t>
            </w:r>
            <w:r>
              <w:rPr>
                <w:color w:val="auto"/>
                <w:sz w:val="24"/>
              </w:rPr>
              <w:t>见图2.1。</w:t>
            </w:r>
          </w:p>
          <w:p w14:paraId="1C4ACE36">
            <w:pPr>
              <w:adjustRightInd w:val="0"/>
              <w:snapToGrid w:val="0"/>
              <w:spacing w:line="360" w:lineRule="auto"/>
              <w:ind w:left="0" w:leftChars="0" w:firstLine="0" w:firstLineChars="0"/>
              <w:jc w:val="center"/>
              <w:rPr>
                <w:color w:val="auto"/>
                <w:sz w:val="21"/>
                <w:szCs w:val="21"/>
                <w:highlight w:val="none"/>
              </w:rPr>
            </w:pPr>
            <w:r>
              <w:rPr>
                <w:color w:val="auto"/>
                <w:sz w:val="21"/>
                <w:szCs w:val="21"/>
                <w:highlight w:val="none"/>
              </w:rPr>
              <w:t>表2.</w:t>
            </w:r>
            <w:r>
              <w:rPr>
                <w:rFonts w:hint="eastAsia" w:eastAsia="宋体"/>
                <w:color w:val="auto"/>
                <w:sz w:val="21"/>
                <w:szCs w:val="21"/>
                <w:highlight w:val="none"/>
                <w:lang w:val="en-US" w:eastAsia="zh-CN"/>
              </w:rPr>
              <w:t>4-1</w:t>
            </w:r>
            <w:r>
              <w:rPr>
                <w:color w:val="auto"/>
                <w:sz w:val="21"/>
                <w:szCs w:val="21"/>
                <w:highlight w:val="none"/>
              </w:rPr>
              <w:t xml:space="preserve"> 本项目用水量核算表</w:t>
            </w:r>
          </w:p>
          <w:tbl>
            <w:tblPr>
              <w:tblStyle w:val="17"/>
              <w:tblW w:w="8422"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612"/>
              <w:gridCol w:w="993"/>
              <w:gridCol w:w="1192"/>
              <w:gridCol w:w="1106"/>
              <w:gridCol w:w="1019"/>
              <w:gridCol w:w="1052"/>
              <w:gridCol w:w="1022"/>
            </w:tblGrid>
            <w:tr w14:paraId="649D82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26" w:type="dxa"/>
                  <w:tcBorders>
                    <w:top w:val="single" w:color="auto" w:sz="4" w:space="0"/>
                    <w:left w:val="nil"/>
                    <w:bottom w:val="single" w:color="auto" w:sz="4" w:space="0"/>
                    <w:right w:val="single" w:color="auto" w:sz="4" w:space="0"/>
                  </w:tcBorders>
                  <w:vAlign w:val="center"/>
                </w:tcPr>
                <w:p w14:paraId="61FB2EE8">
                  <w:pPr>
                    <w:pStyle w:val="3"/>
                    <w:bidi w:val="0"/>
                    <w:rPr>
                      <w:color w:val="auto"/>
                    </w:rPr>
                  </w:pPr>
                  <w:r>
                    <w:rPr>
                      <w:color w:val="auto"/>
                    </w:rPr>
                    <w:t>序号</w:t>
                  </w:r>
                </w:p>
              </w:tc>
              <w:tc>
                <w:tcPr>
                  <w:tcW w:w="1612" w:type="dxa"/>
                  <w:tcBorders>
                    <w:top w:val="single" w:color="auto" w:sz="4" w:space="0"/>
                    <w:left w:val="single" w:color="auto" w:sz="4" w:space="0"/>
                    <w:bottom w:val="single" w:color="auto" w:sz="4" w:space="0"/>
                    <w:right w:val="single" w:color="auto" w:sz="4" w:space="0"/>
                  </w:tcBorders>
                  <w:vAlign w:val="center"/>
                </w:tcPr>
                <w:p w14:paraId="5018DE11">
                  <w:pPr>
                    <w:pStyle w:val="3"/>
                    <w:bidi w:val="0"/>
                    <w:rPr>
                      <w:color w:val="auto"/>
                    </w:rPr>
                  </w:pPr>
                  <w:r>
                    <w:rPr>
                      <w:color w:val="auto"/>
                    </w:rPr>
                    <w:t>用水项目</w:t>
                  </w:r>
                </w:p>
              </w:tc>
              <w:tc>
                <w:tcPr>
                  <w:tcW w:w="993" w:type="dxa"/>
                  <w:tcBorders>
                    <w:top w:val="single" w:color="auto" w:sz="4" w:space="0"/>
                    <w:left w:val="single" w:color="auto" w:sz="4" w:space="0"/>
                    <w:bottom w:val="single" w:color="auto" w:sz="4" w:space="0"/>
                    <w:right w:val="single" w:color="auto" w:sz="4" w:space="0"/>
                  </w:tcBorders>
                  <w:vAlign w:val="center"/>
                </w:tcPr>
                <w:p w14:paraId="0C4E1BE9">
                  <w:pPr>
                    <w:pStyle w:val="3"/>
                    <w:bidi w:val="0"/>
                    <w:rPr>
                      <w:color w:val="auto"/>
                    </w:rPr>
                  </w:pPr>
                  <w:r>
                    <w:rPr>
                      <w:color w:val="auto"/>
                    </w:rPr>
                    <w:t>数量</w:t>
                  </w:r>
                </w:p>
              </w:tc>
              <w:tc>
                <w:tcPr>
                  <w:tcW w:w="1192" w:type="dxa"/>
                  <w:tcBorders>
                    <w:top w:val="single" w:color="auto" w:sz="4" w:space="0"/>
                    <w:left w:val="single" w:color="auto" w:sz="4" w:space="0"/>
                    <w:bottom w:val="single" w:color="auto" w:sz="4" w:space="0"/>
                    <w:right w:val="single" w:color="auto" w:sz="4" w:space="0"/>
                  </w:tcBorders>
                  <w:vAlign w:val="center"/>
                </w:tcPr>
                <w:p w14:paraId="3B022FE6">
                  <w:pPr>
                    <w:pStyle w:val="3"/>
                    <w:bidi w:val="0"/>
                    <w:rPr>
                      <w:color w:val="auto"/>
                    </w:rPr>
                  </w:pPr>
                  <w:r>
                    <w:rPr>
                      <w:color w:val="auto"/>
                    </w:rPr>
                    <w:t>用水标准</w:t>
                  </w:r>
                </w:p>
              </w:tc>
              <w:tc>
                <w:tcPr>
                  <w:tcW w:w="1106" w:type="dxa"/>
                  <w:tcBorders>
                    <w:top w:val="single" w:color="auto" w:sz="4" w:space="0"/>
                    <w:left w:val="single" w:color="auto" w:sz="4" w:space="0"/>
                    <w:bottom w:val="single" w:color="auto" w:sz="4" w:space="0"/>
                    <w:right w:val="single" w:color="auto" w:sz="4" w:space="0"/>
                  </w:tcBorders>
                  <w:vAlign w:val="center"/>
                </w:tcPr>
                <w:p w14:paraId="6C75B096">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日</w:t>
                  </w:r>
                  <w:r>
                    <w:rPr>
                      <w:rFonts w:hint="default" w:ascii="Times New Roman" w:hAnsi="Times New Roman" w:cs="Times New Roman"/>
                      <w:color w:val="auto"/>
                    </w:rPr>
                    <w:t>用水量（m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tc>
              <w:tc>
                <w:tcPr>
                  <w:tcW w:w="1019" w:type="dxa"/>
                  <w:tcBorders>
                    <w:top w:val="single" w:color="auto" w:sz="4" w:space="0"/>
                    <w:left w:val="single" w:color="auto" w:sz="4" w:space="0"/>
                    <w:bottom w:val="single" w:color="auto" w:sz="4" w:space="0"/>
                    <w:right w:val="single" w:color="auto" w:sz="4" w:space="0"/>
                  </w:tcBorders>
                  <w:vAlign w:val="center"/>
                </w:tcPr>
                <w:p w14:paraId="7DC12401">
                  <w:pPr>
                    <w:pStyle w:val="3"/>
                    <w:bidi w:val="0"/>
                    <w:rPr>
                      <w:rFonts w:hint="default" w:ascii="Times New Roman" w:hAnsi="Times New Roman" w:cs="Times New Roman"/>
                      <w:color w:val="auto"/>
                    </w:rPr>
                  </w:pPr>
                  <w:r>
                    <w:rPr>
                      <w:rFonts w:hint="default" w:ascii="Times New Roman" w:hAnsi="Times New Roman" w:cs="Times New Roman"/>
                      <w:color w:val="auto"/>
                    </w:rPr>
                    <w:t>年用</w:t>
                  </w:r>
                </w:p>
                <w:p w14:paraId="26C3985D">
                  <w:pPr>
                    <w:pStyle w:val="3"/>
                    <w:bidi w:val="0"/>
                    <w:rPr>
                      <w:rFonts w:hint="default" w:ascii="Times New Roman" w:hAnsi="Times New Roman" w:cs="Times New Roman"/>
                      <w:color w:val="auto"/>
                    </w:rPr>
                  </w:pPr>
                  <w:r>
                    <w:rPr>
                      <w:rFonts w:hint="default" w:ascii="Times New Roman" w:hAnsi="Times New Roman" w:cs="Times New Roman"/>
                      <w:color w:val="auto"/>
                    </w:rPr>
                    <w:t>水量</w:t>
                  </w:r>
                </w:p>
                <w:p w14:paraId="5064FEAE">
                  <w:pPr>
                    <w:pStyle w:val="3"/>
                    <w:bidi w:val="0"/>
                    <w:rPr>
                      <w:rFonts w:hint="default" w:ascii="Times New Roman" w:hAnsi="Times New Roman" w:cs="Times New Roman"/>
                      <w:color w:val="auto"/>
                    </w:rPr>
                  </w:pP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w:t>
                  </w:r>
                </w:p>
              </w:tc>
              <w:tc>
                <w:tcPr>
                  <w:tcW w:w="1052" w:type="dxa"/>
                  <w:tcBorders>
                    <w:top w:val="single" w:color="auto" w:sz="4" w:space="0"/>
                    <w:left w:val="single" w:color="auto" w:sz="4" w:space="0"/>
                    <w:bottom w:val="single" w:color="auto" w:sz="4" w:space="0"/>
                    <w:right w:val="nil"/>
                  </w:tcBorders>
                  <w:vAlign w:val="center"/>
                </w:tcPr>
                <w:p w14:paraId="5ADF18FD">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日</w:t>
                  </w:r>
                  <w:r>
                    <w:rPr>
                      <w:rFonts w:hint="default" w:ascii="Times New Roman" w:hAnsi="Times New Roman" w:cs="Times New Roman"/>
                      <w:color w:val="auto"/>
                    </w:rPr>
                    <w:t>排水量（m</w:t>
                  </w:r>
                  <w:r>
                    <w:rPr>
                      <w:rFonts w:hint="default" w:ascii="Times New Roman" w:hAnsi="Times New Roman" w:cs="Times New Roman"/>
                      <w:color w:val="auto"/>
                      <w:vertAlign w:val="superscript"/>
                    </w:rPr>
                    <w:t>3</w:t>
                  </w:r>
                  <w:r>
                    <w:rPr>
                      <w:rFonts w:hint="default" w:ascii="Times New Roman" w:hAnsi="Times New Roman" w:cs="Times New Roman"/>
                      <w:color w:val="auto"/>
                    </w:rPr>
                    <w:t>/d）</w:t>
                  </w:r>
                </w:p>
              </w:tc>
              <w:tc>
                <w:tcPr>
                  <w:tcW w:w="1022" w:type="dxa"/>
                  <w:tcBorders>
                    <w:top w:val="single" w:color="auto" w:sz="4" w:space="0"/>
                    <w:left w:val="single" w:color="auto" w:sz="4" w:space="0"/>
                    <w:bottom w:val="single" w:color="auto" w:sz="4" w:space="0"/>
                    <w:right w:val="nil"/>
                  </w:tcBorders>
                  <w:vAlign w:val="center"/>
                </w:tcPr>
                <w:p w14:paraId="6D0A859A">
                  <w:pPr>
                    <w:pStyle w:val="3"/>
                    <w:bidi w:val="0"/>
                    <w:rPr>
                      <w:rFonts w:hint="default" w:ascii="Times New Roman" w:hAnsi="Times New Roman" w:cs="Times New Roman"/>
                      <w:color w:val="auto"/>
                    </w:rPr>
                  </w:pPr>
                  <w:r>
                    <w:rPr>
                      <w:rFonts w:hint="default" w:ascii="Times New Roman" w:hAnsi="Times New Roman" w:cs="Times New Roman"/>
                      <w:color w:val="auto"/>
                    </w:rPr>
                    <w:t>年排</w:t>
                  </w:r>
                </w:p>
                <w:p w14:paraId="3E23DD8A">
                  <w:pPr>
                    <w:pStyle w:val="3"/>
                    <w:bidi w:val="0"/>
                    <w:rPr>
                      <w:rFonts w:hint="default" w:ascii="Times New Roman" w:hAnsi="Times New Roman" w:cs="Times New Roman"/>
                      <w:color w:val="auto"/>
                    </w:rPr>
                  </w:pPr>
                  <w:r>
                    <w:rPr>
                      <w:rFonts w:hint="default" w:ascii="Times New Roman" w:hAnsi="Times New Roman" w:cs="Times New Roman"/>
                      <w:color w:val="auto"/>
                    </w:rPr>
                    <w:t>水量</w:t>
                  </w:r>
                </w:p>
                <w:p w14:paraId="6088CCDD">
                  <w:pPr>
                    <w:pStyle w:val="3"/>
                    <w:bidi w:val="0"/>
                    <w:rPr>
                      <w:rFonts w:hint="default" w:ascii="Times New Roman" w:hAnsi="Times New Roman" w:cs="Times New Roman"/>
                      <w:color w:val="auto"/>
                    </w:rPr>
                  </w:pP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w:t>
                  </w:r>
                </w:p>
              </w:tc>
            </w:tr>
            <w:tr w14:paraId="05B355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2" w:type="dxa"/>
                  <w:gridSpan w:val="8"/>
                  <w:tcBorders>
                    <w:top w:val="single" w:color="auto" w:sz="4" w:space="0"/>
                    <w:left w:val="nil"/>
                    <w:bottom w:val="single" w:color="auto" w:sz="4" w:space="0"/>
                    <w:right w:val="nil"/>
                  </w:tcBorders>
                  <w:vAlign w:val="center"/>
                </w:tcPr>
                <w:p w14:paraId="081A4E8B">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新鲜水</w:t>
                  </w:r>
                </w:p>
              </w:tc>
            </w:tr>
            <w:tr w14:paraId="564F2D0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6" w:type="dxa"/>
                  <w:tcBorders>
                    <w:top w:val="single" w:color="auto" w:sz="4" w:space="0"/>
                    <w:left w:val="nil"/>
                    <w:bottom w:val="single" w:color="auto" w:sz="4" w:space="0"/>
                    <w:right w:val="single" w:color="auto" w:sz="4" w:space="0"/>
                  </w:tcBorders>
                  <w:vAlign w:val="center"/>
                </w:tcPr>
                <w:p w14:paraId="39349751">
                  <w:pPr>
                    <w:pStyle w:val="3"/>
                    <w:bidi w:val="0"/>
                    <w:rPr>
                      <w:rFonts w:hint="eastAsia"/>
                      <w:color w:val="auto"/>
                      <w:lang w:eastAsia="zh-CN"/>
                    </w:rPr>
                  </w:pPr>
                  <w:r>
                    <w:rPr>
                      <w:rFonts w:hint="eastAsia"/>
                      <w:color w:val="auto"/>
                      <w:lang w:val="en-US" w:eastAsia="zh-CN"/>
                    </w:rPr>
                    <w:t>1</w:t>
                  </w:r>
                </w:p>
              </w:tc>
              <w:tc>
                <w:tcPr>
                  <w:tcW w:w="1612" w:type="dxa"/>
                  <w:tcBorders>
                    <w:top w:val="single" w:color="auto" w:sz="4" w:space="0"/>
                    <w:left w:val="single" w:color="auto" w:sz="4" w:space="0"/>
                    <w:right w:val="single" w:color="auto" w:sz="4" w:space="0"/>
                  </w:tcBorders>
                  <w:vAlign w:val="center"/>
                </w:tcPr>
                <w:p w14:paraId="0D2A36B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冷凝器补充水</w:t>
                  </w:r>
                </w:p>
              </w:tc>
              <w:tc>
                <w:tcPr>
                  <w:tcW w:w="993" w:type="dxa"/>
                  <w:tcBorders>
                    <w:top w:val="single" w:color="auto" w:sz="4" w:space="0"/>
                    <w:left w:val="single" w:color="auto" w:sz="4" w:space="0"/>
                    <w:right w:val="single" w:color="auto" w:sz="4" w:space="0"/>
                  </w:tcBorders>
                  <w:vAlign w:val="center"/>
                </w:tcPr>
                <w:p w14:paraId="4442564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80m</w:t>
                  </w:r>
                  <w:r>
                    <w:rPr>
                      <w:rFonts w:hint="default" w:ascii="Times New Roman" w:hAnsi="Times New Roman" w:cs="Times New Roman"/>
                      <w:color w:val="auto"/>
                      <w:vertAlign w:val="superscript"/>
                      <w:lang w:val="en-US" w:eastAsia="zh-CN"/>
                    </w:rPr>
                    <w:t>3</w:t>
                  </w:r>
                </w:p>
              </w:tc>
              <w:tc>
                <w:tcPr>
                  <w:tcW w:w="1192" w:type="dxa"/>
                  <w:tcBorders>
                    <w:top w:val="single" w:color="auto" w:sz="4" w:space="0"/>
                    <w:left w:val="single" w:color="auto" w:sz="4" w:space="0"/>
                    <w:right w:val="single" w:color="auto" w:sz="4" w:space="0"/>
                  </w:tcBorders>
                  <w:vAlign w:val="center"/>
                </w:tcPr>
                <w:p w14:paraId="691EA8C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1106" w:type="dxa"/>
                  <w:tcBorders>
                    <w:top w:val="single" w:color="auto" w:sz="4" w:space="0"/>
                    <w:left w:val="single" w:color="auto" w:sz="4" w:space="0"/>
                    <w:right w:val="single" w:color="auto" w:sz="4" w:space="0"/>
                  </w:tcBorders>
                  <w:vAlign w:val="center"/>
                </w:tcPr>
                <w:p w14:paraId="6E13558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0.8</w:t>
                  </w:r>
                </w:p>
              </w:tc>
              <w:tc>
                <w:tcPr>
                  <w:tcW w:w="1019" w:type="dxa"/>
                  <w:tcBorders>
                    <w:top w:val="single" w:color="auto" w:sz="4" w:space="0"/>
                    <w:left w:val="single" w:color="auto" w:sz="4" w:space="0"/>
                    <w:right w:val="single" w:color="auto" w:sz="4" w:space="0"/>
                  </w:tcBorders>
                  <w:vAlign w:val="center"/>
                </w:tcPr>
                <w:p w14:paraId="60E217A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240</w:t>
                  </w:r>
                </w:p>
              </w:tc>
              <w:tc>
                <w:tcPr>
                  <w:tcW w:w="1052" w:type="dxa"/>
                  <w:tcBorders>
                    <w:top w:val="single" w:color="auto" w:sz="4" w:space="0"/>
                    <w:left w:val="single" w:color="auto" w:sz="4" w:space="0"/>
                    <w:right w:val="nil"/>
                  </w:tcBorders>
                  <w:vAlign w:val="center"/>
                </w:tcPr>
                <w:p w14:paraId="05136A7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22" w:type="dxa"/>
                  <w:tcBorders>
                    <w:top w:val="single" w:color="auto" w:sz="4" w:space="0"/>
                    <w:left w:val="single" w:color="auto" w:sz="4" w:space="0"/>
                    <w:right w:val="nil"/>
                  </w:tcBorders>
                  <w:vAlign w:val="center"/>
                </w:tcPr>
                <w:p w14:paraId="75EF9E8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1A543D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2" w:type="dxa"/>
                  <w:gridSpan w:val="8"/>
                  <w:tcBorders>
                    <w:top w:val="single" w:color="auto" w:sz="4" w:space="0"/>
                    <w:left w:val="nil"/>
                    <w:bottom w:val="single" w:color="auto" w:sz="4" w:space="0"/>
                    <w:right w:val="nil"/>
                  </w:tcBorders>
                  <w:vAlign w:val="center"/>
                </w:tcPr>
                <w:p w14:paraId="0ED38E5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薄膜蒸发器</w:t>
                  </w:r>
                  <w:r>
                    <w:rPr>
                      <w:rFonts w:hint="default" w:ascii="Times New Roman" w:hAnsi="Times New Roman" w:cs="Times New Roman"/>
                      <w:color w:val="auto"/>
                      <w:lang w:val="en-US" w:eastAsia="zh-CN"/>
                    </w:rPr>
                    <w:t>蒸汽水</w:t>
                  </w:r>
                </w:p>
              </w:tc>
            </w:tr>
            <w:tr w14:paraId="41472C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26" w:type="dxa"/>
                  <w:tcBorders>
                    <w:top w:val="single" w:color="auto" w:sz="4" w:space="0"/>
                    <w:left w:val="nil"/>
                    <w:bottom w:val="single" w:color="auto" w:sz="4" w:space="0"/>
                    <w:right w:val="single" w:color="auto" w:sz="4" w:space="0"/>
                  </w:tcBorders>
                  <w:vAlign w:val="center"/>
                </w:tcPr>
                <w:p w14:paraId="7C276ED3">
                  <w:pPr>
                    <w:pStyle w:val="3"/>
                    <w:bidi w:val="0"/>
                    <w:rPr>
                      <w:rFonts w:hint="default"/>
                      <w:color w:val="auto"/>
                      <w:lang w:val="en-US" w:eastAsia="zh-CN"/>
                    </w:rPr>
                  </w:pPr>
                  <w:r>
                    <w:rPr>
                      <w:rFonts w:hint="eastAsia"/>
                      <w:color w:val="auto"/>
                      <w:lang w:val="en-US" w:eastAsia="zh-CN"/>
                    </w:rPr>
                    <w:t>2</w:t>
                  </w:r>
                </w:p>
              </w:tc>
              <w:tc>
                <w:tcPr>
                  <w:tcW w:w="1612" w:type="dxa"/>
                  <w:tcBorders>
                    <w:top w:val="single" w:color="auto" w:sz="4" w:space="0"/>
                    <w:left w:val="single" w:color="auto" w:sz="4" w:space="0"/>
                    <w:right w:val="single" w:color="auto" w:sz="4" w:space="0"/>
                  </w:tcBorders>
                  <w:vAlign w:val="center"/>
                </w:tcPr>
                <w:p w14:paraId="4C74550F">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静态混合用水</w:t>
                  </w:r>
                </w:p>
              </w:tc>
              <w:tc>
                <w:tcPr>
                  <w:tcW w:w="993" w:type="dxa"/>
                  <w:tcBorders>
                    <w:top w:val="single" w:color="auto" w:sz="4" w:space="0"/>
                    <w:left w:val="single" w:color="auto" w:sz="4" w:space="0"/>
                    <w:right w:val="single" w:color="auto" w:sz="4" w:space="0"/>
                  </w:tcBorders>
                  <w:vAlign w:val="center"/>
                </w:tcPr>
                <w:p w14:paraId="0BBBB9BE">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302926t</w:t>
                  </w:r>
                </w:p>
              </w:tc>
              <w:tc>
                <w:tcPr>
                  <w:tcW w:w="1192" w:type="dxa"/>
                  <w:tcBorders>
                    <w:top w:val="single" w:color="auto" w:sz="4" w:space="0"/>
                    <w:left w:val="single" w:color="auto" w:sz="4" w:space="0"/>
                    <w:right w:val="single" w:color="auto" w:sz="4" w:space="0"/>
                  </w:tcBorders>
                  <w:vAlign w:val="center"/>
                </w:tcPr>
                <w:p w14:paraId="532F79E2">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混合比例：40∶1</w:t>
                  </w:r>
                </w:p>
              </w:tc>
              <w:tc>
                <w:tcPr>
                  <w:tcW w:w="1106" w:type="dxa"/>
                  <w:tcBorders>
                    <w:top w:val="single" w:color="auto" w:sz="4" w:space="0"/>
                    <w:left w:val="single" w:color="auto" w:sz="4" w:space="0"/>
                    <w:right w:val="single" w:color="auto" w:sz="4" w:space="0"/>
                  </w:tcBorders>
                  <w:vAlign w:val="center"/>
                </w:tcPr>
                <w:p w14:paraId="73135EFE">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25.672</w:t>
                  </w:r>
                </w:p>
              </w:tc>
              <w:tc>
                <w:tcPr>
                  <w:tcW w:w="1019" w:type="dxa"/>
                  <w:tcBorders>
                    <w:top w:val="single" w:color="auto" w:sz="4" w:space="0"/>
                    <w:left w:val="single" w:color="auto" w:sz="4" w:space="0"/>
                    <w:right w:val="single" w:color="auto" w:sz="4" w:space="0"/>
                  </w:tcBorders>
                  <w:vAlign w:val="center"/>
                </w:tcPr>
                <w:p w14:paraId="4319ED1A">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7573</w:t>
                  </w:r>
                </w:p>
              </w:tc>
              <w:tc>
                <w:tcPr>
                  <w:tcW w:w="1052" w:type="dxa"/>
                  <w:tcBorders>
                    <w:top w:val="single" w:color="auto" w:sz="4" w:space="0"/>
                    <w:left w:val="single" w:color="auto" w:sz="4" w:space="0"/>
                    <w:right w:val="nil"/>
                  </w:tcBorders>
                  <w:vAlign w:val="center"/>
                </w:tcPr>
                <w:p w14:paraId="15A90791">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23.105</w:t>
                  </w:r>
                </w:p>
              </w:tc>
              <w:tc>
                <w:tcPr>
                  <w:tcW w:w="1022" w:type="dxa"/>
                  <w:tcBorders>
                    <w:top w:val="single" w:color="auto" w:sz="4" w:space="0"/>
                    <w:left w:val="single" w:color="auto" w:sz="4" w:space="0"/>
                    <w:right w:val="nil"/>
                  </w:tcBorders>
                  <w:vAlign w:val="center"/>
                </w:tcPr>
                <w:p w14:paraId="6C3AF65D">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6816</w:t>
                  </w:r>
                </w:p>
              </w:tc>
            </w:tr>
            <w:tr w14:paraId="29A929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6" w:type="dxa"/>
                  <w:tcBorders>
                    <w:top w:val="single" w:color="auto" w:sz="4" w:space="0"/>
                    <w:left w:val="nil"/>
                    <w:bottom w:val="single" w:color="auto" w:sz="4" w:space="0"/>
                    <w:right w:val="single" w:color="auto" w:sz="4" w:space="0"/>
                  </w:tcBorders>
                  <w:vAlign w:val="center"/>
                </w:tcPr>
                <w:p w14:paraId="6C792012">
                  <w:pPr>
                    <w:pStyle w:val="3"/>
                    <w:bidi w:val="0"/>
                    <w:rPr>
                      <w:rFonts w:hint="default"/>
                      <w:color w:val="auto"/>
                      <w:lang w:val="en-US" w:eastAsia="zh-CN"/>
                    </w:rPr>
                  </w:pPr>
                  <w:r>
                    <w:rPr>
                      <w:rFonts w:hint="eastAsia"/>
                      <w:color w:val="auto"/>
                      <w:lang w:val="en-US" w:eastAsia="zh-CN"/>
                    </w:rPr>
                    <w:t>3</w:t>
                  </w:r>
                </w:p>
              </w:tc>
              <w:tc>
                <w:tcPr>
                  <w:tcW w:w="1612" w:type="dxa"/>
                  <w:tcBorders>
                    <w:left w:val="single" w:color="auto" w:sz="4" w:space="0"/>
                    <w:bottom w:val="single" w:color="auto" w:sz="4" w:space="0"/>
                    <w:right w:val="single" w:color="auto" w:sz="4" w:space="0"/>
                  </w:tcBorders>
                  <w:vAlign w:val="center"/>
                </w:tcPr>
                <w:p w14:paraId="6D0A0D2D">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多余冷凝水</w:t>
                  </w:r>
                </w:p>
              </w:tc>
              <w:tc>
                <w:tcPr>
                  <w:tcW w:w="993" w:type="dxa"/>
                  <w:tcBorders>
                    <w:top w:val="single" w:color="auto" w:sz="4" w:space="0"/>
                    <w:left w:val="single" w:color="auto" w:sz="4" w:space="0"/>
                    <w:bottom w:val="single" w:color="auto" w:sz="4" w:space="0"/>
                    <w:right w:val="single" w:color="auto" w:sz="4" w:space="0"/>
                  </w:tcBorders>
                  <w:vAlign w:val="center"/>
                </w:tcPr>
                <w:p w14:paraId="11BBAD67">
                  <w:pPr>
                    <w:pStyle w:val="3"/>
                    <w:bidi w:val="0"/>
                    <w:rPr>
                      <w:rFonts w:hint="default" w:ascii="Times New Roman" w:hAnsi="Times New Roman" w:cs="Times New Roman"/>
                      <w:color w:val="auto"/>
                      <w:lang w:val="en-US"/>
                    </w:rPr>
                  </w:pPr>
                  <w:r>
                    <w:rPr>
                      <w:rFonts w:hint="eastAsia" w:ascii="Times New Roman" w:hAnsi="Times New Roman" w:cs="Times New Roman"/>
                      <w:color w:val="auto"/>
                      <w:lang w:val="en-US" w:eastAsia="zh-CN"/>
                    </w:rPr>
                    <w:t>/</w:t>
                  </w:r>
                </w:p>
              </w:tc>
              <w:tc>
                <w:tcPr>
                  <w:tcW w:w="1192" w:type="dxa"/>
                  <w:tcBorders>
                    <w:top w:val="single" w:color="auto" w:sz="4" w:space="0"/>
                    <w:left w:val="single" w:color="auto" w:sz="4" w:space="0"/>
                    <w:bottom w:val="single" w:color="auto" w:sz="4" w:space="0"/>
                    <w:right w:val="single" w:color="auto" w:sz="4" w:space="0"/>
                  </w:tcBorders>
                  <w:vAlign w:val="center"/>
                </w:tcPr>
                <w:p w14:paraId="6CF73ADA">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14:paraId="37E5C9C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43B00E9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052" w:type="dxa"/>
                  <w:tcBorders>
                    <w:top w:val="single" w:color="auto" w:sz="4" w:space="0"/>
                    <w:left w:val="single" w:color="auto" w:sz="4" w:space="0"/>
                    <w:bottom w:val="single" w:color="auto" w:sz="4" w:space="0"/>
                    <w:right w:val="nil"/>
                  </w:tcBorders>
                  <w:vAlign w:val="center"/>
                </w:tcPr>
                <w:p w14:paraId="5A9C319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118.328</w:t>
                  </w:r>
                </w:p>
              </w:tc>
              <w:tc>
                <w:tcPr>
                  <w:tcW w:w="1022" w:type="dxa"/>
                  <w:tcBorders>
                    <w:top w:val="single" w:color="auto" w:sz="4" w:space="0"/>
                    <w:left w:val="single" w:color="auto" w:sz="4" w:space="0"/>
                    <w:bottom w:val="single" w:color="auto" w:sz="4" w:space="0"/>
                    <w:right w:val="nil"/>
                  </w:tcBorders>
                  <w:vAlign w:val="center"/>
                </w:tcPr>
                <w:p w14:paraId="01EB8A7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34907</w:t>
                  </w:r>
                </w:p>
              </w:tc>
            </w:tr>
            <w:tr w14:paraId="7FF4E1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422" w:type="dxa"/>
                  <w:gridSpan w:val="8"/>
                  <w:tcBorders>
                    <w:top w:val="single" w:color="auto" w:sz="4" w:space="0"/>
                    <w:left w:val="nil"/>
                    <w:bottom w:val="single" w:color="auto" w:sz="4" w:space="0"/>
                    <w:right w:val="nil"/>
                  </w:tcBorders>
                  <w:vAlign w:val="center"/>
                </w:tcPr>
                <w:p w14:paraId="3AD5760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调制器蒸汽水</w:t>
                  </w:r>
                </w:p>
              </w:tc>
            </w:tr>
            <w:tr w14:paraId="295CA6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6" w:type="dxa"/>
                  <w:tcBorders>
                    <w:top w:val="single" w:color="auto" w:sz="4" w:space="0"/>
                    <w:left w:val="nil"/>
                    <w:bottom w:val="single" w:color="auto" w:sz="4" w:space="0"/>
                    <w:right w:val="single" w:color="auto" w:sz="4" w:space="0"/>
                  </w:tcBorders>
                  <w:vAlign w:val="center"/>
                </w:tcPr>
                <w:p w14:paraId="472566B8">
                  <w:pPr>
                    <w:pStyle w:val="3"/>
                    <w:bidi w:val="0"/>
                    <w:rPr>
                      <w:rFonts w:hint="default"/>
                      <w:color w:val="auto"/>
                      <w:lang w:val="en-US" w:eastAsia="zh-CN"/>
                    </w:rPr>
                  </w:pPr>
                  <w:r>
                    <w:rPr>
                      <w:rFonts w:hint="eastAsia"/>
                      <w:color w:val="auto"/>
                      <w:lang w:val="en-US" w:eastAsia="zh-CN"/>
                    </w:rPr>
                    <w:t>4</w:t>
                  </w:r>
                </w:p>
              </w:tc>
              <w:tc>
                <w:tcPr>
                  <w:tcW w:w="1612" w:type="dxa"/>
                  <w:tcBorders>
                    <w:left w:val="single" w:color="auto" w:sz="4" w:space="0"/>
                    <w:bottom w:val="single" w:color="auto" w:sz="4" w:space="0"/>
                    <w:right w:val="single" w:color="auto" w:sz="4" w:space="0"/>
                  </w:tcBorders>
                  <w:vAlign w:val="center"/>
                </w:tcPr>
                <w:p w14:paraId="2E022BBD">
                  <w:pPr>
                    <w:pStyle w:val="3"/>
                    <w:bidi w:val="0"/>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调质冷凝水</w:t>
                  </w:r>
                </w:p>
              </w:tc>
              <w:tc>
                <w:tcPr>
                  <w:tcW w:w="993" w:type="dxa"/>
                  <w:tcBorders>
                    <w:top w:val="single" w:color="auto" w:sz="4" w:space="0"/>
                    <w:left w:val="single" w:color="auto" w:sz="4" w:space="0"/>
                    <w:bottom w:val="single" w:color="auto" w:sz="4" w:space="0"/>
                    <w:right w:val="single" w:color="auto" w:sz="4" w:space="0"/>
                  </w:tcBorders>
                  <w:vAlign w:val="center"/>
                </w:tcPr>
                <w:p w14:paraId="7722E98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192" w:type="dxa"/>
                  <w:tcBorders>
                    <w:top w:val="single" w:color="auto" w:sz="4" w:space="0"/>
                    <w:left w:val="single" w:color="auto" w:sz="4" w:space="0"/>
                    <w:bottom w:val="single" w:color="auto" w:sz="4" w:space="0"/>
                    <w:right w:val="single" w:color="auto" w:sz="4" w:space="0"/>
                  </w:tcBorders>
                  <w:vAlign w:val="center"/>
                </w:tcPr>
                <w:p w14:paraId="323A3C30">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1106" w:type="dxa"/>
                  <w:tcBorders>
                    <w:top w:val="single" w:color="auto" w:sz="4" w:space="0"/>
                    <w:left w:val="single" w:color="auto" w:sz="4" w:space="0"/>
                    <w:bottom w:val="single" w:color="auto" w:sz="4" w:space="0"/>
                    <w:right w:val="single" w:color="auto" w:sz="4" w:space="0"/>
                  </w:tcBorders>
                  <w:vAlign w:val="center"/>
                </w:tcPr>
                <w:p w14:paraId="721A9A6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402D7DF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052" w:type="dxa"/>
                  <w:tcBorders>
                    <w:top w:val="single" w:color="auto" w:sz="4" w:space="0"/>
                    <w:left w:val="single" w:color="auto" w:sz="4" w:space="0"/>
                    <w:bottom w:val="single" w:color="auto" w:sz="4" w:space="0"/>
                    <w:right w:val="nil"/>
                  </w:tcBorders>
                  <w:vAlign w:val="center"/>
                </w:tcPr>
                <w:p w14:paraId="2BD99C2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15.120</w:t>
                  </w:r>
                </w:p>
              </w:tc>
              <w:tc>
                <w:tcPr>
                  <w:tcW w:w="1022" w:type="dxa"/>
                  <w:tcBorders>
                    <w:top w:val="single" w:color="auto" w:sz="4" w:space="0"/>
                    <w:left w:val="single" w:color="auto" w:sz="4" w:space="0"/>
                    <w:bottom w:val="single" w:color="auto" w:sz="4" w:space="0"/>
                    <w:right w:val="nil"/>
                  </w:tcBorders>
                  <w:vAlign w:val="center"/>
                </w:tcPr>
                <w:p w14:paraId="74B017B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4536</w:t>
                  </w:r>
                </w:p>
              </w:tc>
            </w:tr>
            <w:tr w14:paraId="3C14A9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422" w:type="dxa"/>
                  <w:gridSpan w:val="8"/>
                  <w:tcBorders>
                    <w:top w:val="single" w:color="auto" w:sz="4" w:space="0"/>
                    <w:left w:val="nil"/>
                    <w:bottom w:val="single" w:color="auto" w:sz="4" w:space="0"/>
                    <w:right w:val="nil"/>
                  </w:tcBorders>
                  <w:vAlign w:val="center"/>
                </w:tcPr>
                <w:p w14:paraId="62CC57B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毛油蒸发水分</w:t>
                  </w:r>
                </w:p>
              </w:tc>
            </w:tr>
            <w:tr w14:paraId="6931AC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26" w:type="dxa"/>
                  <w:tcBorders>
                    <w:top w:val="single" w:color="auto" w:sz="4" w:space="0"/>
                    <w:left w:val="nil"/>
                    <w:bottom w:val="single" w:color="auto" w:sz="4" w:space="0"/>
                    <w:right w:val="single" w:color="auto" w:sz="4" w:space="0"/>
                  </w:tcBorders>
                  <w:vAlign w:val="center"/>
                </w:tcPr>
                <w:p w14:paraId="36226689">
                  <w:pPr>
                    <w:pStyle w:val="3"/>
                    <w:bidi w:val="0"/>
                    <w:rPr>
                      <w:rFonts w:hint="default"/>
                      <w:color w:val="auto"/>
                      <w:lang w:val="en-US" w:eastAsia="zh-CN"/>
                    </w:rPr>
                  </w:pPr>
                  <w:r>
                    <w:rPr>
                      <w:rFonts w:hint="eastAsia"/>
                      <w:color w:val="auto"/>
                      <w:lang w:val="en-US" w:eastAsia="zh-CN"/>
                    </w:rPr>
                    <w:t>5</w:t>
                  </w:r>
                </w:p>
              </w:tc>
              <w:tc>
                <w:tcPr>
                  <w:tcW w:w="1612" w:type="dxa"/>
                  <w:tcBorders>
                    <w:left w:val="single" w:color="auto" w:sz="4" w:space="0"/>
                    <w:bottom w:val="single" w:color="auto" w:sz="4" w:space="0"/>
                    <w:right w:val="single" w:color="auto" w:sz="4" w:space="0"/>
                  </w:tcBorders>
                  <w:vAlign w:val="center"/>
                </w:tcPr>
                <w:p w14:paraId="0FFD5896">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毛油蒸发水分</w:t>
                  </w:r>
                </w:p>
              </w:tc>
              <w:tc>
                <w:tcPr>
                  <w:tcW w:w="993" w:type="dxa"/>
                  <w:tcBorders>
                    <w:top w:val="single" w:color="auto" w:sz="4" w:space="0"/>
                    <w:left w:val="single" w:color="auto" w:sz="4" w:space="0"/>
                    <w:bottom w:val="single" w:color="auto" w:sz="4" w:space="0"/>
                    <w:right w:val="single" w:color="auto" w:sz="4" w:space="0"/>
                  </w:tcBorders>
                  <w:vAlign w:val="center"/>
                </w:tcPr>
                <w:p w14:paraId="4D47181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302926t</w:t>
                  </w:r>
                </w:p>
              </w:tc>
              <w:tc>
                <w:tcPr>
                  <w:tcW w:w="1192" w:type="dxa"/>
                  <w:tcBorders>
                    <w:top w:val="single" w:color="auto" w:sz="4" w:space="0"/>
                    <w:left w:val="single" w:color="auto" w:sz="4" w:space="0"/>
                    <w:bottom w:val="single" w:color="auto" w:sz="4" w:space="0"/>
                    <w:right w:val="single" w:color="auto" w:sz="4" w:space="0"/>
                  </w:tcBorders>
                  <w:vAlign w:val="center"/>
                </w:tcPr>
                <w:p w14:paraId="69750CCD">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eastAsia="zh-CN"/>
                    </w:rPr>
                    <w:t>蒸发水分占比</w:t>
                  </w:r>
                  <w:r>
                    <w:rPr>
                      <w:rFonts w:hint="default" w:ascii="Times New Roman" w:hAnsi="Times New Roman" w:eastAsia="宋体" w:cs="Times New Roman"/>
                      <w:color w:val="auto"/>
                      <w:lang w:val="en-US" w:eastAsia="zh-CN"/>
                    </w:rPr>
                    <w:t>1%</w:t>
                  </w:r>
                </w:p>
              </w:tc>
              <w:tc>
                <w:tcPr>
                  <w:tcW w:w="1106" w:type="dxa"/>
                  <w:tcBorders>
                    <w:top w:val="single" w:color="auto" w:sz="4" w:space="0"/>
                    <w:left w:val="single" w:color="auto" w:sz="4" w:space="0"/>
                    <w:bottom w:val="single" w:color="auto" w:sz="4" w:space="0"/>
                    <w:right w:val="single" w:color="auto" w:sz="4" w:space="0"/>
                  </w:tcBorders>
                  <w:vAlign w:val="center"/>
                </w:tcPr>
                <w:p w14:paraId="0A33A26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10.269</w:t>
                  </w:r>
                </w:p>
              </w:tc>
              <w:tc>
                <w:tcPr>
                  <w:tcW w:w="1019" w:type="dxa"/>
                  <w:tcBorders>
                    <w:top w:val="single" w:color="auto" w:sz="4" w:space="0"/>
                    <w:left w:val="single" w:color="auto" w:sz="4" w:space="0"/>
                    <w:bottom w:val="single" w:color="auto" w:sz="4" w:space="0"/>
                    <w:right w:val="single" w:color="auto" w:sz="4" w:space="0"/>
                  </w:tcBorders>
                  <w:vAlign w:val="center"/>
                </w:tcPr>
                <w:p w14:paraId="4174C08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3029</w:t>
                  </w:r>
                </w:p>
              </w:tc>
              <w:tc>
                <w:tcPr>
                  <w:tcW w:w="1052" w:type="dxa"/>
                  <w:tcBorders>
                    <w:top w:val="single" w:color="auto" w:sz="4" w:space="0"/>
                    <w:left w:val="single" w:color="auto" w:sz="4" w:space="0"/>
                    <w:bottom w:val="single" w:color="auto" w:sz="4" w:space="0"/>
                    <w:right w:val="nil"/>
                  </w:tcBorders>
                  <w:vAlign w:val="center"/>
                </w:tcPr>
                <w:p w14:paraId="1CE5EAF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9.242</w:t>
                  </w:r>
                </w:p>
              </w:tc>
              <w:tc>
                <w:tcPr>
                  <w:tcW w:w="1022" w:type="dxa"/>
                  <w:tcBorders>
                    <w:top w:val="single" w:color="auto" w:sz="4" w:space="0"/>
                    <w:left w:val="single" w:color="auto" w:sz="4" w:space="0"/>
                    <w:bottom w:val="single" w:color="auto" w:sz="4" w:space="0"/>
                    <w:right w:val="nil"/>
                  </w:tcBorders>
                  <w:vAlign w:val="center"/>
                </w:tcPr>
                <w:p w14:paraId="54022F7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2726</w:t>
                  </w:r>
                </w:p>
              </w:tc>
            </w:tr>
            <w:tr w14:paraId="60DA344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26" w:type="dxa"/>
                  <w:tcBorders>
                    <w:top w:val="single" w:color="auto" w:sz="4" w:space="0"/>
                    <w:left w:val="nil"/>
                    <w:bottom w:val="single" w:color="auto" w:sz="4" w:space="0"/>
                    <w:right w:val="single" w:color="auto" w:sz="4" w:space="0"/>
                  </w:tcBorders>
                  <w:vAlign w:val="center"/>
                </w:tcPr>
                <w:p w14:paraId="740BC691">
                  <w:pPr>
                    <w:pStyle w:val="3"/>
                    <w:bidi w:val="0"/>
                    <w:rPr>
                      <w:rFonts w:hint="default"/>
                      <w:color w:val="auto"/>
                      <w:lang w:val="en-US" w:eastAsia="zh-CN"/>
                    </w:rPr>
                  </w:pPr>
                  <w:r>
                    <w:rPr>
                      <w:rFonts w:hint="eastAsia"/>
                      <w:color w:val="auto"/>
                      <w:lang w:val="en-US" w:eastAsia="zh-CN"/>
                    </w:rPr>
                    <w:t>6</w:t>
                  </w:r>
                </w:p>
              </w:tc>
              <w:tc>
                <w:tcPr>
                  <w:tcW w:w="3797" w:type="dxa"/>
                  <w:gridSpan w:val="3"/>
                  <w:tcBorders>
                    <w:top w:val="single" w:color="auto" w:sz="4" w:space="0"/>
                    <w:left w:val="single" w:color="auto" w:sz="4" w:space="0"/>
                    <w:bottom w:val="single" w:color="auto" w:sz="4" w:space="0"/>
                    <w:right w:val="single" w:color="auto" w:sz="4" w:space="0"/>
                  </w:tcBorders>
                  <w:vAlign w:val="center"/>
                </w:tcPr>
                <w:p w14:paraId="421CF091">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冷凝废水合计</w:t>
                  </w:r>
                </w:p>
              </w:tc>
              <w:tc>
                <w:tcPr>
                  <w:tcW w:w="1106" w:type="dxa"/>
                  <w:tcBorders>
                    <w:top w:val="single" w:color="auto" w:sz="4" w:space="0"/>
                    <w:left w:val="single" w:color="auto" w:sz="4" w:space="0"/>
                    <w:bottom w:val="single" w:color="auto" w:sz="4" w:space="0"/>
                    <w:right w:val="single" w:color="auto" w:sz="4" w:space="0"/>
                  </w:tcBorders>
                  <w:vAlign w:val="center"/>
                </w:tcPr>
                <w:p w14:paraId="45A2DDD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19" w:type="dxa"/>
                  <w:tcBorders>
                    <w:top w:val="single" w:color="auto" w:sz="4" w:space="0"/>
                    <w:left w:val="single" w:color="auto" w:sz="4" w:space="0"/>
                    <w:bottom w:val="single" w:color="auto" w:sz="4" w:space="0"/>
                    <w:right w:val="single" w:color="auto" w:sz="4" w:space="0"/>
                  </w:tcBorders>
                  <w:vAlign w:val="center"/>
                </w:tcPr>
                <w:p w14:paraId="702FE5F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1052" w:type="dxa"/>
                  <w:tcBorders>
                    <w:top w:val="single" w:color="auto" w:sz="4" w:space="0"/>
                    <w:left w:val="single" w:color="auto" w:sz="4" w:space="0"/>
                    <w:bottom w:val="single" w:color="auto" w:sz="4" w:space="0"/>
                    <w:right w:val="nil"/>
                  </w:tcBorders>
                  <w:vAlign w:val="center"/>
                </w:tcPr>
                <w:p w14:paraId="177ED2E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165.795</w:t>
                  </w:r>
                </w:p>
              </w:tc>
              <w:tc>
                <w:tcPr>
                  <w:tcW w:w="1022" w:type="dxa"/>
                  <w:tcBorders>
                    <w:top w:val="single" w:color="auto" w:sz="4" w:space="0"/>
                    <w:left w:val="single" w:color="auto" w:sz="4" w:space="0"/>
                    <w:bottom w:val="single" w:color="auto" w:sz="4" w:space="0"/>
                    <w:right w:val="nil"/>
                  </w:tcBorders>
                  <w:vAlign w:val="center"/>
                </w:tcPr>
                <w:p w14:paraId="6E6C723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48985</w:t>
                  </w:r>
                </w:p>
              </w:tc>
            </w:tr>
            <w:tr w14:paraId="43066C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8422" w:type="dxa"/>
                  <w:gridSpan w:val="8"/>
                  <w:tcBorders>
                    <w:top w:val="single" w:color="auto" w:sz="4" w:space="0"/>
                    <w:left w:val="nil"/>
                    <w:bottom w:val="single" w:color="auto" w:sz="4" w:space="0"/>
                    <w:right w:val="nil"/>
                  </w:tcBorders>
                  <w:vAlign w:val="center"/>
                </w:tcPr>
                <w:p w14:paraId="1EC911A1">
                  <w:pPr>
                    <w:pStyle w:val="3"/>
                    <w:bidi w:val="0"/>
                    <w:jc w:val="both"/>
                    <w:rPr>
                      <w:rFonts w:hint="default" w:ascii="Times New Roman" w:hAnsi="Times New Roman" w:cs="Times New Roman"/>
                      <w:color w:val="auto"/>
                    </w:rPr>
                  </w:pPr>
                  <w:r>
                    <w:rPr>
                      <w:rFonts w:hint="default" w:ascii="Times New Roman" w:hAnsi="Times New Roman" w:cs="Times New Roman"/>
                      <w:color w:val="auto"/>
                    </w:rPr>
                    <w:t>备注：</w:t>
                  </w:r>
                  <w:r>
                    <w:rPr>
                      <w:rFonts w:hint="default" w:ascii="Times New Roman" w:hAnsi="Times New Roman" w:eastAsia="宋体" w:cs="Times New Roman"/>
                      <w:color w:val="auto"/>
                      <w:lang w:eastAsia="zh-CN"/>
                    </w:rPr>
                    <w:t>真空捕集工序冷凝</w:t>
                  </w:r>
                  <w:r>
                    <w:rPr>
                      <w:rFonts w:hint="default" w:ascii="Times New Roman" w:hAnsi="Times New Roman" w:cs="Times New Roman"/>
                      <w:color w:val="auto"/>
                    </w:rPr>
                    <w:t>废水折污系数</w:t>
                  </w:r>
                  <w:r>
                    <w:rPr>
                      <w:rFonts w:hint="default" w:ascii="Times New Roman" w:hAnsi="Times New Roman" w:eastAsia="宋体" w:cs="Times New Roman"/>
                      <w:color w:val="auto"/>
                      <w:lang w:eastAsia="zh-CN"/>
                    </w:rPr>
                    <w:t>为</w:t>
                  </w:r>
                  <w:r>
                    <w:rPr>
                      <w:rFonts w:hint="default" w:ascii="Times New Roman" w:hAnsi="Times New Roman" w:cs="Times New Roman"/>
                      <w:color w:val="auto"/>
                    </w:rPr>
                    <w:t>0.</w:t>
                  </w:r>
                  <w:r>
                    <w:rPr>
                      <w:rFonts w:hint="default" w:ascii="Times New Roman" w:hAnsi="Times New Roman" w:cs="Times New Roman"/>
                      <w:color w:val="auto"/>
                      <w:lang w:val="en-US" w:eastAsia="zh-CN"/>
                    </w:rPr>
                    <w:t>9</w:t>
                  </w:r>
                  <w:r>
                    <w:rPr>
                      <w:rFonts w:hint="default" w:ascii="Times New Roman" w:hAnsi="Times New Roman" w:cs="Times New Roman"/>
                      <w:color w:val="auto"/>
                    </w:rPr>
                    <w:t>。</w:t>
                  </w:r>
                </w:p>
              </w:tc>
            </w:tr>
          </w:tbl>
          <w:p w14:paraId="475DD2AF">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eastAsia" w:ascii="Times New Roman" w:cs="Times New Roman"/>
                <w:color w:val="auto"/>
                <w:sz w:val="24"/>
                <w:szCs w:val="24"/>
                <w:lang w:eastAsia="zh-CN"/>
              </w:rPr>
            </w:pPr>
            <w:r>
              <w:rPr>
                <w:rFonts w:hint="eastAsia" w:ascii="Times New Roman" w:cs="Times New Roman"/>
                <w:color w:val="auto"/>
                <w:sz w:val="24"/>
                <w:szCs w:val="24"/>
                <w:lang w:eastAsia="zh-CN"/>
              </w:rPr>
              <w:object>
                <v:shape id="_x0000_i1025" o:spt="75" type="#_x0000_t75" style="height:165.75pt;width:290.7pt;" o:ole="t" filled="f" o:preferrelative="t" stroked="f" coordsize="21600,21600">
                  <v:path/>
                  <v:fill on="f" focussize="0,0"/>
                  <v:stroke on="f"/>
                  <v:imagedata r:id="rId11" o:title=""/>
                  <o:lock v:ext="edit" aspectratio="f"/>
                  <w10:wrap type="none"/>
                  <w10:anchorlock/>
                </v:shape>
                <o:OLEObject Type="Embed" ProgID="Visio.Drawing.11" ShapeID="_x0000_i1025" DrawAspect="Content" ObjectID="_1468075725" r:id="rId10">
                  <o:LockedField>false</o:LockedField>
                </o:OLEObject>
              </w:object>
            </w:r>
          </w:p>
          <w:p w14:paraId="7028F5ED">
            <w:pPr>
              <w:bidi w:val="0"/>
              <w:ind w:left="0" w:leftChars="0" w:firstLine="0" w:firstLineChars="0"/>
              <w:jc w:val="center"/>
              <w:rPr>
                <w:rFonts w:hint="eastAsia" w:ascii="Times New Roman" w:cs="Times New Roman"/>
                <w:color w:val="auto"/>
                <w:sz w:val="24"/>
                <w:szCs w:val="24"/>
                <w:lang w:eastAsia="zh-CN"/>
              </w:rPr>
            </w:pPr>
            <w:r>
              <w:rPr>
                <w:rFonts w:hint="eastAsia"/>
                <w:color w:val="auto"/>
                <w:lang w:val="en-US" w:eastAsia="zh-CN"/>
              </w:rPr>
              <w:t>图2.1本项目水平衡图（m</w:t>
            </w:r>
            <w:r>
              <w:rPr>
                <w:rFonts w:hint="eastAsia"/>
                <w:color w:val="auto"/>
                <w:vertAlign w:val="superscript"/>
                <w:lang w:val="en-US" w:eastAsia="zh-CN"/>
              </w:rPr>
              <w:t>3</w:t>
            </w:r>
            <w:r>
              <w:rPr>
                <w:rFonts w:hint="eastAsia"/>
                <w:color w:val="auto"/>
                <w:lang w:val="en-US" w:eastAsia="zh-CN"/>
              </w:rPr>
              <w:t>/d）</w:t>
            </w:r>
          </w:p>
          <w:p w14:paraId="3FC3DEEE">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eastAsia" w:ascii="Times New Roman" w:cs="Times New Roman"/>
                <w:color w:val="auto"/>
                <w:sz w:val="24"/>
                <w:szCs w:val="24"/>
                <w:lang w:eastAsia="zh-CN"/>
              </w:rPr>
            </w:pP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2</w:t>
            </w:r>
            <w:r>
              <w:rPr>
                <w:rFonts w:hint="eastAsia" w:ascii="Times New Roman" w:cs="Times New Roman"/>
                <w:color w:val="auto"/>
                <w:sz w:val="24"/>
                <w:szCs w:val="24"/>
                <w:lang w:eastAsia="zh-CN"/>
              </w:rPr>
              <w:t>）蒸汽用量</w:t>
            </w:r>
          </w:p>
          <w:p w14:paraId="3FAB3BFA">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lang w:val="en-US" w:eastAsia="zh-CN"/>
              </w:rPr>
            </w:pPr>
            <w:r>
              <w:rPr>
                <w:rFonts w:hint="eastAsia" w:ascii="Times New Roman" w:cs="Times New Roman"/>
                <w:color w:val="auto"/>
                <w:sz w:val="24"/>
                <w:szCs w:val="24"/>
                <w:lang w:val="en-US" w:eastAsia="zh-CN"/>
              </w:rPr>
              <w:t>本项目涉及使用蒸汽的环节为大豆膨化生产线调质工序，磷脂分线的薄膜蒸发工序，均由园区供汽管网供给。</w:t>
            </w:r>
            <w:r>
              <w:rPr>
                <w:rFonts w:hint="eastAsia" w:ascii="Times New Roman" w:hAnsi="Times New Roman" w:cs="Times New Roman"/>
                <w:color w:val="auto"/>
                <w:sz w:val="24"/>
                <w:szCs w:val="24"/>
                <w:lang w:val="en-US" w:eastAsia="zh-CN"/>
              </w:rPr>
              <w:t>由于本次精炼生产线技改内容不包括</w:t>
            </w:r>
            <w:r>
              <w:rPr>
                <w:rFonts w:hint="eastAsia" w:ascii="Times New Roman" w:cs="Times New Roman"/>
                <w:color w:val="auto"/>
                <w:sz w:val="24"/>
                <w:szCs w:val="24"/>
                <w:lang w:val="en-US" w:eastAsia="zh-CN"/>
              </w:rPr>
              <w:t>真空脱臭工序，精炼线主线的蒸汽用量不发生变化，本项目蒸汽用量核算见表2.4-2。</w:t>
            </w:r>
          </w:p>
          <w:p w14:paraId="5E6137C8">
            <w:pPr>
              <w:pStyle w:val="3"/>
              <w:bidi w:val="0"/>
              <w:rPr>
                <w:rFonts w:hint="default" w:ascii="Times New Roman" w:hAnsi="Times New Roman" w:cs="Times New Roman"/>
                <w:color w:val="auto"/>
                <w:lang w:val="en-US" w:eastAsia="zh-CN"/>
              </w:rPr>
            </w:pPr>
          </w:p>
          <w:p w14:paraId="7AFB81F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表2.4</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 xml:space="preserve"> 本项目</w:t>
            </w:r>
            <w:r>
              <w:rPr>
                <w:rFonts w:hint="eastAsia" w:ascii="Times New Roman" w:hAnsi="Times New Roman" w:cs="Times New Roman"/>
                <w:color w:val="auto"/>
                <w:lang w:val="en-US" w:eastAsia="zh-CN"/>
              </w:rPr>
              <w:t>新增</w:t>
            </w:r>
            <w:r>
              <w:rPr>
                <w:rFonts w:hint="default" w:ascii="Times New Roman" w:hAnsi="Times New Roman" w:cs="Times New Roman"/>
                <w:color w:val="auto"/>
                <w:lang w:val="en-US" w:eastAsia="zh-CN"/>
              </w:rPr>
              <w:t>蒸汽量核算表</w:t>
            </w:r>
          </w:p>
          <w:tbl>
            <w:tblPr>
              <w:tblStyle w:val="17"/>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082"/>
              <w:gridCol w:w="711"/>
              <w:gridCol w:w="1082"/>
              <w:gridCol w:w="1740"/>
              <w:gridCol w:w="1604"/>
              <w:gridCol w:w="1516"/>
            </w:tblGrid>
            <w:tr w14:paraId="2D9C35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388" w:type="pct"/>
                  <w:tcBorders>
                    <w:top w:val="single" w:color="auto" w:sz="4" w:space="0"/>
                    <w:left w:val="nil"/>
                    <w:bottom w:val="single" w:color="auto" w:sz="4" w:space="0"/>
                    <w:right w:val="single" w:color="auto" w:sz="4" w:space="0"/>
                  </w:tcBorders>
                  <w:noWrap w:val="0"/>
                  <w:vAlign w:val="center"/>
                </w:tcPr>
                <w:p w14:paraId="74E6780E">
                  <w:pPr>
                    <w:pStyle w:val="3"/>
                    <w:bidi w:val="0"/>
                    <w:rPr>
                      <w:rFonts w:hint="default" w:ascii="Times New Roman" w:hAnsi="Times New Roman" w:cs="Times New Roman"/>
                      <w:color w:val="auto"/>
                    </w:rPr>
                  </w:pPr>
                  <w:r>
                    <w:rPr>
                      <w:rFonts w:hint="default" w:ascii="Times New Roman" w:hAnsi="Times New Roman" w:cs="Times New Roman"/>
                      <w:color w:val="auto"/>
                    </w:rPr>
                    <w:t>序号</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163033B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用</w:t>
                  </w:r>
                  <w:r>
                    <w:rPr>
                      <w:rFonts w:hint="default" w:ascii="Times New Roman" w:hAnsi="Times New Roman" w:cs="Times New Roman"/>
                      <w:color w:val="auto"/>
                      <w:lang w:eastAsia="zh-CN"/>
                    </w:rPr>
                    <w:t>汽工序</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05D03B3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时间</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476E24DD">
                  <w:pPr>
                    <w:pStyle w:val="3"/>
                    <w:bidi w:val="0"/>
                    <w:rPr>
                      <w:rFonts w:hint="default" w:ascii="Times New Roman" w:hAnsi="Times New Roman" w:cs="Times New Roman"/>
                      <w:color w:val="auto"/>
                    </w:rPr>
                  </w:pPr>
                  <w:r>
                    <w:rPr>
                      <w:rFonts w:hint="default" w:ascii="Times New Roman" w:hAnsi="Times New Roman" w:cs="Times New Roman"/>
                      <w:color w:val="auto"/>
                    </w:rPr>
                    <w:t>用</w:t>
                  </w:r>
                  <w:r>
                    <w:rPr>
                      <w:rFonts w:hint="eastAsia" w:ascii="Times New Roman" w:hAnsi="Times New Roman" w:eastAsia="宋体" w:cs="Times New Roman"/>
                      <w:color w:val="auto"/>
                      <w:lang w:eastAsia="zh-CN"/>
                    </w:rPr>
                    <w:t>汽</w:t>
                  </w:r>
                  <w:r>
                    <w:rPr>
                      <w:rFonts w:hint="default" w:ascii="Times New Roman" w:hAnsi="Times New Roman" w:cs="Times New Roman"/>
                      <w:color w:val="auto"/>
                    </w:rPr>
                    <w:t>标准</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14919485">
                  <w:pPr>
                    <w:pStyle w:val="3"/>
                    <w:bidi w:val="0"/>
                    <w:rPr>
                      <w:rFonts w:hint="default" w:ascii="Times New Roman" w:hAnsi="Times New Roman" w:cs="Times New Roman"/>
                      <w:color w:val="auto"/>
                    </w:rPr>
                  </w:pPr>
                  <w:r>
                    <w:rPr>
                      <w:rFonts w:hint="default" w:ascii="Times New Roman" w:hAnsi="Times New Roman" w:cs="Times New Roman"/>
                      <w:color w:val="auto"/>
                    </w:rPr>
                    <w:t>日用</w:t>
                  </w:r>
                  <w:r>
                    <w:rPr>
                      <w:rFonts w:hint="default" w:ascii="Times New Roman" w:hAnsi="Times New Roman" w:cs="Times New Roman"/>
                      <w:color w:val="auto"/>
                      <w:lang w:eastAsia="zh-CN"/>
                    </w:rPr>
                    <w:t>汽</w:t>
                  </w:r>
                  <w:r>
                    <w:rPr>
                      <w:rFonts w:hint="default" w:ascii="Times New Roman" w:hAnsi="Times New Roman" w:cs="Times New Roman"/>
                      <w:color w:val="auto"/>
                    </w:rPr>
                    <w:t>量（</w:t>
                  </w:r>
                  <w:r>
                    <w:rPr>
                      <w:rFonts w:hint="default" w:ascii="Times New Roman" w:hAnsi="Times New Roman" w:cs="Times New Roman"/>
                      <w:color w:val="auto"/>
                      <w:lang w:val="en-US" w:eastAsia="zh-CN"/>
                    </w:rPr>
                    <w:t>t</w:t>
                  </w:r>
                  <w:r>
                    <w:rPr>
                      <w:rFonts w:hint="default" w:ascii="Times New Roman" w:hAnsi="Times New Roman" w:cs="Times New Roman"/>
                      <w:color w:val="auto"/>
                    </w:rPr>
                    <w:t>/d）</w:t>
                  </w:r>
                </w:p>
              </w:tc>
              <w:tc>
                <w:tcPr>
                  <w:tcW w:w="956" w:type="pct"/>
                  <w:tcBorders>
                    <w:top w:val="single" w:color="auto" w:sz="4" w:space="0"/>
                    <w:left w:val="single" w:color="auto" w:sz="4" w:space="0"/>
                    <w:bottom w:val="single" w:color="auto" w:sz="4" w:space="0"/>
                    <w:right w:val="single" w:color="auto" w:sz="4" w:space="0"/>
                  </w:tcBorders>
                  <w:noWrap w:val="0"/>
                  <w:vAlign w:val="center"/>
                </w:tcPr>
                <w:p w14:paraId="57378B43">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用</w:t>
                  </w:r>
                  <w:r>
                    <w:rPr>
                      <w:rFonts w:hint="default" w:ascii="Times New Roman" w:hAnsi="Times New Roman" w:cs="Times New Roman"/>
                      <w:color w:val="auto"/>
                      <w:lang w:eastAsia="zh-CN"/>
                    </w:rPr>
                    <w:t>汽</w:t>
                  </w:r>
                  <w:r>
                    <w:rPr>
                      <w:rFonts w:hint="default" w:ascii="Times New Roman" w:hAnsi="Times New Roman" w:cs="Times New Roman"/>
                      <w:color w:val="auto"/>
                    </w:rPr>
                    <w:t>量（</w:t>
                  </w:r>
                  <w:r>
                    <w:rPr>
                      <w:rFonts w:hint="default" w:ascii="Times New Roman" w:hAnsi="Times New Roman" w:cs="Times New Roman"/>
                      <w:color w:val="auto"/>
                      <w:lang w:val="en-US" w:eastAsia="zh-CN"/>
                    </w:rPr>
                    <w:t>t</w:t>
                  </w:r>
                  <w:r>
                    <w:rPr>
                      <w:rFonts w:hint="default" w:ascii="Times New Roman" w:hAnsi="Times New Roman" w:cs="Times New Roman"/>
                      <w:color w:val="auto"/>
                    </w:rPr>
                    <w:t>/</w:t>
                  </w:r>
                  <w:r>
                    <w:rPr>
                      <w:rFonts w:hint="default" w:ascii="Times New Roman" w:hAnsi="Times New Roman" w:cs="Times New Roman"/>
                      <w:color w:val="auto"/>
                      <w:lang w:val="en-US" w:eastAsia="zh-CN"/>
                    </w:rPr>
                    <w:t>a</w:t>
                  </w:r>
                  <w:r>
                    <w:rPr>
                      <w:rFonts w:hint="default" w:ascii="Times New Roman" w:hAnsi="Times New Roman" w:cs="Times New Roman"/>
                      <w:color w:val="auto"/>
                    </w:rPr>
                    <w:t>）</w:t>
                  </w:r>
                </w:p>
              </w:tc>
              <w:tc>
                <w:tcPr>
                  <w:tcW w:w="903" w:type="pct"/>
                  <w:tcBorders>
                    <w:top w:val="single" w:color="auto" w:sz="4" w:space="0"/>
                    <w:left w:val="single" w:color="auto" w:sz="4" w:space="0"/>
                    <w:bottom w:val="single" w:color="auto" w:sz="4" w:space="0"/>
                    <w:right w:val="nil"/>
                  </w:tcBorders>
                  <w:noWrap w:val="0"/>
                  <w:vAlign w:val="center"/>
                </w:tcPr>
                <w:p w14:paraId="185207C0">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生产线</w:t>
                  </w:r>
                </w:p>
              </w:tc>
            </w:tr>
            <w:tr w14:paraId="393AF0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8" w:type="pct"/>
                  <w:tcBorders>
                    <w:top w:val="single" w:color="auto" w:sz="4" w:space="0"/>
                    <w:left w:val="nil"/>
                    <w:bottom w:val="single" w:color="auto" w:sz="4" w:space="0"/>
                    <w:right w:val="single" w:color="auto" w:sz="4" w:space="0"/>
                  </w:tcBorders>
                  <w:noWrap w:val="0"/>
                  <w:vAlign w:val="center"/>
                </w:tcPr>
                <w:p w14:paraId="27539D7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5FE44AB9">
                  <w:pPr>
                    <w:pStyle w:val="3"/>
                    <w:bidi w:val="0"/>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调质</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0A21BDEE">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24h/d</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5701CEF8">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0.7t/h</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5525BF4C">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16.8</w:t>
                  </w:r>
                </w:p>
              </w:tc>
              <w:tc>
                <w:tcPr>
                  <w:tcW w:w="956" w:type="pct"/>
                  <w:tcBorders>
                    <w:top w:val="single" w:color="auto" w:sz="4" w:space="0"/>
                    <w:left w:val="single" w:color="auto" w:sz="4" w:space="0"/>
                    <w:bottom w:val="single" w:color="auto" w:sz="4" w:space="0"/>
                    <w:right w:val="single" w:color="auto" w:sz="4" w:space="0"/>
                  </w:tcBorders>
                  <w:noWrap w:val="0"/>
                  <w:vAlign w:val="center"/>
                </w:tcPr>
                <w:p w14:paraId="75690217">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5040</w:t>
                  </w:r>
                </w:p>
              </w:tc>
              <w:tc>
                <w:tcPr>
                  <w:tcW w:w="903" w:type="pct"/>
                  <w:tcBorders>
                    <w:top w:val="single" w:color="auto" w:sz="4" w:space="0"/>
                    <w:left w:val="single" w:color="auto" w:sz="4" w:space="0"/>
                    <w:bottom w:val="single" w:color="auto" w:sz="4" w:space="0"/>
                    <w:right w:val="nil"/>
                  </w:tcBorders>
                  <w:noWrap w:val="0"/>
                  <w:vAlign w:val="center"/>
                </w:tcPr>
                <w:p w14:paraId="2541247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大豆膨化线</w:t>
                  </w:r>
                </w:p>
              </w:tc>
            </w:tr>
            <w:tr w14:paraId="0F3A92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8" w:type="pct"/>
                  <w:tcBorders>
                    <w:top w:val="single" w:color="auto" w:sz="4" w:space="0"/>
                    <w:left w:val="nil"/>
                    <w:bottom w:val="single" w:color="auto" w:sz="4" w:space="0"/>
                    <w:right w:val="single" w:color="auto" w:sz="4" w:space="0"/>
                  </w:tcBorders>
                  <w:noWrap w:val="0"/>
                  <w:vAlign w:val="center"/>
                </w:tcPr>
                <w:p w14:paraId="76EBEFE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14AEF75D">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薄膜蒸发</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2BD3E3B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24h/d</w:t>
                  </w:r>
                </w:p>
              </w:tc>
              <w:tc>
                <w:tcPr>
                  <w:tcW w:w="645" w:type="pct"/>
                  <w:tcBorders>
                    <w:top w:val="single" w:color="auto" w:sz="4" w:space="0"/>
                    <w:left w:val="single" w:color="auto" w:sz="4" w:space="0"/>
                    <w:bottom w:val="single" w:color="auto" w:sz="4" w:space="0"/>
                    <w:right w:val="single" w:color="auto" w:sz="4" w:space="0"/>
                  </w:tcBorders>
                  <w:noWrap w:val="0"/>
                  <w:vAlign w:val="center"/>
                </w:tcPr>
                <w:p w14:paraId="2C40C46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t/h</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4788137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144</w:t>
                  </w:r>
                </w:p>
              </w:tc>
              <w:tc>
                <w:tcPr>
                  <w:tcW w:w="956" w:type="pct"/>
                  <w:tcBorders>
                    <w:top w:val="single" w:color="auto" w:sz="4" w:space="0"/>
                    <w:left w:val="single" w:color="auto" w:sz="4" w:space="0"/>
                    <w:bottom w:val="single" w:color="auto" w:sz="4" w:space="0"/>
                    <w:right w:val="single" w:color="auto" w:sz="4" w:space="0"/>
                  </w:tcBorders>
                  <w:noWrap w:val="0"/>
                  <w:vAlign w:val="center"/>
                </w:tcPr>
                <w:p w14:paraId="4FE6F3F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42480</w:t>
                  </w:r>
                </w:p>
              </w:tc>
              <w:tc>
                <w:tcPr>
                  <w:tcW w:w="903" w:type="pct"/>
                  <w:tcBorders>
                    <w:top w:val="single" w:color="auto" w:sz="4" w:space="0"/>
                    <w:left w:val="single" w:color="auto" w:sz="4" w:space="0"/>
                    <w:bottom w:val="single" w:color="auto" w:sz="4" w:space="0"/>
                    <w:right w:val="nil"/>
                  </w:tcBorders>
                  <w:noWrap w:val="0"/>
                  <w:vAlign w:val="center"/>
                </w:tcPr>
                <w:p w14:paraId="321F2C1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磷脂分线</w:t>
                  </w:r>
                </w:p>
              </w:tc>
            </w:tr>
            <w:tr w14:paraId="0746A1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388" w:type="pct"/>
                  <w:tcBorders>
                    <w:top w:val="single" w:color="auto" w:sz="4" w:space="0"/>
                    <w:left w:val="nil"/>
                    <w:bottom w:val="single" w:color="auto" w:sz="4" w:space="0"/>
                    <w:right w:val="single" w:color="auto" w:sz="4" w:space="0"/>
                  </w:tcBorders>
                  <w:noWrap w:val="0"/>
                  <w:vAlign w:val="center"/>
                </w:tcPr>
                <w:p w14:paraId="421651C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1714" w:type="pct"/>
                  <w:gridSpan w:val="3"/>
                  <w:tcBorders>
                    <w:top w:val="single" w:color="auto" w:sz="4" w:space="0"/>
                    <w:left w:val="single" w:color="auto" w:sz="4" w:space="0"/>
                    <w:bottom w:val="single" w:color="auto" w:sz="4" w:space="0"/>
                    <w:right w:val="single" w:color="auto" w:sz="4" w:space="0"/>
                  </w:tcBorders>
                  <w:noWrap w:val="0"/>
                  <w:vAlign w:val="center"/>
                </w:tcPr>
                <w:p w14:paraId="250106F2">
                  <w:pPr>
                    <w:pStyle w:val="3"/>
                    <w:bidi w:val="0"/>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合计</w:t>
                  </w:r>
                </w:p>
              </w:tc>
              <w:tc>
                <w:tcPr>
                  <w:tcW w:w="1037" w:type="pct"/>
                  <w:tcBorders>
                    <w:top w:val="single" w:color="auto" w:sz="4" w:space="0"/>
                    <w:left w:val="single" w:color="auto" w:sz="4" w:space="0"/>
                    <w:bottom w:val="single" w:color="auto" w:sz="4" w:space="0"/>
                    <w:right w:val="single" w:color="auto" w:sz="4" w:space="0"/>
                  </w:tcBorders>
                  <w:noWrap w:val="0"/>
                  <w:vAlign w:val="center"/>
                </w:tcPr>
                <w:p w14:paraId="50B6AD8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160.8</w:t>
                  </w:r>
                </w:p>
              </w:tc>
              <w:tc>
                <w:tcPr>
                  <w:tcW w:w="956" w:type="pct"/>
                  <w:tcBorders>
                    <w:top w:val="single" w:color="auto" w:sz="4" w:space="0"/>
                    <w:left w:val="single" w:color="auto" w:sz="4" w:space="0"/>
                    <w:bottom w:val="single" w:color="auto" w:sz="4" w:space="0"/>
                    <w:right w:val="single" w:color="auto" w:sz="4" w:space="0"/>
                  </w:tcBorders>
                  <w:noWrap w:val="0"/>
                  <w:vAlign w:val="center"/>
                </w:tcPr>
                <w:p w14:paraId="66F2789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47520</w:t>
                  </w:r>
                </w:p>
              </w:tc>
              <w:tc>
                <w:tcPr>
                  <w:tcW w:w="903" w:type="pct"/>
                  <w:tcBorders>
                    <w:top w:val="single" w:color="auto" w:sz="4" w:space="0"/>
                    <w:left w:val="single" w:color="auto" w:sz="4" w:space="0"/>
                    <w:bottom w:val="single" w:color="auto" w:sz="4" w:space="0"/>
                    <w:right w:val="nil"/>
                  </w:tcBorders>
                  <w:noWrap w:val="0"/>
                  <w:vAlign w:val="center"/>
                </w:tcPr>
                <w:p w14:paraId="175E578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r>
          </w:tbl>
          <w:p w14:paraId="75BA94B9">
            <w:pPr>
              <w:pStyle w:val="23"/>
              <w:snapToGrid w:val="0"/>
              <w:spacing w:line="360" w:lineRule="auto"/>
              <w:ind w:left="0" w:leftChars="0" w:firstLine="480" w:firstLineChars="200"/>
              <w:jc w:val="both"/>
              <w:rPr>
                <w:rFonts w:ascii="Times New Roman" w:cs="Times New Roman"/>
                <w:color w:val="auto"/>
              </w:rPr>
            </w:pPr>
            <w:r>
              <w:rPr>
                <w:rFonts w:hint="eastAsia" w:ascii="Times New Roman" w:cs="Times New Roman"/>
                <w:color w:val="auto"/>
                <w:sz w:val="24"/>
                <w:szCs w:val="24"/>
                <w:lang w:eastAsia="zh-CN"/>
              </w:rPr>
              <w:t>（</w:t>
            </w:r>
            <w:r>
              <w:rPr>
                <w:rFonts w:hint="eastAsia" w:ascii="Times New Roman" w:cs="Times New Roman"/>
                <w:color w:val="auto"/>
                <w:sz w:val="24"/>
                <w:szCs w:val="24"/>
                <w:lang w:val="en-US" w:eastAsia="zh-CN"/>
              </w:rPr>
              <w:t>3</w:t>
            </w:r>
            <w:r>
              <w:rPr>
                <w:rFonts w:hint="eastAsia" w:ascii="Times New Roman" w:cs="Times New Roman"/>
                <w:color w:val="auto"/>
                <w:sz w:val="24"/>
                <w:szCs w:val="24"/>
                <w:lang w:eastAsia="zh-CN"/>
              </w:rPr>
              <w:t>）</w:t>
            </w:r>
            <w:r>
              <w:rPr>
                <w:rFonts w:ascii="Times New Roman" w:cs="Times New Roman"/>
                <w:color w:val="auto"/>
              </w:rPr>
              <w:t>主要原辅材料用量</w:t>
            </w:r>
          </w:p>
          <w:p w14:paraId="732A158B">
            <w:pPr>
              <w:bidi w:val="0"/>
              <w:rPr>
                <w:rFonts w:hint="default"/>
                <w:color w:val="auto"/>
                <w:lang w:val="en-US" w:eastAsia="zh-CN"/>
              </w:rPr>
            </w:pPr>
            <w:r>
              <w:rPr>
                <w:color w:val="auto"/>
              </w:rPr>
              <w:t>本项目主要原辅材料用量见表</w:t>
            </w:r>
            <w:r>
              <w:rPr>
                <w:rFonts w:hint="eastAsia"/>
                <w:color w:val="auto"/>
                <w:lang w:val="en-US" w:eastAsia="zh-CN"/>
              </w:rPr>
              <w:t>2.4-3。</w:t>
            </w:r>
          </w:p>
          <w:p w14:paraId="2BF88E73">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eastAsia="宋体" w:cs="Times New Roman"/>
                <w:color w:val="auto"/>
                <w:lang w:val="en-US" w:eastAsia="zh-CN"/>
              </w:rPr>
              <w:t>2.4-3</w:t>
            </w:r>
            <w:r>
              <w:rPr>
                <w:rFonts w:hint="default" w:ascii="Times New Roman" w:hAnsi="Times New Roman" w:cs="Times New Roman"/>
                <w:color w:val="auto"/>
                <w:lang w:eastAsia="zh-CN"/>
              </w:rPr>
              <w:t>本项目</w:t>
            </w:r>
            <w:r>
              <w:rPr>
                <w:rFonts w:hint="default" w:ascii="Times New Roman" w:hAnsi="Times New Roman" w:cs="Times New Roman"/>
                <w:color w:val="auto"/>
              </w:rPr>
              <w:t>主要原辅材料用量一览表</w:t>
            </w:r>
          </w:p>
          <w:tbl>
            <w:tblPr>
              <w:tblStyle w:val="17"/>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57"/>
              <w:gridCol w:w="1069"/>
              <w:gridCol w:w="930"/>
              <w:gridCol w:w="1052"/>
              <w:gridCol w:w="2710"/>
              <w:gridCol w:w="2171"/>
            </w:tblGrid>
            <w:tr w14:paraId="13EF9CE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273" w:type="pct"/>
                  <w:noWrap w:val="0"/>
                  <w:vAlign w:val="center"/>
                </w:tcPr>
                <w:p w14:paraId="389C6DA6">
                  <w:pPr>
                    <w:pStyle w:val="3"/>
                    <w:bidi w:val="0"/>
                    <w:rPr>
                      <w:rFonts w:hint="default" w:ascii="Times New Roman" w:hAnsi="Times New Roman" w:cs="Times New Roman"/>
                      <w:color w:val="auto"/>
                    </w:rPr>
                  </w:pPr>
                  <w:r>
                    <w:rPr>
                      <w:rFonts w:hint="default" w:ascii="Times New Roman" w:hAnsi="Times New Roman" w:cs="Times New Roman"/>
                      <w:color w:val="auto"/>
                    </w:rPr>
                    <w:t>序号</w:t>
                  </w:r>
                </w:p>
              </w:tc>
              <w:tc>
                <w:tcPr>
                  <w:tcW w:w="637" w:type="pct"/>
                  <w:noWrap w:val="0"/>
                  <w:vAlign w:val="center"/>
                </w:tcPr>
                <w:p w14:paraId="49FA6E62">
                  <w:pPr>
                    <w:pStyle w:val="3"/>
                    <w:bidi w:val="0"/>
                    <w:rPr>
                      <w:rFonts w:hint="default" w:ascii="Times New Roman" w:hAnsi="Times New Roman" w:cs="Times New Roman"/>
                      <w:color w:val="auto"/>
                    </w:rPr>
                  </w:pPr>
                  <w:r>
                    <w:rPr>
                      <w:rFonts w:hint="default" w:ascii="Times New Roman" w:hAnsi="Times New Roman" w:cs="Times New Roman"/>
                      <w:color w:val="auto"/>
                    </w:rPr>
                    <w:t>材料名称</w:t>
                  </w:r>
                </w:p>
              </w:tc>
              <w:tc>
                <w:tcPr>
                  <w:tcW w:w="554" w:type="pct"/>
                  <w:noWrap w:val="0"/>
                  <w:vAlign w:val="center"/>
                </w:tcPr>
                <w:p w14:paraId="14D296FA">
                  <w:pPr>
                    <w:pStyle w:val="3"/>
                    <w:bidi w:val="0"/>
                    <w:rPr>
                      <w:rFonts w:hint="default" w:ascii="Times New Roman" w:hAnsi="Times New Roman" w:cs="Times New Roman"/>
                      <w:color w:val="auto"/>
                    </w:rPr>
                  </w:pPr>
                  <w:r>
                    <w:rPr>
                      <w:rFonts w:hint="default" w:ascii="Times New Roman" w:hAnsi="Times New Roman" w:cs="Times New Roman"/>
                      <w:color w:val="auto"/>
                    </w:rPr>
                    <w:t>单位</w:t>
                  </w:r>
                </w:p>
              </w:tc>
              <w:tc>
                <w:tcPr>
                  <w:tcW w:w="627" w:type="pct"/>
                  <w:noWrap w:val="0"/>
                  <w:vAlign w:val="center"/>
                </w:tcPr>
                <w:p w14:paraId="6FCEFF1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年用量</w:t>
                  </w:r>
                </w:p>
              </w:tc>
              <w:tc>
                <w:tcPr>
                  <w:tcW w:w="1615" w:type="pct"/>
                  <w:tcBorders>
                    <w:right w:val="single" w:color="auto" w:sz="4" w:space="0"/>
                  </w:tcBorders>
                  <w:noWrap w:val="0"/>
                  <w:vAlign w:val="center"/>
                </w:tcPr>
                <w:p w14:paraId="30D887CC">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其他</w:t>
                  </w:r>
                  <w:r>
                    <w:rPr>
                      <w:rFonts w:hint="default" w:ascii="Times New Roman" w:hAnsi="Times New Roman" w:cs="Times New Roman"/>
                      <w:color w:val="auto"/>
                      <w:lang w:eastAsia="zh-CN"/>
                    </w:rPr>
                    <w:t>信息</w:t>
                  </w:r>
                </w:p>
              </w:tc>
              <w:tc>
                <w:tcPr>
                  <w:tcW w:w="1292" w:type="pct"/>
                  <w:tcBorders>
                    <w:left w:val="single" w:color="auto" w:sz="4" w:space="0"/>
                  </w:tcBorders>
                  <w:noWrap w:val="0"/>
                  <w:vAlign w:val="center"/>
                </w:tcPr>
                <w:p w14:paraId="0B3B1C6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污染排放有关的物质</w:t>
                  </w:r>
                </w:p>
              </w:tc>
            </w:tr>
            <w:tr w14:paraId="7736C65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tblHeader/>
                <w:jc w:val="center"/>
              </w:trPr>
              <w:tc>
                <w:tcPr>
                  <w:tcW w:w="5000" w:type="pct"/>
                  <w:gridSpan w:val="6"/>
                  <w:noWrap w:val="0"/>
                  <w:vAlign w:val="center"/>
                </w:tcPr>
                <w:p w14:paraId="082ED1BC">
                  <w:pPr>
                    <w:pStyle w:val="3"/>
                    <w:bidi w:val="0"/>
                    <w:rPr>
                      <w:rFonts w:hint="default" w:ascii="Times New Roman" w:hAnsi="Times New Roman" w:cs="Times New Roman"/>
                      <w:color w:val="auto"/>
                    </w:rPr>
                  </w:pPr>
                  <w:r>
                    <w:rPr>
                      <w:rFonts w:hint="default" w:ascii="Times New Roman" w:hAnsi="Times New Roman" w:cs="Times New Roman"/>
                      <w:color w:val="auto"/>
                    </w:rPr>
                    <w:t>主要原材料</w:t>
                  </w:r>
                </w:p>
              </w:tc>
            </w:tr>
            <w:tr w14:paraId="4509929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4ACF36E1">
                  <w:pPr>
                    <w:pStyle w:val="3"/>
                    <w:bidi w:val="0"/>
                    <w:rPr>
                      <w:rFonts w:hint="default" w:ascii="Times New Roman" w:hAnsi="Times New Roman" w:cs="Times New Roman"/>
                      <w:color w:val="auto"/>
                    </w:rPr>
                  </w:pPr>
                  <w:r>
                    <w:rPr>
                      <w:rFonts w:hint="default" w:ascii="Times New Roman" w:hAnsi="Times New Roman" w:cs="Times New Roman"/>
                      <w:color w:val="auto"/>
                    </w:rPr>
                    <w:t>1</w:t>
                  </w:r>
                </w:p>
              </w:tc>
              <w:tc>
                <w:tcPr>
                  <w:tcW w:w="637" w:type="pct"/>
                  <w:noWrap w:val="0"/>
                  <w:vAlign w:val="center"/>
                </w:tcPr>
                <w:p w14:paraId="66F82C4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大豆</w:t>
                  </w:r>
                </w:p>
              </w:tc>
              <w:tc>
                <w:tcPr>
                  <w:tcW w:w="554" w:type="pct"/>
                  <w:noWrap w:val="0"/>
                  <w:vAlign w:val="center"/>
                </w:tcPr>
                <w:p w14:paraId="5DEB4FD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万t</w:t>
                  </w:r>
                  <w:r>
                    <w:rPr>
                      <w:rFonts w:hint="default" w:ascii="Times New Roman" w:hAnsi="Times New Roman" w:cs="Times New Roman"/>
                      <w:color w:val="auto"/>
                    </w:rPr>
                    <w:t>/a</w:t>
                  </w:r>
                </w:p>
              </w:tc>
              <w:tc>
                <w:tcPr>
                  <w:tcW w:w="627" w:type="pct"/>
                  <w:noWrap w:val="0"/>
                  <w:vAlign w:val="center"/>
                </w:tcPr>
                <w:p w14:paraId="26B49E1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highlight w:val="none"/>
                      <w:lang w:val="en-US" w:eastAsia="zh-CN"/>
                    </w:rPr>
                    <w:t>7.5</w:t>
                  </w:r>
                </w:p>
              </w:tc>
              <w:tc>
                <w:tcPr>
                  <w:tcW w:w="1615" w:type="pct"/>
                  <w:tcBorders>
                    <w:right w:val="single" w:color="auto" w:sz="4" w:space="0"/>
                  </w:tcBorders>
                  <w:noWrap w:val="0"/>
                  <w:vAlign w:val="center"/>
                </w:tcPr>
                <w:p w14:paraId="5C61CA80">
                  <w:pPr>
                    <w:pStyle w:val="3"/>
                    <w:bidi w:val="0"/>
                    <w:jc w:val="both"/>
                    <w:rPr>
                      <w:rFonts w:hint="default" w:ascii="Times New Roman" w:hAnsi="Times New Roman" w:cs="Times New Roman"/>
                      <w:color w:val="auto"/>
                      <w:lang w:eastAsia="zh-CN"/>
                    </w:rPr>
                  </w:pPr>
                  <w:r>
                    <w:rPr>
                      <w:rFonts w:hint="eastAsia" w:ascii="Times New Roman" w:hAnsi="Times New Roman" w:cs="Times New Roman"/>
                      <w:color w:val="auto"/>
                      <w:lang w:eastAsia="zh-CN"/>
                    </w:rPr>
                    <w:t>大豆膨化生产线主要原材料。</w:t>
                  </w:r>
                </w:p>
              </w:tc>
              <w:tc>
                <w:tcPr>
                  <w:tcW w:w="1292" w:type="pct"/>
                  <w:tcBorders>
                    <w:left w:val="single" w:color="auto" w:sz="4" w:space="0"/>
                  </w:tcBorders>
                  <w:noWrap w:val="0"/>
                  <w:vAlign w:val="center"/>
                </w:tcPr>
                <w:p w14:paraId="71A3AD6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2A787DF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498755D5">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637" w:type="pct"/>
                  <w:noWrap w:val="0"/>
                  <w:vAlign w:val="center"/>
                </w:tcPr>
                <w:p w14:paraId="04D0478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自产毛油</w:t>
                  </w:r>
                </w:p>
              </w:tc>
              <w:tc>
                <w:tcPr>
                  <w:tcW w:w="554" w:type="pct"/>
                  <w:noWrap w:val="0"/>
                  <w:vAlign w:val="center"/>
                </w:tcPr>
                <w:p w14:paraId="539FE46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w:t>
                  </w:r>
                  <w:r>
                    <w:rPr>
                      <w:rFonts w:hint="default" w:ascii="Times New Roman" w:hAnsi="Times New Roman" w:cs="Times New Roman"/>
                      <w:color w:val="auto"/>
                    </w:rPr>
                    <w:t>/a</w:t>
                  </w:r>
                </w:p>
              </w:tc>
              <w:tc>
                <w:tcPr>
                  <w:tcW w:w="627" w:type="pct"/>
                  <w:noWrap w:val="0"/>
                  <w:vAlign w:val="center"/>
                </w:tcPr>
                <w:p w14:paraId="0B60313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297792</w:t>
                  </w:r>
                </w:p>
              </w:tc>
              <w:tc>
                <w:tcPr>
                  <w:tcW w:w="1615" w:type="pct"/>
                  <w:vMerge w:val="restart"/>
                  <w:tcBorders>
                    <w:right w:val="single" w:color="auto" w:sz="4" w:space="0"/>
                  </w:tcBorders>
                  <w:noWrap w:val="0"/>
                  <w:vAlign w:val="center"/>
                </w:tcPr>
                <w:p w14:paraId="0A530D49">
                  <w:pPr>
                    <w:pStyle w:val="3"/>
                    <w:bidi w:val="0"/>
                    <w:jc w:val="both"/>
                    <w:rPr>
                      <w:rFonts w:hint="default" w:ascii="Times New Roman" w:hAnsi="Times New Roman" w:cs="Times New Roman"/>
                      <w:color w:val="auto"/>
                      <w:lang w:eastAsia="zh-CN"/>
                    </w:rPr>
                  </w:pPr>
                  <w:r>
                    <w:rPr>
                      <w:rFonts w:hint="eastAsia" w:ascii="Times New Roman" w:hAnsi="Times New Roman" w:cs="Times New Roman"/>
                      <w:color w:val="auto"/>
                      <w:lang w:eastAsia="zh-CN"/>
                    </w:rPr>
                    <w:t>精炼生产线主线的主要原材料；磷脂分线主要原材料。</w:t>
                  </w:r>
                </w:p>
              </w:tc>
              <w:tc>
                <w:tcPr>
                  <w:tcW w:w="1292" w:type="pct"/>
                  <w:tcBorders>
                    <w:left w:val="single" w:color="auto" w:sz="4" w:space="0"/>
                  </w:tcBorders>
                  <w:noWrap w:val="0"/>
                  <w:vAlign w:val="center"/>
                </w:tcPr>
                <w:p w14:paraId="0D0E9F6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r>
            <w:tr w14:paraId="48A9D63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3" w:type="pct"/>
                  <w:noWrap w:val="0"/>
                  <w:vAlign w:val="center"/>
                </w:tcPr>
                <w:p w14:paraId="2E351D8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637" w:type="pct"/>
                  <w:noWrap w:val="0"/>
                  <w:vAlign w:val="center"/>
                </w:tcPr>
                <w:p w14:paraId="2444D3F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外购毛油</w:t>
                  </w:r>
                </w:p>
              </w:tc>
              <w:tc>
                <w:tcPr>
                  <w:tcW w:w="554" w:type="pct"/>
                  <w:noWrap w:val="0"/>
                  <w:vAlign w:val="center"/>
                </w:tcPr>
                <w:p w14:paraId="55FE1EE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t/a</w:t>
                  </w:r>
                </w:p>
              </w:tc>
              <w:tc>
                <w:tcPr>
                  <w:tcW w:w="1052" w:type="dxa"/>
                  <w:noWrap w:val="0"/>
                  <w:vAlign w:val="center"/>
                </w:tcPr>
                <w:p w14:paraId="76665F11">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w:t>
                  </w:r>
                </w:p>
              </w:tc>
              <w:tc>
                <w:tcPr>
                  <w:tcW w:w="1615" w:type="pct"/>
                  <w:vMerge w:val="continue"/>
                  <w:tcBorders>
                    <w:right w:val="single" w:color="auto" w:sz="4" w:space="0"/>
                  </w:tcBorders>
                  <w:noWrap w:val="0"/>
                  <w:vAlign w:val="center"/>
                </w:tcPr>
                <w:p w14:paraId="5A752626">
                  <w:pPr>
                    <w:pStyle w:val="3"/>
                    <w:bidi w:val="0"/>
                    <w:jc w:val="both"/>
                    <w:rPr>
                      <w:rFonts w:hint="default" w:ascii="Times New Roman" w:hAnsi="Times New Roman" w:cs="Times New Roman"/>
                      <w:color w:val="auto"/>
                      <w:lang w:val="en-US"/>
                    </w:rPr>
                  </w:pPr>
                </w:p>
              </w:tc>
              <w:tc>
                <w:tcPr>
                  <w:tcW w:w="1292" w:type="pct"/>
                  <w:tcBorders>
                    <w:left w:val="single" w:color="auto" w:sz="4" w:space="0"/>
                  </w:tcBorders>
                  <w:noWrap w:val="0"/>
                  <w:vAlign w:val="center"/>
                </w:tcPr>
                <w:p w14:paraId="08E9DD4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4A81D8B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73" w:type="pct"/>
                  <w:noWrap w:val="0"/>
                  <w:vAlign w:val="center"/>
                </w:tcPr>
                <w:p w14:paraId="5C0DF1B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c>
                <w:tcPr>
                  <w:tcW w:w="637" w:type="pct"/>
                  <w:noWrap w:val="0"/>
                  <w:vAlign w:val="center"/>
                </w:tcPr>
                <w:p w14:paraId="51660BBC">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外购脱胶油</w:t>
                  </w:r>
                </w:p>
              </w:tc>
              <w:tc>
                <w:tcPr>
                  <w:tcW w:w="554" w:type="pct"/>
                  <w:noWrap w:val="0"/>
                  <w:vAlign w:val="center"/>
                </w:tcPr>
                <w:p w14:paraId="556D2C5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t/a</w:t>
                  </w:r>
                </w:p>
              </w:tc>
              <w:tc>
                <w:tcPr>
                  <w:tcW w:w="1052" w:type="dxa"/>
                  <w:noWrap w:val="0"/>
                  <w:vAlign w:val="center"/>
                </w:tcPr>
                <w:p w14:paraId="403BBB12">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w:t>
                  </w:r>
                </w:p>
              </w:tc>
              <w:tc>
                <w:tcPr>
                  <w:tcW w:w="1615" w:type="pct"/>
                  <w:tcBorders>
                    <w:right w:val="single" w:color="auto" w:sz="4" w:space="0"/>
                  </w:tcBorders>
                  <w:noWrap w:val="0"/>
                  <w:vAlign w:val="center"/>
                </w:tcPr>
                <w:p w14:paraId="0964073A">
                  <w:pPr>
                    <w:pStyle w:val="3"/>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精炼生产线主线的主要原材料。</w:t>
                  </w:r>
                </w:p>
              </w:tc>
              <w:tc>
                <w:tcPr>
                  <w:tcW w:w="1292" w:type="pct"/>
                  <w:tcBorders>
                    <w:left w:val="single" w:color="auto" w:sz="4" w:space="0"/>
                  </w:tcBorders>
                  <w:noWrap w:val="0"/>
                  <w:vAlign w:val="center"/>
                </w:tcPr>
                <w:p w14:paraId="6FE3B5F5">
                  <w:pPr>
                    <w:pStyle w:val="3"/>
                    <w:bidi w:val="0"/>
                    <w:rPr>
                      <w:rFonts w:hint="default" w:ascii="Times New Roman" w:hAnsi="Times New Roman" w:cs="Times New Roman"/>
                      <w:color w:val="auto"/>
                      <w:lang w:val="en-US" w:eastAsia="zh-CN"/>
                    </w:rPr>
                  </w:pPr>
                </w:p>
              </w:tc>
            </w:tr>
            <w:tr w14:paraId="1D32327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58E1D48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c>
                <w:tcPr>
                  <w:tcW w:w="637" w:type="pct"/>
                  <w:noWrap w:val="0"/>
                  <w:vAlign w:val="center"/>
                </w:tcPr>
                <w:p w14:paraId="5760CBC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磷酸</w:t>
                  </w:r>
                </w:p>
              </w:tc>
              <w:tc>
                <w:tcPr>
                  <w:tcW w:w="554" w:type="pct"/>
                  <w:noWrap w:val="0"/>
                  <w:vAlign w:val="center"/>
                </w:tcPr>
                <w:p w14:paraId="75F01867">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t/a</w:t>
                  </w:r>
                </w:p>
              </w:tc>
              <w:tc>
                <w:tcPr>
                  <w:tcW w:w="627" w:type="pct"/>
                  <w:noWrap w:val="0"/>
                  <w:vAlign w:val="center"/>
                </w:tcPr>
                <w:p w14:paraId="117557C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197</w:t>
                  </w:r>
                </w:p>
              </w:tc>
              <w:tc>
                <w:tcPr>
                  <w:tcW w:w="1615" w:type="pct"/>
                  <w:tcBorders>
                    <w:right w:val="single" w:color="auto" w:sz="4" w:space="0"/>
                  </w:tcBorders>
                  <w:noWrap w:val="0"/>
                  <w:vAlign w:val="center"/>
                </w:tcPr>
                <w:p w14:paraId="44CB8A52">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毛油精炼</w:t>
                  </w:r>
                  <w:r>
                    <w:rPr>
                      <w:rFonts w:hint="eastAsia" w:ascii="Times New Roman" w:hAnsi="Times New Roman" w:cs="Times New Roman"/>
                      <w:color w:val="auto"/>
                      <w:lang w:val="en-US" w:eastAsia="zh-CN"/>
                    </w:rPr>
                    <w:t>主线</w:t>
                  </w:r>
                  <w:r>
                    <w:rPr>
                      <w:rFonts w:hint="default" w:ascii="Times New Roman" w:hAnsi="Times New Roman" w:cs="Times New Roman"/>
                      <w:color w:val="auto"/>
                      <w:lang w:val="en-US" w:eastAsia="zh-CN"/>
                    </w:rPr>
                    <w:t>生产线酸化工序使用原材料</w:t>
                  </w:r>
                  <w:r>
                    <w:rPr>
                      <w:rFonts w:hint="eastAsia" w:ascii="Times New Roman" w:hAnsi="Times New Roman" w:cs="Times New Roman"/>
                      <w:color w:val="auto"/>
                      <w:lang w:val="en-US" w:eastAsia="zh-CN"/>
                    </w:rPr>
                    <w:t>。</w:t>
                  </w:r>
                </w:p>
              </w:tc>
              <w:tc>
                <w:tcPr>
                  <w:tcW w:w="1292" w:type="pct"/>
                  <w:tcBorders>
                    <w:left w:val="single" w:color="auto" w:sz="4" w:space="0"/>
                  </w:tcBorders>
                  <w:noWrap w:val="0"/>
                  <w:vAlign w:val="center"/>
                </w:tcPr>
                <w:p w14:paraId="1E8CA7A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5F49895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67DBD37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w:t>
                  </w:r>
                </w:p>
              </w:tc>
              <w:tc>
                <w:tcPr>
                  <w:tcW w:w="637" w:type="pct"/>
                  <w:noWrap w:val="0"/>
                  <w:vAlign w:val="center"/>
                </w:tcPr>
                <w:p w14:paraId="3E47CC4D">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液碱</w:t>
                  </w:r>
                </w:p>
              </w:tc>
              <w:tc>
                <w:tcPr>
                  <w:tcW w:w="554" w:type="pct"/>
                  <w:noWrap w:val="0"/>
                  <w:vAlign w:val="center"/>
                </w:tcPr>
                <w:p w14:paraId="79BA78AA">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t/a</w:t>
                  </w:r>
                </w:p>
              </w:tc>
              <w:tc>
                <w:tcPr>
                  <w:tcW w:w="627" w:type="pct"/>
                  <w:noWrap w:val="0"/>
                  <w:vAlign w:val="center"/>
                </w:tcPr>
                <w:p w14:paraId="50DF85A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1065</w:t>
                  </w:r>
                </w:p>
              </w:tc>
              <w:tc>
                <w:tcPr>
                  <w:tcW w:w="1615" w:type="pct"/>
                  <w:tcBorders>
                    <w:right w:val="single" w:color="auto" w:sz="4" w:space="0"/>
                  </w:tcBorders>
                  <w:noWrap w:val="0"/>
                  <w:vAlign w:val="center"/>
                </w:tcPr>
                <w:p w14:paraId="2DB7FD33">
                  <w:pPr>
                    <w:pStyle w:val="3"/>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毛油精炼</w:t>
                  </w:r>
                  <w:r>
                    <w:rPr>
                      <w:rFonts w:hint="eastAsia" w:ascii="Times New Roman" w:hAnsi="Times New Roman" w:cs="Times New Roman"/>
                      <w:color w:val="auto"/>
                      <w:lang w:val="en-US" w:eastAsia="zh-CN"/>
                    </w:rPr>
                    <w:t>主线</w:t>
                  </w:r>
                  <w:r>
                    <w:rPr>
                      <w:rFonts w:hint="default" w:ascii="Times New Roman" w:hAnsi="Times New Roman" w:cs="Times New Roman"/>
                      <w:color w:val="auto"/>
                      <w:lang w:val="en-US" w:eastAsia="zh-CN"/>
                    </w:rPr>
                    <w:t>生产线</w:t>
                  </w:r>
                  <w:r>
                    <w:rPr>
                      <w:rFonts w:hint="eastAsia" w:ascii="Times New Roman" w:hAnsi="Times New Roman" w:cs="Times New Roman"/>
                      <w:color w:val="auto"/>
                      <w:lang w:val="en-US" w:eastAsia="zh-CN"/>
                    </w:rPr>
                    <w:t>碱炼脱酸</w:t>
                  </w:r>
                  <w:r>
                    <w:rPr>
                      <w:rFonts w:hint="default" w:ascii="Times New Roman" w:hAnsi="Times New Roman" w:cs="Times New Roman"/>
                      <w:color w:val="auto"/>
                      <w:lang w:val="en-US" w:eastAsia="zh-CN"/>
                    </w:rPr>
                    <w:t>工序使用原材料</w:t>
                  </w:r>
                  <w:r>
                    <w:rPr>
                      <w:rFonts w:hint="eastAsia" w:ascii="Times New Roman" w:hAnsi="Times New Roman" w:cs="Times New Roman"/>
                      <w:color w:val="auto"/>
                      <w:lang w:val="en-US" w:eastAsia="zh-CN"/>
                    </w:rPr>
                    <w:t>。</w:t>
                  </w:r>
                </w:p>
              </w:tc>
              <w:tc>
                <w:tcPr>
                  <w:tcW w:w="1292" w:type="pct"/>
                  <w:tcBorders>
                    <w:left w:val="single" w:color="auto" w:sz="4" w:space="0"/>
                  </w:tcBorders>
                  <w:noWrap w:val="0"/>
                  <w:vAlign w:val="center"/>
                </w:tcPr>
                <w:p w14:paraId="149A2F8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4E393AF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4C910CC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w:t>
                  </w:r>
                </w:p>
              </w:tc>
              <w:tc>
                <w:tcPr>
                  <w:tcW w:w="637" w:type="pct"/>
                  <w:noWrap w:val="0"/>
                  <w:vAlign w:val="center"/>
                </w:tcPr>
                <w:p w14:paraId="4494274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白土</w:t>
                  </w:r>
                </w:p>
              </w:tc>
              <w:tc>
                <w:tcPr>
                  <w:tcW w:w="554" w:type="pct"/>
                  <w:noWrap w:val="0"/>
                  <w:vAlign w:val="center"/>
                </w:tcPr>
                <w:p w14:paraId="5D629C2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t/a</w:t>
                  </w:r>
                </w:p>
              </w:tc>
              <w:tc>
                <w:tcPr>
                  <w:tcW w:w="627" w:type="pct"/>
                  <w:noWrap w:val="0"/>
                  <w:vAlign w:val="center"/>
                </w:tcPr>
                <w:p w14:paraId="1599909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2294</w:t>
                  </w:r>
                </w:p>
              </w:tc>
              <w:tc>
                <w:tcPr>
                  <w:tcW w:w="1615" w:type="pct"/>
                  <w:tcBorders>
                    <w:right w:val="single" w:color="auto" w:sz="4" w:space="0"/>
                  </w:tcBorders>
                  <w:noWrap w:val="0"/>
                  <w:vAlign w:val="center"/>
                </w:tcPr>
                <w:p w14:paraId="360A46C3">
                  <w:pPr>
                    <w:pStyle w:val="3"/>
                    <w:bidi w:val="0"/>
                    <w:jc w:val="both"/>
                    <w:rPr>
                      <w:rFonts w:hint="default" w:ascii="Times New Roman" w:hAnsi="Times New Roman" w:cs="Times New Roman"/>
                      <w:color w:val="auto"/>
                    </w:rPr>
                  </w:pPr>
                  <w:r>
                    <w:rPr>
                      <w:rFonts w:hint="default" w:ascii="Times New Roman" w:hAnsi="Times New Roman" w:cs="Times New Roman"/>
                      <w:color w:val="auto"/>
                      <w:lang w:val="en-US" w:eastAsia="zh-CN"/>
                    </w:rPr>
                    <w:t>毛油精炼</w:t>
                  </w:r>
                  <w:r>
                    <w:rPr>
                      <w:rFonts w:hint="eastAsia" w:ascii="Times New Roman" w:hAnsi="Times New Roman" w:cs="Times New Roman"/>
                      <w:color w:val="auto"/>
                      <w:lang w:val="en-US" w:eastAsia="zh-CN"/>
                    </w:rPr>
                    <w:t>主线</w:t>
                  </w:r>
                  <w:r>
                    <w:rPr>
                      <w:rFonts w:hint="default" w:ascii="Times New Roman" w:hAnsi="Times New Roman" w:cs="Times New Roman"/>
                      <w:color w:val="auto"/>
                      <w:lang w:val="en-US" w:eastAsia="zh-CN"/>
                    </w:rPr>
                    <w:t>生产线</w:t>
                  </w:r>
                  <w:r>
                    <w:rPr>
                      <w:rFonts w:hint="eastAsia" w:ascii="Times New Roman" w:hAnsi="Times New Roman" w:cs="Times New Roman"/>
                      <w:color w:val="auto"/>
                      <w:lang w:val="en-US" w:eastAsia="zh-CN"/>
                    </w:rPr>
                    <w:t>吸附脱色</w:t>
                  </w:r>
                  <w:r>
                    <w:rPr>
                      <w:rFonts w:hint="default" w:ascii="Times New Roman" w:hAnsi="Times New Roman" w:cs="Times New Roman"/>
                      <w:color w:val="auto"/>
                      <w:lang w:val="en-US" w:eastAsia="zh-CN"/>
                    </w:rPr>
                    <w:t>工序使用原材料</w:t>
                  </w:r>
                  <w:r>
                    <w:rPr>
                      <w:rFonts w:hint="eastAsia" w:ascii="Times New Roman" w:hAnsi="Times New Roman" w:cs="Times New Roman"/>
                      <w:color w:val="auto"/>
                      <w:lang w:val="en-US" w:eastAsia="zh-CN"/>
                    </w:rPr>
                    <w:t>。</w:t>
                  </w:r>
                </w:p>
              </w:tc>
              <w:tc>
                <w:tcPr>
                  <w:tcW w:w="1292" w:type="pct"/>
                  <w:tcBorders>
                    <w:left w:val="single" w:color="auto" w:sz="4" w:space="0"/>
                  </w:tcBorders>
                  <w:noWrap w:val="0"/>
                  <w:vAlign w:val="center"/>
                </w:tcPr>
                <w:p w14:paraId="4A11841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40D9875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2DB1AB4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w:t>
                  </w:r>
                </w:p>
              </w:tc>
              <w:tc>
                <w:tcPr>
                  <w:tcW w:w="1069" w:type="dxa"/>
                  <w:noWrap w:val="0"/>
                  <w:vAlign w:val="center"/>
                </w:tcPr>
                <w:p w14:paraId="6A20E745">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rPr>
                    <w:t>机油</w:t>
                  </w:r>
                </w:p>
              </w:tc>
              <w:tc>
                <w:tcPr>
                  <w:tcW w:w="930" w:type="dxa"/>
                  <w:noWrap w:val="0"/>
                  <w:vAlign w:val="center"/>
                </w:tcPr>
                <w:p w14:paraId="3D9EE60C">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rPr>
                    <w:t>t/a</w:t>
                  </w:r>
                </w:p>
              </w:tc>
              <w:tc>
                <w:tcPr>
                  <w:tcW w:w="627" w:type="pct"/>
                  <w:noWrap w:val="0"/>
                  <w:vAlign w:val="center"/>
                </w:tcPr>
                <w:p w14:paraId="39D3987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0.64</w:t>
                  </w:r>
                </w:p>
              </w:tc>
              <w:tc>
                <w:tcPr>
                  <w:tcW w:w="2710" w:type="dxa"/>
                  <w:tcBorders>
                    <w:right w:val="single" w:color="auto" w:sz="4" w:space="0"/>
                  </w:tcBorders>
                  <w:noWrap w:val="0"/>
                  <w:vAlign w:val="center"/>
                </w:tcPr>
                <w:p w14:paraId="2252474E">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rPr>
                    <w:t>18L/桶，最大储存量为32kg(</w:t>
                  </w:r>
                  <w:r>
                    <w:rPr>
                      <w:rFonts w:hint="default" w:ascii="Times New Roman" w:hAnsi="Times New Roman" w:cs="Times New Roman"/>
                      <w:color w:val="auto"/>
                      <w:lang w:val="en-US" w:eastAsia="zh-CN"/>
                    </w:rPr>
                    <w:t>2</w:t>
                  </w:r>
                  <w:r>
                    <w:rPr>
                      <w:rFonts w:hint="default" w:ascii="Times New Roman" w:hAnsi="Times New Roman" w:cs="Times New Roman"/>
                      <w:color w:val="auto"/>
                    </w:rPr>
                    <w:t>桶</w:t>
                  </w:r>
                  <w:r>
                    <w:rPr>
                      <w:rFonts w:hint="default" w:ascii="Times New Roman" w:hAnsi="Times New Roman" w:cs="Times New Roman"/>
                      <w:color w:val="auto"/>
                      <w:lang w:eastAsia="zh-CN"/>
                    </w:rPr>
                    <w:t>）</w:t>
                  </w:r>
                  <w:r>
                    <w:rPr>
                      <w:rFonts w:hint="default" w:ascii="Times New Roman" w:hAnsi="Times New Roman" w:cs="Times New Roman"/>
                      <w:color w:val="auto"/>
                    </w:rPr>
                    <w:t>，设备润滑使用</w:t>
                  </w:r>
                </w:p>
              </w:tc>
              <w:tc>
                <w:tcPr>
                  <w:tcW w:w="1292" w:type="pct"/>
                  <w:tcBorders>
                    <w:left w:val="single" w:color="auto" w:sz="4" w:space="0"/>
                  </w:tcBorders>
                  <w:noWrap w:val="0"/>
                  <w:vAlign w:val="center"/>
                </w:tcPr>
                <w:p w14:paraId="1CF61F85">
                  <w:pPr>
                    <w:pStyle w:val="3"/>
                    <w:bidi w:val="0"/>
                    <w:rPr>
                      <w:rFonts w:hint="default" w:ascii="Times New Roman" w:hAnsi="Times New Roman" w:cs="Times New Roman"/>
                      <w:color w:val="auto"/>
                      <w:lang w:val="en-US" w:eastAsia="zh-CN"/>
                    </w:rPr>
                  </w:pPr>
                </w:p>
              </w:tc>
            </w:tr>
            <w:tr w14:paraId="19D46A7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35C89A1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w:t>
                  </w:r>
                </w:p>
              </w:tc>
              <w:tc>
                <w:tcPr>
                  <w:tcW w:w="1069" w:type="dxa"/>
                  <w:noWrap w:val="0"/>
                  <w:vAlign w:val="center"/>
                </w:tcPr>
                <w:p w14:paraId="240E26EA">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rPr>
                    <w:t>抹布、劳保用品</w:t>
                  </w:r>
                </w:p>
              </w:tc>
              <w:tc>
                <w:tcPr>
                  <w:tcW w:w="930" w:type="dxa"/>
                  <w:noWrap w:val="0"/>
                  <w:vAlign w:val="center"/>
                </w:tcPr>
                <w:p w14:paraId="0B57BA2F">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rPr>
                    <w:t>t/a</w:t>
                  </w:r>
                </w:p>
              </w:tc>
              <w:tc>
                <w:tcPr>
                  <w:tcW w:w="627" w:type="pct"/>
                  <w:noWrap w:val="0"/>
                  <w:vAlign w:val="center"/>
                </w:tcPr>
                <w:p w14:paraId="7C36500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0.05</w:t>
                  </w:r>
                </w:p>
              </w:tc>
              <w:tc>
                <w:tcPr>
                  <w:tcW w:w="2710" w:type="dxa"/>
                  <w:tcBorders>
                    <w:right w:val="single" w:color="auto" w:sz="4" w:space="0"/>
                  </w:tcBorders>
                  <w:noWrap w:val="0"/>
                  <w:vAlign w:val="center"/>
                </w:tcPr>
                <w:p w14:paraId="1B03B63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员工使用</w:t>
                  </w:r>
                </w:p>
              </w:tc>
              <w:tc>
                <w:tcPr>
                  <w:tcW w:w="1292" w:type="pct"/>
                  <w:tcBorders>
                    <w:left w:val="single" w:color="auto" w:sz="4" w:space="0"/>
                  </w:tcBorders>
                  <w:noWrap w:val="0"/>
                  <w:vAlign w:val="center"/>
                </w:tcPr>
                <w:p w14:paraId="4BFFDB17">
                  <w:pPr>
                    <w:pStyle w:val="3"/>
                    <w:bidi w:val="0"/>
                    <w:rPr>
                      <w:rFonts w:hint="default" w:ascii="Times New Roman" w:hAnsi="Times New Roman" w:cs="Times New Roman"/>
                      <w:color w:val="auto"/>
                      <w:lang w:val="en-US" w:eastAsia="zh-CN"/>
                    </w:rPr>
                  </w:pPr>
                </w:p>
              </w:tc>
            </w:tr>
            <w:tr w14:paraId="3D16EC2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5000" w:type="pct"/>
                  <w:gridSpan w:val="6"/>
                  <w:noWrap w:val="0"/>
                  <w:vAlign w:val="center"/>
                </w:tcPr>
                <w:p w14:paraId="5DABFFE6">
                  <w:pPr>
                    <w:pStyle w:val="3"/>
                    <w:bidi w:val="0"/>
                    <w:rPr>
                      <w:rFonts w:hint="default" w:ascii="Times New Roman" w:hAnsi="Times New Roman" w:cs="Times New Roman"/>
                      <w:color w:val="auto"/>
                    </w:rPr>
                  </w:pPr>
                  <w:r>
                    <w:rPr>
                      <w:rFonts w:hint="default" w:ascii="Times New Roman" w:hAnsi="Times New Roman" w:cs="Times New Roman"/>
                      <w:color w:val="auto"/>
                    </w:rPr>
                    <w:t>能源消耗</w:t>
                  </w:r>
                </w:p>
              </w:tc>
            </w:tr>
            <w:tr w14:paraId="6CAFD34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0FB8739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637" w:type="pct"/>
                  <w:noWrap w:val="0"/>
                  <w:vAlign w:val="center"/>
                </w:tcPr>
                <w:p w14:paraId="6661C6F0">
                  <w:pPr>
                    <w:pStyle w:val="3"/>
                    <w:bidi w:val="0"/>
                    <w:rPr>
                      <w:rFonts w:hint="default" w:ascii="Times New Roman" w:hAnsi="Times New Roman" w:cs="Times New Roman"/>
                      <w:color w:val="auto"/>
                    </w:rPr>
                  </w:pPr>
                  <w:r>
                    <w:rPr>
                      <w:rFonts w:hint="default" w:ascii="Times New Roman" w:hAnsi="Times New Roman" w:cs="Times New Roman"/>
                      <w:color w:val="auto"/>
                    </w:rPr>
                    <w:t>水</w:t>
                  </w:r>
                </w:p>
              </w:tc>
              <w:tc>
                <w:tcPr>
                  <w:tcW w:w="554" w:type="pct"/>
                  <w:noWrap w:val="0"/>
                  <w:vAlign w:val="center"/>
                </w:tcPr>
                <w:p w14:paraId="4DE8D940">
                  <w:pPr>
                    <w:pStyle w:val="3"/>
                    <w:bidi w:val="0"/>
                    <w:rPr>
                      <w:rFonts w:hint="default" w:ascii="Times New Roman" w:hAnsi="Times New Roman" w:cs="Times New Roman"/>
                      <w:color w:val="auto"/>
                    </w:rPr>
                  </w:pP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/a</w:t>
                  </w:r>
                </w:p>
              </w:tc>
              <w:tc>
                <w:tcPr>
                  <w:tcW w:w="627" w:type="pct"/>
                  <w:noWrap w:val="0"/>
                  <w:vAlign w:val="center"/>
                </w:tcPr>
                <w:p w14:paraId="5DBAA77F">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240</w:t>
                  </w:r>
                </w:p>
              </w:tc>
              <w:tc>
                <w:tcPr>
                  <w:tcW w:w="1615" w:type="pct"/>
                  <w:tcBorders>
                    <w:right w:val="single" w:color="auto" w:sz="4" w:space="0"/>
                  </w:tcBorders>
                  <w:noWrap w:val="0"/>
                  <w:vAlign w:val="center"/>
                </w:tcPr>
                <w:p w14:paraId="12608E06">
                  <w:pPr>
                    <w:pStyle w:val="3"/>
                    <w:bidi w:val="0"/>
                    <w:rPr>
                      <w:rFonts w:hint="default" w:ascii="Times New Roman" w:hAnsi="Times New Roman" w:cs="Times New Roman"/>
                      <w:color w:val="auto"/>
                      <w:lang w:val="en-US"/>
                    </w:rPr>
                  </w:pPr>
                  <w:r>
                    <w:rPr>
                      <w:rFonts w:hint="default" w:ascii="Times New Roman" w:hAnsi="Times New Roman" w:cs="Times New Roman"/>
                      <w:color w:val="auto"/>
                    </w:rPr>
                    <w:t>园区</w:t>
                  </w:r>
                  <w:r>
                    <w:rPr>
                      <w:rFonts w:hint="default" w:ascii="Times New Roman" w:hAnsi="Times New Roman" w:cs="Times New Roman"/>
                      <w:color w:val="auto"/>
                      <w:lang w:eastAsia="zh-CN"/>
                    </w:rPr>
                    <w:t>供水</w:t>
                  </w:r>
                  <w:r>
                    <w:rPr>
                      <w:rFonts w:hint="default" w:ascii="Times New Roman" w:hAnsi="Times New Roman" w:cs="Times New Roman"/>
                      <w:color w:val="auto"/>
                    </w:rPr>
                    <w:t>网络</w:t>
                  </w:r>
                </w:p>
              </w:tc>
              <w:tc>
                <w:tcPr>
                  <w:tcW w:w="1292" w:type="pct"/>
                  <w:tcBorders>
                    <w:left w:val="single" w:color="auto" w:sz="4" w:space="0"/>
                  </w:tcBorders>
                  <w:noWrap w:val="0"/>
                  <w:vAlign w:val="center"/>
                </w:tcPr>
                <w:p w14:paraId="0337E14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0C8DDA8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273" w:type="pct"/>
                  <w:noWrap w:val="0"/>
                  <w:vAlign w:val="center"/>
                </w:tcPr>
                <w:p w14:paraId="68DCE54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w:t>
                  </w:r>
                </w:p>
              </w:tc>
              <w:tc>
                <w:tcPr>
                  <w:tcW w:w="637" w:type="pct"/>
                  <w:noWrap w:val="0"/>
                  <w:vAlign w:val="center"/>
                </w:tcPr>
                <w:p w14:paraId="69ABCBFA">
                  <w:pPr>
                    <w:pStyle w:val="3"/>
                    <w:bidi w:val="0"/>
                    <w:rPr>
                      <w:rFonts w:hint="default" w:ascii="Times New Roman" w:hAnsi="Times New Roman" w:cs="Times New Roman"/>
                      <w:color w:val="auto"/>
                    </w:rPr>
                  </w:pPr>
                  <w:r>
                    <w:rPr>
                      <w:rFonts w:hint="default" w:ascii="Times New Roman" w:hAnsi="Times New Roman" w:cs="Times New Roman"/>
                      <w:color w:val="auto"/>
                    </w:rPr>
                    <w:t>电</w:t>
                  </w:r>
                </w:p>
              </w:tc>
              <w:tc>
                <w:tcPr>
                  <w:tcW w:w="554" w:type="pct"/>
                  <w:noWrap w:val="0"/>
                  <w:vAlign w:val="center"/>
                </w:tcPr>
                <w:p w14:paraId="177DEE4C">
                  <w:pPr>
                    <w:pStyle w:val="3"/>
                    <w:bidi w:val="0"/>
                    <w:rPr>
                      <w:rFonts w:hint="default" w:ascii="Times New Roman" w:hAnsi="Times New Roman" w:cs="Times New Roman"/>
                      <w:color w:val="auto"/>
                    </w:rPr>
                  </w:pPr>
                  <w:r>
                    <w:rPr>
                      <w:rFonts w:hint="default" w:ascii="Times New Roman" w:hAnsi="Times New Roman" w:cs="Times New Roman"/>
                      <w:color w:val="auto"/>
                    </w:rPr>
                    <w:t>万度/a</w:t>
                  </w:r>
                </w:p>
              </w:tc>
              <w:tc>
                <w:tcPr>
                  <w:tcW w:w="627" w:type="pct"/>
                  <w:noWrap w:val="0"/>
                  <w:vAlign w:val="center"/>
                </w:tcPr>
                <w:p w14:paraId="578CA57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p>
              </w:tc>
              <w:tc>
                <w:tcPr>
                  <w:tcW w:w="1615" w:type="pct"/>
                  <w:tcBorders>
                    <w:right w:val="single" w:color="auto" w:sz="4" w:space="0"/>
                  </w:tcBorders>
                  <w:noWrap w:val="0"/>
                  <w:vAlign w:val="center"/>
                </w:tcPr>
                <w:p w14:paraId="7017C24A">
                  <w:pPr>
                    <w:pStyle w:val="3"/>
                    <w:bidi w:val="0"/>
                    <w:rPr>
                      <w:rFonts w:hint="default" w:ascii="Times New Roman" w:hAnsi="Times New Roman" w:cs="Times New Roman"/>
                      <w:color w:val="auto"/>
                    </w:rPr>
                  </w:pPr>
                  <w:r>
                    <w:rPr>
                      <w:rFonts w:hint="default" w:ascii="Times New Roman" w:hAnsi="Times New Roman" w:cs="Times New Roman"/>
                      <w:color w:val="auto"/>
                    </w:rPr>
                    <w:t>园区供电网络</w:t>
                  </w:r>
                </w:p>
              </w:tc>
              <w:tc>
                <w:tcPr>
                  <w:tcW w:w="1292" w:type="pct"/>
                  <w:tcBorders>
                    <w:left w:val="single" w:color="auto" w:sz="4" w:space="0"/>
                  </w:tcBorders>
                  <w:noWrap w:val="0"/>
                  <w:vAlign w:val="center"/>
                </w:tcPr>
                <w:p w14:paraId="5B4A3E9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r w14:paraId="32204A5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273" w:type="pct"/>
                  <w:noWrap w:val="0"/>
                  <w:vAlign w:val="center"/>
                </w:tcPr>
                <w:p w14:paraId="662006A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w:t>
                  </w:r>
                </w:p>
              </w:tc>
              <w:tc>
                <w:tcPr>
                  <w:tcW w:w="637" w:type="pct"/>
                  <w:noWrap w:val="0"/>
                  <w:vAlign w:val="center"/>
                </w:tcPr>
                <w:p w14:paraId="61B3514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蒸汽</w:t>
                  </w:r>
                </w:p>
              </w:tc>
              <w:tc>
                <w:tcPr>
                  <w:tcW w:w="554" w:type="pct"/>
                  <w:noWrap w:val="0"/>
                  <w:vAlign w:val="center"/>
                </w:tcPr>
                <w:p w14:paraId="7FD168DE">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t</w:t>
                  </w:r>
                  <w:r>
                    <w:rPr>
                      <w:rFonts w:hint="default" w:ascii="Times New Roman" w:hAnsi="Times New Roman" w:cs="Times New Roman"/>
                      <w:color w:val="auto"/>
                    </w:rPr>
                    <w:t>/a</w:t>
                  </w:r>
                </w:p>
              </w:tc>
              <w:tc>
                <w:tcPr>
                  <w:tcW w:w="627" w:type="pct"/>
                  <w:noWrap w:val="0"/>
                  <w:vAlign w:val="center"/>
                </w:tcPr>
                <w:p w14:paraId="2C30B39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41040</w:t>
                  </w:r>
                </w:p>
              </w:tc>
              <w:tc>
                <w:tcPr>
                  <w:tcW w:w="1615" w:type="pct"/>
                  <w:tcBorders>
                    <w:right w:val="single" w:color="auto" w:sz="4" w:space="0"/>
                  </w:tcBorders>
                  <w:noWrap w:val="0"/>
                  <w:vAlign w:val="center"/>
                </w:tcPr>
                <w:p w14:paraId="78C3DABF">
                  <w:pPr>
                    <w:pStyle w:val="3"/>
                    <w:bidi w:val="0"/>
                    <w:rPr>
                      <w:rFonts w:hint="default" w:ascii="Times New Roman" w:hAnsi="Times New Roman" w:cs="Times New Roman"/>
                      <w:color w:val="auto"/>
                    </w:rPr>
                  </w:pPr>
                  <w:r>
                    <w:rPr>
                      <w:rFonts w:hint="default" w:ascii="Times New Roman" w:hAnsi="Times New Roman" w:cs="Times New Roman"/>
                      <w:color w:val="auto"/>
                    </w:rPr>
                    <w:t>园区供</w:t>
                  </w:r>
                  <w:r>
                    <w:rPr>
                      <w:rFonts w:hint="default" w:ascii="Times New Roman" w:hAnsi="Times New Roman" w:cs="Times New Roman"/>
                      <w:color w:val="auto"/>
                      <w:lang w:eastAsia="zh-CN"/>
                    </w:rPr>
                    <w:t>汽</w:t>
                  </w:r>
                  <w:r>
                    <w:rPr>
                      <w:rFonts w:hint="default" w:ascii="Times New Roman" w:hAnsi="Times New Roman" w:cs="Times New Roman"/>
                      <w:color w:val="auto"/>
                    </w:rPr>
                    <w:t>网络</w:t>
                  </w:r>
                </w:p>
              </w:tc>
              <w:tc>
                <w:tcPr>
                  <w:tcW w:w="1292" w:type="pct"/>
                  <w:tcBorders>
                    <w:left w:val="single" w:color="auto" w:sz="4" w:space="0"/>
                  </w:tcBorders>
                  <w:noWrap w:val="0"/>
                  <w:vAlign w:val="center"/>
                </w:tcPr>
                <w:p w14:paraId="0FCDCFE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r>
          </w:tbl>
          <w:p w14:paraId="610A32E1">
            <w:pPr>
              <w:keepNext w:val="0"/>
              <w:keepLines w:val="0"/>
              <w:pageBreakBefore w:val="0"/>
              <w:widowControl w:val="0"/>
              <w:kinsoku/>
              <w:wordWrap/>
              <w:overflowPunct/>
              <w:topLinePunct w:val="0"/>
              <w:autoSpaceDE/>
              <w:autoSpaceDN/>
              <w:bidi w:val="0"/>
              <w:adjustRightInd w:val="0"/>
              <w:snapToGrid w:val="0"/>
              <w:textAlignment w:val="auto"/>
              <w:rPr>
                <w:rFonts w:hint="eastAsia"/>
                <w:color w:val="auto"/>
                <w:lang w:eastAsia="zh-CN"/>
              </w:rPr>
            </w:pPr>
            <w:r>
              <w:rPr>
                <w:rFonts w:hint="eastAsia"/>
                <w:color w:val="auto"/>
                <w:lang w:eastAsia="zh-CN"/>
              </w:rPr>
              <w:t>（</w:t>
            </w:r>
            <w:r>
              <w:rPr>
                <w:rFonts w:hint="eastAsia"/>
                <w:color w:val="auto"/>
                <w:lang w:val="en-US" w:eastAsia="zh-CN"/>
              </w:rPr>
              <w:t>4</w:t>
            </w:r>
            <w:r>
              <w:rPr>
                <w:rFonts w:hint="eastAsia"/>
                <w:color w:val="auto"/>
                <w:lang w:eastAsia="zh-CN"/>
              </w:rPr>
              <w:t>）原辅材料理化性质</w:t>
            </w:r>
          </w:p>
          <w:p w14:paraId="50DF57C4">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color w:val="auto"/>
                <w:sz w:val="24"/>
                <w:szCs w:val="24"/>
                <w:lang w:eastAsia="zh-CN"/>
              </w:rPr>
            </w:pPr>
            <w:r>
              <w:rPr>
                <w:rFonts w:hint="eastAsia"/>
                <w:color w:val="auto"/>
                <w:lang w:eastAsia="zh-CN"/>
              </w:rPr>
              <w:t>磷酸：常温下为无色透明的晶体，</w:t>
            </w:r>
            <w:r>
              <w:rPr>
                <w:rFonts w:hint="eastAsia"/>
                <w:color w:val="auto"/>
                <w:lang w:val="en-US" w:eastAsia="zh-CN"/>
              </w:rPr>
              <w:t>分子式为H</w:t>
            </w:r>
            <w:r>
              <w:rPr>
                <w:rFonts w:hint="eastAsia"/>
                <w:color w:val="auto"/>
                <w:vertAlign w:val="subscript"/>
                <w:lang w:val="en-US" w:eastAsia="zh-CN"/>
              </w:rPr>
              <w:t>3</w:t>
            </w:r>
            <w:r>
              <w:rPr>
                <w:rFonts w:hint="eastAsia"/>
                <w:color w:val="auto"/>
                <w:lang w:val="en-US" w:eastAsia="zh-CN"/>
              </w:rPr>
              <w:t>PO</w:t>
            </w:r>
            <w:r>
              <w:rPr>
                <w:rFonts w:hint="eastAsia"/>
                <w:color w:val="auto"/>
                <w:vertAlign w:val="subscript"/>
                <w:lang w:val="en-US" w:eastAsia="zh-CN"/>
              </w:rPr>
              <w:t>4</w:t>
            </w:r>
            <w:r>
              <w:rPr>
                <w:rFonts w:hint="eastAsia"/>
                <w:color w:val="auto"/>
                <w:lang w:val="en-US" w:eastAsia="zh-CN"/>
              </w:rPr>
              <w:t>，熔点42℃、沸点261℃。</w:t>
            </w:r>
            <w:r>
              <w:rPr>
                <w:rFonts w:hint="eastAsia"/>
                <w:color w:val="auto"/>
                <w:lang w:eastAsia="zh-CN"/>
              </w:rPr>
              <w:t>本项目使用的磷酸为食用级磷酸，</w:t>
            </w:r>
            <w:r>
              <w:rPr>
                <w:rFonts w:hint="eastAsia"/>
                <w:color w:val="auto"/>
                <w:lang w:val="en-US" w:eastAsia="zh-CN"/>
              </w:rPr>
              <w:t>属于无色、无味、非挥发性的黏稠液体。本项目</w:t>
            </w:r>
            <w:r>
              <w:rPr>
                <w:rFonts w:hint="eastAsia" w:eastAsia="宋体"/>
                <w:color w:val="auto"/>
                <w:sz w:val="24"/>
                <w:szCs w:val="24"/>
                <w:lang w:eastAsia="zh-CN"/>
              </w:rPr>
              <w:t>利</w:t>
            </w:r>
            <w:r>
              <w:rPr>
                <w:rFonts w:hint="eastAsia"/>
                <w:color w:val="auto"/>
                <w:sz w:val="24"/>
                <w:szCs w:val="24"/>
              </w:rPr>
              <w:t>用食用级磷酸将</w:t>
            </w:r>
            <w:r>
              <w:rPr>
                <w:rFonts w:hint="eastAsia" w:eastAsia="宋体"/>
                <w:color w:val="auto"/>
                <w:sz w:val="24"/>
                <w:szCs w:val="24"/>
                <w:lang w:eastAsia="zh-CN"/>
              </w:rPr>
              <w:t>脱胶油中</w:t>
            </w:r>
            <w:r>
              <w:rPr>
                <w:rFonts w:hint="eastAsia"/>
                <w:color w:val="auto"/>
                <w:sz w:val="24"/>
                <w:szCs w:val="24"/>
              </w:rPr>
              <w:t>非水化磷脂转变成水化磷脂，</w:t>
            </w:r>
            <w:r>
              <w:rPr>
                <w:rFonts w:hint="eastAsia" w:eastAsia="宋体"/>
                <w:color w:val="auto"/>
                <w:sz w:val="24"/>
                <w:szCs w:val="24"/>
                <w:lang w:eastAsia="zh-CN"/>
              </w:rPr>
              <w:t>再</w:t>
            </w:r>
            <w:r>
              <w:rPr>
                <w:rFonts w:hint="eastAsia"/>
                <w:color w:val="auto"/>
                <w:sz w:val="24"/>
                <w:szCs w:val="24"/>
              </w:rPr>
              <w:t>利用磷脂等脂质分子中所含的亲水基，使胶体水溶性脂质吸水膨胀、凝聚</w:t>
            </w:r>
            <w:r>
              <w:rPr>
                <w:rFonts w:hint="eastAsia" w:eastAsia="宋体"/>
                <w:color w:val="auto"/>
                <w:sz w:val="24"/>
                <w:szCs w:val="24"/>
                <w:lang w:eastAsia="zh-CN"/>
              </w:rPr>
              <w:t>，从而达到去除油料中磷脂的目的。</w:t>
            </w:r>
          </w:p>
          <w:p w14:paraId="4AC83E23">
            <w:pPr>
              <w:keepNext w:val="0"/>
              <w:keepLines w:val="0"/>
              <w:pageBreakBefore w:val="0"/>
              <w:widowControl w:val="0"/>
              <w:kinsoku/>
              <w:wordWrap/>
              <w:overflowPunct/>
              <w:topLinePunct w:val="0"/>
              <w:autoSpaceDE/>
              <w:autoSpaceDN/>
              <w:bidi w:val="0"/>
              <w:adjustRightInd w:val="0"/>
              <w:snapToGrid w:val="0"/>
              <w:textAlignment w:val="auto"/>
              <w:rPr>
                <w:color w:val="auto"/>
                <w:sz w:val="24"/>
                <w:szCs w:val="24"/>
              </w:rPr>
            </w:pPr>
            <w:r>
              <w:rPr>
                <w:rFonts w:hint="eastAsia" w:eastAsia="宋体"/>
                <w:color w:val="auto"/>
                <w:sz w:val="24"/>
                <w:szCs w:val="24"/>
                <w:lang w:eastAsia="zh-CN"/>
              </w:rPr>
              <w:t>液碱：液碱为氢氧化钠水溶液，氢氧化钠浓度为</w:t>
            </w:r>
            <w:r>
              <w:rPr>
                <w:rFonts w:hint="eastAsia" w:eastAsia="宋体"/>
                <w:color w:val="auto"/>
                <w:sz w:val="24"/>
                <w:szCs w:val="24"/>
                <w:lang w:val="en-US" w:eastAsia="zh-CN"/>
              </w:rPr>
              <w:t>50%，</w:t>
            </w:r>
            <w:r>
              <w:rPr>
                <w:rFonts w:hint="eastAsia" w:eastAsia="宋体"/>
                <w:color w:val="auto"/>
                <w:sz w:val="24"/>
                <w:szCs w:val="24"/>
                <w:lang w:eastAsia="zh-CN"/>
              </w:rPr>
              <w:t>为无色透明液体，具有腐蚀性，经兔口</w:t>
            </w:r>
            <w:r>
              <w:rPr>
                <w:rFonts w:hint="eastAsia" w:eastAsia="宋体"/>
                <w:color w:val="auto"/>
                <w:sz w:val="24"/>
                <w:szCs w:val="24"/>
                <w:lang w:val="en-US" w:eastAsia="zh-CN"/>
              </w:rPr>
              <w:t>LD</w:t>
            </w:r>
            <w:r>
              <w:rPr>
                <w:rFonts w:hint="eastAsia" w:eastAsia="宋体"/>
                <w:color w:val="auto"/>
                <w:sz w:val="24"/>
                <w:szCs w:val="24"/>
                <w:vertAlign w:val="subscript"/>
                <w:lang w:val="en-US" w:eastAsia="zh-CN"/>
              </w:rPr>
              <w:t>50</w:t>
            </w:r>
            <w:r>
              <w:rPr>
                <w:rFonts w:hint="eastAsia" w:eastAsia="宋体"/>
                <w:color w:val="auto"/>
                <w:sz w:val="24"/>
                <w:szCs w:val="24"/>
                <w:lang w:val="en-US" w:eastAsia="zh-CN"/>
              </w:rPr>
              <w:t>为500mg/kg</w:t>
            </w:r>
            <w:r>
              <w:rPr>
                <w:rFonts w:hint="eastAsia" w:eastAsia="宋体"/>
                <w:color w:val="auto"/>
                <w:sz w:val="24"/>
                <w:szCs w:val="24"/>
                <w:lang w:eastAsia="zh-CN"/>
              </w:rPr>
              <w:t>，分子式为</w:t>
            </w:r>
            <w:r>
              <w:rPr>
                <w:rFonts w:hint="eastAsia" w:eastAsia="宋体"/>
                <w:color w:val="auto"/>
                <w:sz w:val="24"/>
                <w:szCs w:val="24"/>
                <w:lang w:val="en-US" w:eastAsia="zh-CN"/>
              </w:rPr>
              <w:t>NaOH，密度在1.328</w:t>
            </w:r>
            <w:r>
              <w:rPr>
                <w:rFonts w:hint="eastAsia" w:ascii="宋体" w:hAnsi="宋体" w:eastAsia="宋体" w:cs="宋体"/>
                <w:color w:val="auto"/>
                <w:sz w:val="24"/>
                <w:szCs w:val="24"/>
                <w:lang w:val="en-US" w:eastAsia="zh-CN"/>
              </w:rPr>
              <w:t>～</w:t>
            </w:r>
            <w:r>
              <w:rPr>
                <w:rFonts w:hint="eastAsia" w:eastAsia="宋体" w:cs="Times New Roman"/>
                <w:color w:val="auto"/>
                <w:sz w:val="24"/>
                <w:szCs w:val="24"/>
                <w:lang w:val="en-US" w:eastAsia="zh-CN"/>
              </w:rPr>
              <w:t>1.349g/cm</w:t>
            </w:r>
            <w:r>
              <w:rPr>
                <w:rFonts w:hint="eastAsia" w:eastAsia="宋体" w:cs="Times New Roman"/>
                <w:color w:val="auto"/>
                <w:sz w:val="24"/>
                <w:szCs w:val="24"/>
                <w:vertAlign w:val="superscript"/>
                <w:lang w:val="en-US" w:eastAsia="zh-CN"/>
              </w:rPr>
              <w:t>3</w:t>
            </w:r>
            <w:r>
              <w:rPr>
                <w:rFonts w:hint="eastAsia" w:eastAsia="宋体" w:cs="Times New Roman"/>
                <w:color w:val="auto"/>
                <w:sz w:val="24"/>
                <w:szCs w:val="24"/>
                <w:lang w:val="en-US" w:eastAsia="zh-CN"/>
              </w:rPr>
              <w:t>，</w:t>
            </w:r>
            <w:r>
              <w:rPr>
                <w:rFonts w:hint="eastAsia" w:eastAsia="宋体" w:cs="Times New Roman"/>
                <w:color w:val="auto"/>
                <w:sz w:val="24"/>
                <w:szCs w:val="24"/>
                <w:lang w:val="en-US" w:eastAsia="zh-CN"/>
              </w:rPr>
              <w:t>其原理是</w:t>
            </w:r>
            <w:r>
              <w:rPr>
                <w:color w:val="auto"/>
                <w:sz w:val="24"/>
                <w:szCs w:val="24"/>
              </w:rPr>
              <w:t>利用酸碱中和反应的原理向酸化过后的毛油中添加适量的</w:t>
            </w:r>
            <w:r>
              <w:rPr>
                <w:rFonts w:hint="eastAsia"/>
                <w:color w:val="auto"/>
                <w:sz w:val="24"/>
                <w:szCs w:val="24"/>
                <w:lang w:eastAsia="zh-CN"/>
              </w:rPr>
              <w:t>液碱（氢氧化钠）</w:t>
            </w:r>
            <w:r>
              <w:rPr>
                <w:color w:val="auto"/>
                <w:sz w:val="24"/>
                <w:szCs w:val="24"/>
              </w:rPr>
              <w:t>，以中和掉毛油中的游离脂肪酸</w:t>
            </w:r>
            <w:r>
              <w:rPr>
                <w:rFonts w:hint="eastAsia"/>
                <w:color w:val="auto"/>
                <w:sz w:val="24"/>
                <w:szCs w:val="24"/>
                <w:lang w:eastAsia="zh-CN"/>
              </w:rPr>
              <w:t>，生成脂肪酸钠</w:t>
            </w:r>
            <w:r>
              <w:rPr>
                <w:color w:val="auto"/>
                <w:sz w:val="24"/>
                <w:szCs w:val="24"/>
              </w:rPr>
              <w:t>。</w:t>
            </w:r>
          </w:p>
          <w:p w14:paraId="137331E1">
            <w:pPr>
              <w:keepNext w:val="0"/>
              <w:keepLines w:val="0"/>
              <w:pageBreakBefore w:val="0"/>
              <w:widowControl w:val="0"/>
              <w:kinsoku/>
              <w:wordWrap/>
              <w:overflowPunct/>
              <w:topLinePunct w:val="0"/>
              <w:autoSpaceDE/>
              <w:autoSpaceDN/>
              <w:bidi w:val="0"/>
              <w:adjustRightInd w:val="0"/>
              <w:snapToGrid w:val="0"/>
              <w:textAlignment w:val="auto"/>
              <w:rPr>
                <w:rFonts w:hint="eastAsia" w:eastAsia="宋体"/>
                <w:color w:val="auto"/>
                <w:sz w:val="24"/>
                <w:szCs w:val="24"/>
                <w:lang w:val="en-US" w:eastAsia="zh-CN"/>
              </w:rPr>
            </w:pPr>
            <w:r>
              <w:rPr>
                <w:rFonts w:hint="eastAsia" w:eastAsia="宋体"/>
                <w:color w:val="auto"/>
                <w:sz w:val="24"/>
                <w:szCs w:val="24"/>
                <w:lang w:val="en-US" w:eastAsia="zh-CN"/>
              </w:rPr>
              <w:t>白土：白土又名活性白土，</w:t>
            </w:r>
            <w:r>
              <w:rPr>
                <w:rFonts w:hint="eastAsia"/>
                <w:color w:val="auto"/>
                <w:lang w:val="en-US" w:eastAsia="zh-CN"/>
              </w:rPr>
              <w:t>分子式为：H</w:t>
            </w:r>
            <w:r>
              <w:rPr>
                <w:rFonts w:hint="eastAsia"/>
                <w:color w:val="auto"/>
                <w:vertAlign w:val="subscript"/>
                <w:lang w:val="en-US" w:eastAsia="zh-CN"/>
              </w:rPr>
              <w:t>2</w:t>
            </w:r>
            <w:r>
              <w:rPr>
                <w:rFonts w:hint="eastAsia"/>
                <w:color w:val="auto"/>
                <w:lang w:val="en-US" w:eastAsia="zh-CN"/>
              </w:rPr>
              <w:t>Al</w:t>
            </w:r>
            <w:r>
              <w:rPr>
                <w:rFonts w:hint="eastAsia"/>
                <w:color w:val="auto"/>
                <w:vertAlign w:val="subscript"/>
                <w:lang w:val="en-US" w:eastAsia="zh-CN"/>
              </w:rPr>
              <w:t>2</w:t>
            </w:r>
            <w:r>
              <w:rPr>
                <w:rFonts w:hint="eastAsia"/>
                <w:color w:val="auto"/>
                <w:lang w:val="en-US" w:eastAsia="zh-CN"/>
              </w:rPr>
              <w:t>(SiO</w:t>
            </w:r>
            <w:r>
              <w:rPr>
                <w:rFonts w:hint="eastAsia"/>
                <w:color w:val="auto"/>
                <w:vertAlign w:val="subscript"/>
                <w:lang w:val="en-US" w:eastAsia="zh-CN"/>
              </w:rPr>
              <w:t>3</w:t>
            </w:r>
            <w:r>
              <w:rPr>
                <w:rFonts w:hint="eastAsia"/>
                <w:color w:val="auto"/>
                <w:lang w:val="en-US" w:eastAsia="zh-CN"/>
              </w:rPr>
              <w:t>)</w:t>
            </w:r>
            <w:r>
              <w:rPr>
                <w:rFonts w:hint="eastAsia"/>
                <w:color w:val="auto"/>
                <w:vertAlign w:val="subscript"/>
                <w:lang w:val="en-US" w:eastAsia="zh-CN"/>
              </w:rPr>
              <w:t>4</w:t>
            </w:r>
            <w:r>
              <w:rPr>
                <w:rFonts w:hint="eastAsia"/>
                <w:color w:val="auto"/>
                <w:lang w:val="en-US" w:eastAsia="zh-CN"/>
              </w:rPr>
              <w:t>-nH</w:t>
            </w:r>
            <w:r>
              <w:rPr>
                <w:rFonts w:hint="eastAsia"/>
                <w:color w:val="auto"/>
                <w:vertAlign w:val="subscript"/>
                <w:lang w:val="en-US" w:eastAsia="zh-CN"/>
              </w:rPr>
              <w:t>2</w:t>
            </w:r>
            <w:r>
              <w:rPr>
                <w:rFonts w:hint="eastAsia"/>
                <w:color w:val="auto"/>
                <w:lang w:val="en-US" w:eastAsia="zh-CN"/>
              </w:rPr>
              <w:t>O，外</w:t>
            </w:r>
            <w:r>
              <w:rPr>
                <w:rFonts w:hint="eastAsia" w:eastAsia="宋体"/>
                <w:color w:val="auto"/>
                <w:sz w:val="24"/>
                <w:szCs w:val="24"/>
                <w:lang w:val="en-US" w:eastAsia="zh-CN"/>
              </w:rPr>
              <w:t>观呈乳白色粉末，密度在2.3</w:t>
            </w:r>
            <w:r>
              <w:rPr>
                <w:rFonts w:hint="eastAsia" w:ascii="宋体" w:hAnsi="宋体" w:eastAsia="宋体" w:cs="宋体"/>
                <w:color w:val="auto"/>
                <w:sz w:val="24"/>
                <w:szCs w:val="24"/>
                <w:lang w:val="en-US" w:eastAsia="zh-CN"/>
              </w:rPr>
              <w:t>～</w:t>
            </w:r>
            <w:r>
              <w:rPr>
                <w:rFonts w:hint="eastAsia" w:eastAsia="宋体" w:cs="Times New Roman"/>
                <w:color w:val="auto"/>
                <w:sz w:val="24"/>
                <w:szCs w:val="24"/>
                <w:lang w:val="en-US" w:eastAsia="zh-CN"/>
              </w:rPr>
              <w:t>2.5g/cm</w:t>
            </w:r>
            <w:r>
              <w:rPr>
                <w:rFonts w:hint="eastAsia" w:eastAsia="宋体" w:cs="Times New Roman"/>
                <w:color w:val="auto"/>
                <w:sz w:val="24"/>
                <w:szCs w:val="24"/>
                <w:vertAlign w:val="superscript"/>
                <w:lang w:val="en-US" w:eastAsia="zh-CN"/>
              </w:rPr>
              <w:t>3</w:t>
            </w:r>
            <w:r>
              <w:rPr>
                <w:rFonts w:hint="eastAsia" w:eastAsia="宋体" w:cs="Times New Roman"/>
                <w:color w:val="auto"/>
                <w:sz w:val="24"/>
                <w:szCs w:val="24"/>
                <w:lang w:val="en-US" w:eastAsia="zh-CN"/>
              </w:rPr>
              <w:t>，</w:t>
            </w:r>
            <w:r>
              <w:rPr>
                <w:rFonts w:hint="eastAsia" w:eastAsia="宋体"/>
                <w:color w:val="auto"/>
                <w:sz w:val="24"/>
                <w:szCs w:val="24"/>
                <w:lang w:val="en-US" w:eastAsia="zh-CN"/>
              </w:rPr>
              <w:t>无色、无味、无毒，吸附性能强，能吸附有色物质、有机物质。本项目利用白土的吸附性能去除油料中的色素，</w:t>
            </w:r>
            <w:r>
              <w:rPr>
                <w:rFonts w:hint="eastAsia"/>
                <w:color w:val="auto"/>
                <w:sz w:val="24"/>
                <w:szCs w:val="24"/>
              </w:rPr>
              <w:t>同时除去</w:t>
            </w:r>
            <w:r>
              <w:rPr>
                <w:rFonts w:hint="eastAsia" w:eastAsia="宋体"/>
                <w:color w:val="auto"/>
                <w:sz w:val="24"/>
                <w:szCs w:val="24"/>
                <w:lang w:eastAsia="zh-CN"/>
              </w:rPr>
              <w:t>油料中</w:t>
            </w:r>
            <w:r>
              <w:rPr>
                <w:rFonts w:hint="eastAsia"/>
                <w:color w:val="auto"/>
                <w:sz w:val="24"/>
                <w:szCs w:val="24"/>
              </w:rPr>
              <w:t>微量的金属元素和残留的微量皂粒、磷脂等胶质及一些臭味物质</w:t>
            </w:r>
            <w:r>
              <w:rPr>
                <w:rFonts w:hint="eastAsia" w:eastAsia="宋体"/>
                <w:color w:val="auto"/>
                <w:sz w:val="24"/>
                <w:szCs w:val="24"/>
                <w:lang w:eastAsia="zh-CN"/>
              </w:rPr>
              <w:t>。</w:t>
            </w:r>
          </w:p>
          <w:p w14:paraId="1AC2AB36">
            <w:pPr>
              <w:adjustRightInd w:val="0"/>
              <w:snapToGrid w:val="0"/>
              <w:spacing w:line="360" w:lineRule="auto"/>
              <w:ind w:left="0" w:leftChars="0" w:firstLine="480" w:firstLineChars="200"/>
              <w:rPr>
                <w:rFonts w:hint="eastAsia" w:eastAsia="宋体"/>
                <w:b w:val="0"/>
                <w:bCs/>
                <w:color w:val="auto"/>
                <w:lang w:val="en-US" w:eastAsia="zh-CN"/>
              </w:rPr>
            </w:pPr>
            <w:r>
              <w:rPr>
                <w:rFonts w:hint="eastAsia" w:eastAsia="宋体"/>
                <w:b w:val="0"/>
                <w:bCs/>
                <w:color w:val="auto"/>
                <w:sz w:val="24"/>
                <w:szCs w:val="24"/>
                <w:lang w:eastAsia="zh-CN"/>
              </w:rPr>
              <w:t>（</w:t>
            </w:r>
            <w:r>
              <w:rPr>
                <w:rFonts w:hint="eastAsia" w:eastAsia="宋体"/>
                <w:b w:val="0"/>
                <w:bCs/>
                <w:color w:val="auto"/>
                <w:sz w:val="24"/>
                <w:szCs w:val="24"/>
                <w:lang w:val="en-US" w:eastAsia="zh-CN"/>
              </w:rPr>
              <w:t>5</w:t>
            </w:r>
            <w:r>
              <w:rPr>
                <w:rFonts w:hint="eastAsia" w:eastAsia="宋体"/>
                <w:b w:val="0"/>
                <w:bCs/>
                <w:color w:val="auto"/>
                <w:sz w:val="24"/>
                <w:szCs w:val="24"/>
                <w:lang w:eastAsia="zh-CN"/>
              </w:rPr>
              <w:t>）</w:t>
            </w:r>
            <w:r>
              <w:rPr>
                <w:b w:val="0"/>
                <w:bCs/>
                <w:color w:val="auto"/>
                <w:sz w:val="24"/>
                <w:szCs w:val="24"/>
              </w:rPr>
              <w:t>项目</w:t>
            </w:r>
            <w:r>
              <w:rPr>
                <w:rFonts w:hint="eastAsia"/>
                <w:b w:val="0"/>
                <w:bCs/>
                <w:color w:val="auto"/>
                <w:sz w:val="24"/>
                <w:szCs w:val="24"/>
                <w:lang w:eastAsia="zh-CN"/>
              </w:rPr>
              <w:t>改扩建</w:t>
            </w:r>
            <w:r>
              <w:rPr>
                <w:b w:val="0"/>
                <w:bCs/>
                <w:color w:val="auto"/>
                <w:sz w:val="24"/>
                <w:szCs w:val="24"/>
              </w:rPr>
              <w:t>前后基本情况变化</w:t>
            </w:r>
          </w:p>
          <w:p w14:paraId="74F58613">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2.4-4</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项目改扩建前后</w:t>
            </w:r>
            <w:r>
              <w:rPr>
                <w:rFonts w:hint="default" w:ascii="Times New Roman" w:hAnsi="Times New Roman" w:cs="Times New Roman"/>
                <w:color w:val="auto"/>
              </w:rPr>
              <w:t>基本情况对照表</w:t>
            </w:r>
          </w:p>
          <w:tbl>
            <w:tblPr>
              <w:tblStyle w:val="17"/>
              <w:tblW w:w="4998"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40"/>
              <w:gridCol w:w="5"/>
              <w:gridCol w:w="904"/>
              <w:gridCol w:w="2097"/>
              <w:gridCol w:w="2461"/>
              <w:gridCol w:w="2479"/>
            </w:tblGrid>
            <w:tr w14:paraId="723201F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804" w:type="pct"/>
                  <w:gridSpan w:val="3"/>
                  <w:noWrap w:val="0"/>
                  <w:vAlign w:val="center"/>
                </w:tcPr>
                <w:p w14:paraId="79651760">
                  <w:pPr>
                    <w:pStyle w:val="3"/>
                    <w:bidi w:val="0"/>
                    <w:rPr>
                      <w:rFonts w:hint="default" w:ascii="Times New Roman" w:hAnsi="Times New Roman" w:cs="Times New Roman"/>
                      <w:color w:val="auto"/>
                    </w:rPr>
                  </w:pPr>
                  <w:r>
                    <w:rPr>
                      <w:rFonts w:hint="default" w:ascii="Times New Roman" w:hAnsi="Times New Roman" w:cs="Times New Roman"/>
                      <w:color w:val="auto"/>
                    </w:rPr>
                    <w:t>项目</w:t>
                  </w:r>
                </w:p>
              </w:tc>
              <w:tc>
                <w:tcPr>
                  <w:tcW w:w="1250" w:type="pct"/>
                  <w:noWrap w:val="0"/>
                  <w:vAlign w:val="center"/>
                </w:tcPr>
                <w:p w14:paraId="0CA0D7B0">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现有</w:t>
                  </w:r>
                  <w:r>
                    <w:rPr>
                      <w:rFonts w:hint="default" w:ascii="Times New Roman" w:hAnsi="Times New Roman" w:cs="Times New Roman"/>
                      <w:color w:val="auto"/>
                    </w:rPr>
                    <w:t>工程</w:t>
                  </w:r>
                </w:p>
              </w:tc>
              <w:tc>
                <w:tcPr>
                  <w:tcW w:w="1467" w:type="pct"/>
                  <w:noWrap w:val="0"/>
                  <w:vAlign w:val="center"/>
                </w:tcPr>
                <w:p w14:paraId="1FD6AEFE">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扩建</w:t>
                  </w:r>
                  <w:r>
                    <w:rPr>
                      <w:rFonts w:hint="default" w:ascii="Times New Roman" w:hAnsi="Times New Roman" w:cs="Times New Roman"/>
                      <w:color w:val="auto"/>
                    </w:rPr>
                    <w:t>工程</w:t>
                  </w:r>
                </w:p>
              </w:tc>
              <w:tc>
                <w:tcPr>
                  <w:tcW w:w="1478" w:type="pct"/>
                  <w:noWrap w:val="0"/>
                  <w:vAlign w:val="center"/>
                </w:tcPr>
                <w:p w14:paraId="0889104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总体工程</w:t>
                  </w:r>
                </w:p>
              </w:tc>
            </w:tr>
            <w:tr w14:paraId="3F1B051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262" w:type="pct"/>
                  <w:vMerge w:val="restart"/>
                  <w:noWrap w:val="0"/>
                  <w:vAlign w:val="center"/>
                </w:tcPr>
                <w:p w14:paraId="6C007178">
                  <w:pPr>
                    <w:pStyle w:val="3"/>
                    <w:bidi w:val="0"/>
                    <w:rPr>
                      <w:rFonts w:hint="default" w:ascii="Times New Roman" w:hAnsi="Times New Roman" w:cs="Times New Roman"/>
                      <w:color w:val="auto"/>
                    </w:rPr>
                  </w:pPr>
                  <w:r>
                    <w:rPr>
                      <w:rFonts w:hint="default" w:ascii="Times New Roman" w:hAnsi="Times New Roman" w:cs="Times New Roman"/>
                      <w:color w:val="auto"/>
                    </w:rPr>
                    <w:t>生产规模</w:t>
                  </w:r>
                </w:p>
              </w:tc>
              <w:tc>
                <w:tcPr>
                  <w:tcW w:w="541" w:type="pct"/>
                  <w:gridSpan w:val="2"/>
                  <w:noWrap w:val="0"/>
                  <w:vAlign w:val="center"/>
                </w:tcPr>
                <w:p w14:paraId="40EFC8C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大豆粉</w:t>
                  </w:r>
                </w:p>
              </w:tc>
              <w:tc>
                <w:tcPr>
                  <w:tcW w:w="1250" w:type="pct"/>
                  <w:noWrap w:val="0"/>
                  <w:vAlign w:val="center"/>
                </w:tcPr>
                <w:p w14:paraId="34914B3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467" w:type="pct"/>
                  <w:noWrap w:val="0"/>
                  <w:vAlign w:val="center"/>
                </w:tcPr>
                <w:p w14:paraId="10A2B8F2">
                  <w:pPr>
                    <w:pStyle w:val="3"/>
                    <w:bidi w:val="0"/>
                    <w:rPr>
                      <w:rFonts w:hint="default" w:ascii="Times New Roman" w:hAnsi="Times New Roman" w:cs="Times New Roman"/>
                      <w:color w:val="auto"/>
                      <w:highlight w:val="none"/>
                      <w:lang w:val="en-US"/>
                    </w:rPr>
                  </w:pPr>
                  <w:r>
                    <w:rPr>
                      <w:rFonts w:hint="eastAsia" w:ascii="Times New Roman" w:hAnsi="Times New Roman" w:cs="Times New Roman"/>
                      <w:color w:val="auto"/>
                      <w:highlight w:val="none"/>
                      <w:lang w:val="en-US" w:eastAsia="zh-CN"/>
                    </w:rPr>
                    <w:t>73125吨/a</w:t>
                  </w:r>
                </w:p>
              </w:tc>
              <w:tc>
                <w:tcPr>
                  <w:tcW w:w="1478" w:type="pct"/>
                  <w:noWrap w:val="0"/>
                  <w:vAlign w:val="center"/>
                </w:tcPr>
                <w:p w14:paraId="12EECD05">
                  <w:pPr>
                    <w:pStyle w:val="3"/>
                    <w:bidi w:val="0"/>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73125吨/a</w:t>
                  </w:r>
                </w:p>
              </w:tc>
            </w:tr>
            <w:tr w14:paraId="3DCF3FF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262" w:type="pct"/>
                  <w:vMerge w:val="continue"/>
                  <w:noWrap w:val="0"/>
                  <w:vAlign w:val="center"/>
                </w:tcPr>
                <w:p w14:paraId="14D3FD23">
                  <w:pPr>
                    <w:pStyle w:val="3"/>
                    <w:bidi w:val="0"/>
                    <w:rPr>
                      <w:rFonts w:hint="default" w:ascii="Times New Roman" w:hAnsi="Times New Roman" w:cs="Times New Roman"/>
                      <w:color w:val="auto"/>
                    </w:rPr>
                  </w:pPr>
                </w:p>
              </w:tc>
              <w:tc>
                <w:tcPr>
                  <w:tcW w:w="541" w:type="pct"/>
                  <w:gridSpan w:val="2"/>
                  <w:noWrap w:val="0"/>
                  <w:vAlign w:val="center"/>
                </w:tcPr>
                <w:p w14:paraId="2740FE4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大豆油</w:t>
                  </w:r>
                </w:p>
              </w:tc>
              <w:tc>
                <w:tcPr>
                  <w:tcW w:w="1250" w:type="pct"/>
                  <w:noWrap w:val="0"/>
                  <w:vAlign w:val="center"/>
                </w:tcPr>
                <w:p w14:paraId="129E079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31万t/a</w:t>
                  </w:r>
                </w:p>
              </w:tc>
              <w:tc>
                <w:tcPr>
                  <w:tcW w:w="1467" w:type="pct"/>
                  <w:noWrap w:val="0"/>
                  <w:vAlign w:val="center"/>
                </w:tcPr>
                <w:p w14:paraId="17AC2E9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478" w:type="pct"/>
                  <w:noWrap w:val="0"/>
                  <w:vAlign w:val="center"/>
                </w:tcPr>
                <w:p w14:paraId="5D6F894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31万t/a</w:t>
                  </w:r>
                </w:p>
              </w:tc>
            </w:tr>
            <w:tr w14:paraId="746A609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47" w:hRule="atLeast"/>
              </w:trPr>
              <w:tc>
                <w:tcPr>
                  <w:tcW w:w="262" w:type="pct"/>
                  <w:vMerge w:val="continue"/>
                  <w:noWrap w:val="0"/>
                  <w:vAlign w:val="center"/>
                </w:tcPr>
                <w:p w14:paraId="37677971">
                  <w:pPr>
                    <w:pStyle w:val="3"/>
                    <w:bidi w:val="0"/>
                    <w:rPr>
                      <w:rFonts w:hint="default" w:ascii="Times New Roman" w:hAnsi="Times New Roman" w:cs="Times New Roman"/>
                      <w:color w:val="auto"/>
                    </w:rPr>
                  </w:pPr>
                </w:p>
              </w:tc>
              <w:tc>
                <w:tcPr>
                  <w:tcW w:w="541" w:type="pct"/>
                  <w:gridSpan w:val="2"/>
                  <w:noWrap w:val="0"/>
                  <w:vAlign w:val="center"/>
                </w:tcPr>
                <w:p w14:paraId="4CDECC0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豆粕</w:t>
                  </w:r>
                </w:p>
              </w:tc>
              <w:tc>
                <w:tcPr>
                  <w:tcW w:w="1250" w:type="pct"/>
                  <w:noWrap w:val="0"/>
                  <w:vAlign w:val="center"/>
                </w:tcPr>
                <w:p w14:paraId="2EE7C1F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144万t/a</w:t>
                  </w:r>
                </w:p>
              </w:tc>
              <w:tc>
                <w:tcPr>
                  <w:tcW w:w="1467" w:type="pct"/>
                  <w:noWrap w:val="0"/>
                  <w:vAlign w:val="center"/>
                </w:tcPr>
                <w:p w14:paraId="2881AF7C">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478" w:type="pct"/>
                  <w:noWrap w:val="0"/>
                  <w:vAlign w:val="center"/>
                </w:tcPr>
                <w:p w14:paraId="49D2BEC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144万t/a</w:t>
                  </w:r>
                </w:p>
              </w:tc>
            </w:tr>
            <w:tr w14:paraId="1E6C7CF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7" w:hRule="atLeast"/>
              </w:trPr>
              <w:tc>
                <w:tcPr>
                  <w:tcW w:w="262" w:type="pct"/>
                  <w:vMerge w:val="continue"/>
                  <w:noWrap w:val="0"/>
                  <w:vAlign w:val="center"/>
                </w:tcPr>
                <w:p w14:paraId="56F156C0">
                  <w:pPr>
                    <w:pStyle w:val="3"/>
                    <w:bidi w:val="0"/>
                    <w:rPr>
                      <w:rFonts w:hint="default" w:ascii="Times New Roman" w:hAnsi="Times New Roman" w:cs="Times New Roman"/>
                      <w:color w:val="auto"/>
                    </w:rPr>
                  </w:pPr>
                </w:p>
              </w:tc>
              <w:tc>
                <w:tcPr>
                  <w:tcW w:w="541" w:type="pct"/>
                  <w:gridSpan w:val="2"/>
                  <w:noWrap w:val="0"/>
                  <w:vAlign w:val="center"/>
                </w:tcPr>
                <w:p w14:paraId="36FB3752">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磷脂</w:t>
                  </w:r>
                </w:p>
              </w:tc>
              <w:tc>
                <w:tcPr>
                  <w:tcW w:w="1250" w:type="pct"/>
                  <w:noWrap w:val="0"/>
                  <w:vAlign w:val="center"/>
                </w:tcPr>
                <w:p w14:paraId="4B1DE98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467" w:type="pct"/>
                  <w:noWrap w:val="0"/>
                  <w:vAlign w:val="top"/>
                </w:tcPr>
                <w:p w14:paraId="74D774F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7976t/a</w:t>
                  </w:r>
                </w:p>
              </w:tc>
              <w:tc>
                <w:tcPr>
                  <w:tcW w:w="1478" w:type="pct"/>
                  <w:noWrap w:val="0"/>
                  <w:vAlign w:val="top"/>
                </w:tcPr>
                <w:p w14:paraId="15F3908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7976t/a</w:t>
                  </w:r>
                </w:p>
              </w:tc>
            </w:tr>
            <w:tr w14:paraId="102D087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804" w:type="pct"/>
                  <w:gridSpan w:val="3"/>
                  <w:noWrap w:val="0"/>
                  <w:vAlign w:val="center"/>
                </w:tcPr>
                <w:p w14:paraId="684C68C3">
                  <w:pPr>
                    <w:pStyle w:val="3"/>
                    <w:bidi w:val="0"/>
                    <w:rPr>
                      <w:rFonts w:hint="default" w:ascii="Times New Roman" w:hAnsi="Times New Roman" w:cs="Times New Roman"/>
                      <w:color w:val="auto"/>
                    </w:rPr>
                  </w:pPr>
                  <w:r>
                    <w:rPr>
                      <w:rFonts w:hint="default" w:ascii="Times New Roman" w:hAnsi="Times New Roman" w:cs="Times New Roman"/>
                      <w:color w:val="auto"/>
                    </w:rPr>
                    <w:t>工作制度及</w:t>
                  </w:r>
                </w:p>
                <w:p w14:paraId="77724FE7">
                  <w:pPr>
                    <w:pStyle w:val="3"/>
                    <w:bidi w:val="0"/>
                    <w:rPr>
                      <w:rFonts w:hint="default" w:ascii="Times New Roman" w:hAnsi="Times New Roman" w:cs="Times New Roman"/>
                      <w:color w:val="auto"/>
                    </w:rPr>
                  </w:pPr>
                  <w:r>
                    <w:rPr>
                      <w:rFonts w:hint="default" w:ascii="Times New Roman" w:hAnsi="Times New Roman" w:cs="Times New Roman"/>
                      <w:color w:val="auto"/>
                    </w:rPr>
                    <w:t>劳动定员</w:t>
                  </w:r>
                </w:p>
              </w:tc>
              <w:tc>
                <w:tcPr>
                  <w:tcW w:w="1250" w:type="pct"/>
                  <w:noWrap w:val="0"/>
                  <w:vAlign w:val="center"/>
                </w:tcPr>
                <w:p w14:paraId="24021E0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218</w:t>
                  </w:r>
                  <w:r>
                    <w:rPr>
                      <w:rFonts w:hint="default" w:ascii="Times New Roman" w:hAnsi="Times New Roman" w:cs="Times New Roman"/>
                      <w:color w:val="auto"/>
                    </w:rPr>
                    <w:t>人，300天，</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班、</w:t>
                  </w:r>
                  <w:r>
                    <w:rPr>
                      <w:rFonts w:hint="eastAsia" w:ascii="Times New Roman" w:hAnsi="Times New Roman" w:cs="Times New Roman"/>
                      <w:color w:val="auto"/>
                      <w:lang w:val="en-US" w:eastAsia="zh-CN"/>
                    </w:rPr>
                    <w:t>12</w:t>
                  </w:r>
                  <w:r>
                    <w:rPr>
                      <w:rFonts w:hint="default" w:ascii="Times New Roman" w:hAnsi="Times New Roman" w:cs="Times New Roman"/>
                      <w:color w:val="auto"/>
                    </w:rPr>
                    <w:t>小时/</w:t>
                  </w:r>
                  <w:r>
                    <w:rPr>
                      <w:rFonts w:hint="default" w:ascii="Times New Roman" w:hAnsi="Times New Roman" w:cs="Times New Roman"/>
                      <w:color w:val="auto"/>
                      <w:lang w:eastAsia="zh-CN"/>
                    </w:rPr>
                    <w:t>班</w:t>
                  </w:r>
                </w:p>
              </w:tc>
              <w:tc>
                <w:tcPr>
                  <w:tcW w:w="1467" w:type="pct"/>
                  <w:noWrap w:val="0"/>
                  <w:vAlign w:val="center"/>
                </w:tcPr>
                <w:p w14:paraId="0A999AF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不增加员工</w:t>
                  </w:r>
                  <w:r>
                    <w:rPr>
                      <w:rFonts w:hint="default" w:ascii="Times New Roman" w:hAnsi="Times New Roman" w:cs="Times New Roman"/>
                      <w:color w:val="auto"/>
                    </w:rPr>
                    <w:t>，300天，</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班、</w:t>
                  </w:r>
                  <w:r>
                    <w:rPr>
                      <w:rFonts w:hint="eastAsia" w:ascii="Times New Roman" w:hAnsi="Times New Roman" w:cs="Times New Roman"/>
                      <w:color w:val="auto"/>
                      <w:lang w:val="en-US" w:eastAsia="zh-CN"/>
                    </w:rPr>
                    <w:t>12</w:t>
                  </w:r>
                  <w:r>
                    <w:rPr>
                      <w:rFonts w:hint="default" w:ascii="Times New Roman" w:hAnsi="Times New Roman" w:cs="Times New Roman"/>
                      <w:color w:val="auto"/>
                    </w:rPr>
                    <w:t>小时/</w:t>
                  </w:r>
                  <w:r>
                    <w:rPr>
                      <w:rFonts w:hint="default" w:ascii="Times New Roman" w:hAnsi="Times New Roman" w:cs="Times New Roman"/>
                      <w:color w:val="auto"/>
                      <w:lang w:eastAsia="zh-CN"/>
                    </w:rPr>
                    <w:t>班</w:t>
                  </w:r>
                  <w:r>
                    <w:rPr>
                      <w:rFonts w:hint="eastAsia" w:ascii="Times New Roman" w:hAnsi="Times New Roman" w:cs="Times New Roman"/>
                      <w:color w:val="auto"/>
                      <w:lang w:eastAsia="zh-CN"/>
                    </w:rPr>
                    <w:t>；磷脂分线工作天数为</w:t>
                  </w:r>
                  <w:r>
                    <w:rPr>
                      <w:rFonts w:hint="eastAsia" w:ascii="Times New Roman" w:hAnsi="Times New Roman" w:cs="Times New Roman"/>
                      <w:color w:val="auto"/>
                      <w:lang w:val="en-US" w:eastAsia="zh-CN"/>
                    </w:rPr>
                    <w:t>295天，2</w:t>
                  </w:r>
                  <w:r>
                    <w:rPr>
                      <w:rFonts w:hint="default" w:ascii="Times New Roman" w:hAnsi="Times New Roman" w:cs="Times New Roman"/>
                      <w:color w:val="auto"/>
                      <w:lang w:val="en-US" w:eastAsia="zh-CN"/>
                    </w:rPr>
                    <w:t>班、</w:t>
                  </w:r>
                  <w:r>
                    <w:rPr>
                      <w:rFonts w:hint="eastAsia" w:ascii="Times New Roman" w:hAnsi="Times New Roman" w:cs="Times New Roman"/>
                      <w:color w:val="auto"/>
                      <w:lang w:val="en-US" w:eastAsia="zh-CN"/>
                    </w:rPr>
                    <w:t>12</w:t>
                  </w:r>
                  <w:r>
                    <w:rPr>
                      <w:rFonts w:hint="default" w:ascii="Times New Roman" w:hAnsi="Times New Roman" w:cs="Times New Roman"/>
                      <w:color w:val="auto"/>
                    </w:rPr>
                    <w:t>小时/</w:t>
                  </w:r>
                  <w:r>
                    <w:rPr>
                      <w:rFonts w:hint="default" w:ascii="Times New Roman" w:hAnsi="Times New Roman" w:cs="Times New Roman"/>
                      <w:color w:val="auto"/>
                      <w:lang w:eastAsia="zh-CN"/>
                    </w:rPr>
                    <w:t>班</w:t>
                  </w:r>
                </w:p>
              </w:tc>
              <w:tc>
                <w:tcPr>
                  <w:tcW w:w="1478" w:type="pct"/>
                  <w:noWrap w:val="0"/>
                  <w:vAlign w:val="center"/>
                </w:tcPr>
                <w:p w14:paraId="5C59C0D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218</w:t>
                  </w:r>
                  <w:r>
                    <w:rPr>
                      <w:rFonts w:hint="default" w:ascii="Times New Roman" w:hAnsi="Times New Roman" w:cs="Times New Roman"/>
                      <w:color w:val="auto"/>
                    </w:rPr>
                    <w:t>人，300天，</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班、</w:t>
                  </w:r>
                  <w:r>
                    <w:rPr>
                      <w:rFonts w:hint="eastAsia" w:ascii="Times New Roman" w:hAnsi="Times New Roman" w:cs="Times New Roman"/>
                      <w:color w:val="auto"/>
                      <w:lang w:val="en-US" w:eastAsia="zh-CN"/>
                    </w:rPr>
                    <w:t>12</w:t>
                  </w:r>
                  <w:r>
                    <w:rPr>
                      <w:rFonts w:hint="default" w:ascii="Times New Roman" w:hAnsi="Times New Roman" w:cs="Times New Roman"/>
                      <w:color w:val="auto"/>
                    </w:rPr>
                    <w:t>小时/</w:t>
                  </w:r>
                  <w:r>
                    <w:rPr>
                      <w:rFonts w:hint="default" w:ascii="Times New Roman" w:hAnsi="Times New Roman" w:cs="Times New Roman"/>
                      <w:color w:val="auto"/>
                      <w:lang w:eastAsia="zh-CN"/>
                    </w:rPr>
                    <w:t>班</w:t>
                  </w:r>
                  <w:r>
                    <w:rPr>
                      <w:rFonts w:hint="eastAsia" w:ascii="Times New Roman" w:hAnsi="Times New Roman" w:cs="Times New Roman"/>
                      <w:color w:val="auto"/>
                      <w:lang w:eastAsia="zh-CN"/>
                    </w:rPr>
                    <w:t>；磷脂分线工作天数为</w:t>
                  </w:r>
                  <w:r>
                    <w:rPr>
                      <w:rFonts w:hint="eastAsia" w:ascii="Times New Roman" w:hAnsi="Times New Roman" w:cs="Times New Roman"/>
                      <w:color w:val="auto"/>
                      <w:lang w:val="en-US" w:eastAsia="zh-CN"/>
                    </w:rPr>
                    <w:t>295天，2</w:t>
                  </w:r>
                  <w:r>
                    <w:rPr>
                      <w:rFonts w:hint="default" w:ascii="Times New Roman" w:hAnsi="Times New Roman" w:cs="Times New Roman"/>
                      <w:color w:val="auto"/>
                      <w:lang w:val="en-US" w:eastAsia="zh-CN"/>
                    </w:rPr>
                    <w:t>班、</w:t>
                  </w:r>
                  <w:r>
                    <w:rPr>
                      <w:rFonts w:hint="eastAsia" w:ascii="Times New Roman" w:hAnsi="Times New Roman" w:cs="Times New Roman"/>
                      <w:color w:val="auto"/>
                      <w:lang w:val="en-US" w:eastAsia="zh-CN"/>
                    </w:rPr>
                    <w:t>2</w:t>
                  </w:r>
                  <w:r>
                    <w:rPr>
                      <w:rFonts w:hint="default" w:ascii="Times New Roman" w:hAnsi="Times New Roman" w:cs="Times New Roman"/>
                      <w:color w:val="auto"/>
                    </w:rPr>
                    <w:t>小时/</w:t>
                  </w:r>
                  <w:r>
                    <w:rPr>
                      <w:rFonts w:hint="default" w:ascii="Times New Roman" w:hAnsi="Times New Roman" w:cs="Times New Roman"/>
                      <w:color w:val="auto"/>
                      <w:lang w:eastAsia="zh-CN"/>
                    </w:rPr>
                    <w:t>班</w:t>
                  </w:r>
                </w:p>
              </w:tc>
            </w:tr>
            <w:tr w14:paraId="5B8F218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restart"/>
                  <w:noWrap w:val="0"/>
                  <w:vAlign w:val="center"/>
                </w:tcPr>
                <w:p w14:paraId="5840DAC7">
                  <w:pPr>
                    <w:pStyle w:val="3"/>
                    <w:bidi w:val="0"/>
                    <w:rPr>
                      <w:rFonts w:hint="default" w:ascii="Times New Roman" w:hAnsi="Times New Roman" w:cs="Times New Roman"/>
                      <w:color w:val="auto"/>
                    </w:rPr>
                  </w:pPr>
                  <w:r>
                    <w:rPr>
                      <w:rFonts w:hint="default" w:ascii="Times New Roman" w:hAnsi="Times New Roman" w:cs="Times New Roman"/>
                      <w:color w:val="auto"/>
                    </w:rPr>
                    <w:t>原辅材料消耗</w:t>
                  </w:r>
                </w:p>
              </w:tc>
              <w:tc>
                <w:tcPr>
                  <w:tcW w:w="541" w:type="pct"/>
                  <w:gridSpan w:val="2"/>
                  <w:noWrap w:val="0"/>
                  <w:vAlign w:val="center"/>
                </w:tcPr>
                <w:p w14:paraId="58A4CC4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大豆</w:t>
                  </w:r>
                </w:p>
              </w:tc>
              <w:tc>
                <w:tcPr>
                  <w:tcW w:w="1250" w:type="pct"/>
                  <w:noWrap w:val="0"/>
                  <w:vAlign w:val="center"/>
                </w:tcPr>
                <w:p w14:paraId="38FE9DA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180万t/a</w:t>
                  </w:r>
                </w:p>
              </w:tc>
              <w:tc>
                <w:tcPr>
                  <w:tcW w:w="1467" w:type="pct"/>
                  <w:noWrap w:val="0"/>
                  <w:vAlign w:val="center"/>
                </w:tcPr>
                <w:p w14:paraId="4D8B736A">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7.</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万t/a</w:t>
                  </w:r>
                </w:p>
              </w:tc>
              <w:tc>
                <w:tcPr>
                  <w:tcW w:w="1478" w:type="pct"/>
                  <w:noWrap w:val="0"/>
                  <w:vAlign w:val="center"/>
                </w:tcPr>
                <w:p w14:paraId="5475AE38">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187.</w:t>
                  </w:r>
                  <w:r>
                    <w:rPr>
                      <w:rFonts w:hint="eastAsia" w:ascii="Times New Roman" w:hAnsi="Times New Roman" w:cs="Times New Roman"/>
                      <w:color w:val="auto"/>
                      <w:highlight w:val="none"/>
                      <w:lang w:val="en-US" w:eastAsia="zh-CN"/>
                    </w:rPr>
                    <w:t>5</w:t>
                  </w:r>
                  <w:r>
                    <w:rPr>
                      <w:rFonts w:hint="default" w:ascii="Times New Roman" w:hAnsi="Times New Roman" w:cs="Times New Roman"/>
                      <w:color w:val="auto"/>
                      <w:highlight w:val="none"/>
                      <w:lang w:val="en-US" w:eastAsia="zh-CN"/>
                    </w:rPr>
                    <w:t>万t/a</w:t>
                  </w:r>
                </w:p>
              </w:tc>
            </w:tr>
            <w:tr w14:paraId="4BC83DA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continue"/>
                  <w:noWrap w:val="0"/>
                  <w:vAlign w:val="center"/>
                </w:tcPr>
                <w:p w14:paraId="1BF77B24">
                  <w:pPr>
                    <w:pStyle w:val="3"/>
                    <w:bidi w:val="0"/>
                    <w:rPr>
                      <w:rFonts w:hint="default" w:ascii="Times New Roman" w:hAnsi="Times New Roman" w:cs="Times New Roman"/>
                      <w:color w:val="auto"/>
                    </w:rPr>
                  </w:pPr>
                </w:p>
              </w:tc>
              <w:tc>
                <w:tcPr>
                  <w:tcW w:w="541" w:type="pct"/>
                  <w:gridSpan w:val="2"/>
                  <w:noWrap w:val="0"/>
                  <w:vAlign w:val="center"/>
                </w:tcPr>
                <w:p w14:paraId="19CDB1F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外购</w:t>
                  </w:r>
                </w:p>
                <w:p w14:paraId="36EA39B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毛油</w:t>
                  </w:r>
                </w:p>
              </w:tc>
              <w:tc>
                <w:tcPr>
                  <w:tcW w:w="1250" w:type="pct"/>
                  <w:noWrap w:val="0"/>
                  <w:vAlign w:val="center"/>
                </w:tcPr>
                <w:p w14:paraId="7F1C687D">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5462t/a</w:t>
                  </w:r>
                </w:p>
              </w:tc>
              <w:tc>
                <w:tcPr>
                  <w:tcW w:w="1467" w:type="pct"/>
                  <w:noWrap w:val="0"/>
                  <w:vAlign w:val="center"/>
                </w:tcPr>
                <w:p w14:paraId="3FD3CE61">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478" w:type="pct"/>
                  <w:noWrap w:val="0"/>
                  <w:vAlign w:val="center"/>
                </w:tcPr>
                <w:p w14:paraId="3A94A74A">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5462t/a</w:t>
                  </w:r>
                </w:p>
              </w:tc>
            </w:tr>
            <w:tr w14:paraId="5991F5A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continue"/>
                  <w:noWrap w:val="0"/>
                  <w:vAlign w:val="center"/>
                </w:tcPr>
                <w:p w14:paraId="0206689F">
                  <w:pPr>
                    <w:pStyle w:val="3"/>
                    <w:bidi w:val="0"/>
                    <w:rPr>
                      <w:rFonts w:hint="default" w:ascii="Times New Roman" w:hAnsi="Times New Roman" w:cs="Times New Roman"/>
                      <w:color w:val="auto"/>
                    </w:rPr>
                  </w:pPr>
                </w:p>
              </w:tc>
              <w:tc>
                <w:tcPr>
                  <w:tcW w:w="541" w:type="pct"/>
                  <w:gridSpan w:val="2"/>
                  <w:noWrap w:val="0"/>
                  <w:vAlign w:val="center"/>
                </w:tcPr>
                <w:p w14:paraId="4EAD2B5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外购脱胶油</w:t>
                  </w:r>
                </w:p>
              </w:tc>
              <w:tc>
                <w:tcPr>
                  <w:tcW w:w="1250" w:type="pct"/>
                  <w:noWrap w:val="0"/>
                  <w:vAlign w:val="center"/>
                </w:tcPr>
                <w:p w14:paraId="26DC689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5462t/a</w:t>
                  </w:r>
                </w:p>
              </w:tc>
              <w:tc>
                <w:tcPr>
                  <w:tcW w:w="1467" w:type="pct"/>
                  <w:noWrap w:val="0"/>
                  <w:vAlign w:val="center"/>
                </w:tcPr>
                <w:p w14:paraId="4245F83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478" w:type="pct"/>
                  <w:noWrap w:val="0"/>
                  <w:vAlign w:val="center"/>
                </w:tcPr>
                <w:p w14:paraId="5B821A7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5462t/a</w:t>
                  </w:r>
                </w:p>
              </w:tc>
            </w:tr>
            <w:tr w14:paraId="4813299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continue"/>
                  <w:noWrap w:val="0"/>
                  <w:vAlign w:val="center"/>
                </w:tcPr>
                <w:p w14:paraId="73DBB50B">
                  <w:pPr>
                    <w:pStyle w:val="3"/>
                    <w:bidi w:val="0"/>
                    <w:rPr>
                      <w:rFonts w:hint="default" w:ascii="Times New Roman" w:hAnsi="Times New Roman" w:cs="Times New Roman"/>
                      <w:color w:val="auto"/>
                    </w:rPr>
                  </w:pPr>
                </w:p>
              </w:tc>
              <w:tc>
                <w:tcPr>
                  <w:tcW w:w="541" w:type="pct"/>
                  <w:gridSpan w:val="2"/>
                  <w:noWrap w:val="0"/>
                  <w:vAlign w:val="center"/>
                </w:tcPr>
                <w:p w14:paraId="29E6373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磷酸</w:t>
                  </w:r>
                </w:p>
              </w:tc>
              <w:tc>
                <w:tcPr>
                  <w:tcW w:w="1250" w:type="pct"/>
                  <w:tcBorders>
                    <w:right w:val="single" w:color="auto" w:sz="4" w:space="0"/>
                  </w:tcBorders>
                  <w:noWrap w:val="0"/>
                  <w:vAlign w:val="center"/>
                </w:tcPr>
                <w:p w14:paraId="467F1B6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197</w:t>
                  </w:r>
                  <w:r>
                    <w:rPr>
                      <w:rFonts w:hint="default" w:ascii="Times New Roman" w:hAnsi="Times New Roman" w:cs="Times New Roman"/>
                      <w:color w:val="auto"/>
                      <w:lang w:val="en-US" w:eastAsia="zh-CN"/>
                    </w:rPr>
                    <w:t>t/a</w:t>
                  </w:r>
                </w:p>
              </w:tc>
              <w:tc>
                <w:tcPr>
                  <w:tcW w:w="1467" w:type="pct"/>
                  <w:tcBorders>
                    <w:left w:val="single" w:color="auto" w:sz="4" w:space="0"/>
                  </w:tcBorders>
                  <w:noWrap w:val="0"/>
                  <w:vAlign w:val="center"/>
                </w:tcPr>
                <w:p w14:paraId="3D0B977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478" w:type="pct"/>
                  <w:tcBorders>
                    <w:left w:val="single" w:color="auto" w:sz="4" w:space="0"/>
                  </w:tcBorders>
                  <w:noWrap w:val="0"/>
                  <w:vAlign w:val="center"/>
                </w:tcPr>
                <w:p w14:paraId="49C2AC4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197</w:t>
                  </w:r>
                  <w:r>
                    <w:rPr>
                      <w:rFonts w:hint="default" w:ascii="Times New Roman" w:hAnsi="Times New Roman" w:cs="Times New Roman"/>
                      <w:color w:val="auto"/>
                      <w:lang w:val="en-US" w:eastAsia="zh-CN"/>
                    </w:rPr>
                    <w:t>t/a</w:t>
                  </w:r>
                </w:p>
              </w:tc>
            </w:tr>
            <w:tr w14:paraId="727ACE4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continue"/>
                  <w:noWrap w:val="0"/>
                  <w:vAlign w:val="center"/>
                </w:tcPr>
                <w:p w14:paraId="230C0C46">
                  <w:pPr>
                    <w:pStyle w:val="3"/>
                    <w:bidi w:val="0"/>
                    <w:rPr>
                      <w:rFonts w:hint="default" w:ascii="Times New Roman" w:hAnsi="Times New Roman" w:cs="Times New Roman"/>
                      <w:color w:val="auto"/>
                    </w:rPr>
                  </w:pPr>
                </w:p>
              </w:tc>
              <w:tc>
                <w:tcPr>
                  <w:tcW w:w="541" w:type="pct"/>
                  <w:gridSpan w:val="2"/>
                  <w:noWrap w:val="0"/>
                  <w:vAlign w:val="center"/>
                </w:tcPr>
                <w:p w14:paraId="17BE28D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液碱</w:t>
                  </w:r>
                </w:p>
              </w:tc>
              <w:tc>
                <w:tcPr>
                  <w:tcW w:w="1250" w:type="pct"/>
                  <w:tcBorders>
                    <w:right w:val="single" w:color="auto" w:sz="4" w:space="0"/>
                  </w:tcBorders>
                  <w:noWrap w:val="0"/>
                  <w:vAlign w:val="center"/>
                </w:tcPr>
                <w:p w14:paraId="5A15BC5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146</w:t>
                  </w:r>
                  <w:r>
                    <w:rPr>
                      <w:rFonts w:hint="default" w:ascii="Times New Roman" w:hAnsi="Times New Roman" w:cs="Times New Roman"/>
                      <w:color w:val="auto"/>
                      <w:lang w:val="en-US" w:eastAsia="zh-CN"/>
                    </w:rPr>
                    <w:t>t/a</w:t>
                  </w:r>
                </w:p>
              </w:tc>
              <w:tc>
                <w:tcPr>
                  <w:tcW w:w="1467" w:type="pct"/>
                  <w:tcBorders>
                    <w:left w:val="single" w:color="auto" w:sz="4" w:space="0"/>
                  </w:tcBorders>
                  <w:noWrap w:val="0"/>
                  <w:vAlign w:val="center"/>
                </w:tcPr>
                <w:p w14:paraId="796C610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-81</w:t>
                  </w:r>
                  <w:r>
                    <w:rPr>
                      <w:rFonts w:hint="default" w:ascii="Times New Roman" w:hAnsi="Times New Roman" w:cs="Times New Roman"/>
                      <w:color w:val="auto"/>
                      <w:lang w:val="en-US" w:eastAsia="zh-CN"/>
                    </w:rPr>
                    <w:t>t/a</w:t>
                  </w:r>
                </w:p>
              </w:tc>
              <w:tc>
                <w:tcPr>
                  <w:tcW w:w="1478" w:type="pct"/>
                  <w:tcBorders>
                    <w:left w:val="single" w:color="auto" w:sz="4" w:space="0"/>
                  </w:tcBorders>
                  <w:noWrap w:val="0"/>
                  <w:vAlign w:val="center"/>
                </w:tcPr>
                <w:p w14:paraId="7CD765E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065</w:t>
                  </w:r>
                  <w:r>
                    <w:rPr>
                      <w:rFonts w:hint="default" w:ascii="Times New Roman" w:hAnsi="Times New Roman" w:cs="Times New Roman"/>
                      <w:color w:val="auto"/>
                      <w:lang w:val="en-US" w:eastAsia="zh-CN"/>
                    </w:rPr>
                    <w:t>t/a</w:t>
                  </w:r>
                </w:p>
              </w:tc>
            </w:tr>
            <w:tr w14:paraId="57BA315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continue"/>
                  <w:noWrap w:val="0"/>
                  <w:vAlign w:val="center"/>
                </w:tcPr>
                <w:p w14:paraId="43F4999F">
                  <w:pPr>
                    <w:pStyle w:val="3"/>
                    <w:bidi w:val="0"/>
                    <w:rPr>
                      <w:rFonts w:hint="default" w:ascii="Times New Roman" w:hAnsi="Times New Roman" w:cs="Times New Roman"/>
                      <w:color w:val="auto"/>
                    </w:rPr>
                  </w:pPr>
                </w:p>
              </w:tc>
              <w:tc>
                <w:tcPr>
                  <w:tcW w:w="541" w:type="pct"/>
                  <w:gridSpan w:val="2"/>
                  <w:noWrap w:val="0"/>
                  <w:vAlign w:val="center"/>
                </w:tcPr>
                <w:p w14:paraId="2B5E8DE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白土</w:t>
                  </w:r>
                </w:p>
              </w:tc>
              <w:tc>
                <w:tcPr>
                  <w:tcW w:w="1250" w:type="pct"/>
                  <w:tcBorders>
                    <w:right w:val="single" w:color="auto" w:sz="4" w:space="0"/>
                  </w:tcBorders>
                  <w:noWrap w:val="0"/>
                  <w:vAlign w:val="center"/>
                </w:tcPr>
                <w:p w14:paraId="08332D64">
                  <w:pPr>
                    <w:pStyle w:val="3"/>
                    <w:bidi w:val="0"/>
                    <w:rPr>
                      <w:rFonts w:hint="default" w:ascii="Times New Roman" w:hAnsi="Times New Roman" w:cs="Times New Roman"/>
                      <w:color w:val="auto"/>
                    </w:rPr>
                  </w:pPr>
                  <w:r>
                    <w:rPr>
                      <w:rFonts w:hint="eastAsia" w:ascii="Times New Roman" w:hAnsi="Times New Roman" w:cs="Times New Roman"/>
                      <w:color w:val="auto"/>
                      <w:lang w:val="en-US" w:eastAsia="zh-CN"/>
                    </w:rPr>
                    <w:t>2294</w:t>
                  </w:r>
                  <w:r>
                    <w:rPr>
                      <w:rFonts w:hint="default" w:ascii="Times New Roman" w:hAnsi="Times New Roman" w:cs="Times New Roman"/>
                      <w:color w:val="auto"/>
                      <w:lang w:val="en-US" w:eastAsia="zh-CN"/>
                    </w:rPr>
                    <w:t>t/a</w:t>
                  </w:r>
                </w:p>
              </w:tc>
              <w:tc>
                <w:tcPr>
                  <w:tcW w:w="1467" w:type="pct"/>
                  <w:tcBorders>
                    <w:left w:val="single" w:color="auto" w:sz="4" w:space="0"/>
                  </w:tcBorders>
                  <w:noWrap w:val="0"/>
                  <w:vAlign w:val="center"/>
                </w:tcPr>
                <w:p w14:paraId="2CCD0B2F">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478" w:type="pct"/>
                  <w:tcBorders>
                    <w:left w:val="single" w:color="auto" w:sz="4" w:space="0"/>
                  </w:tcBorders>
                  <w:noWrap w:val="0"/>
                  <w:vAlign w:val="center"/>
                </w:tcPr>
                <w:p w14:paraId="114595F6">
                  <w:pPr>
                    <w:pStyle w:val="3"/>
                    <w:bidi w:val="0"/>
                    <w:rPr>
                      <w:rFonts w:hint="default" w:ascii="Times New Roman" w:hAnsi="Times New Roman" w:cs="Times New Roman"/>
                      <w:color w:val="auto"/>
                    </w:rPr>
                  </w:pPr>
                  <w:r>
                    <w:rPr>
                      <w:rFonts w:hint="eastAsia" w:ascii="Times New Roman" w:hAnsi="Times New Roman" w:cs="Times New Roman"/>
                      <w:color w:val="auto"/>
                      <w:lang w:val="en-US" w:eastAsia="zh-CN"/>
                    </w:rPr>
                    <w:t>2294</w:t>
                  </w:r>
                  <w:r>
                    <w:rPr>
                      <w:rFonts w:hint="default" w:ascii="Times New Roman" w:hAnsi="Times New Roman" w:cs="Times New Roman"/>
                      <w:color w:val="auto"/>
                      <w:lang w:val="en-US" w:eastAsia="zh-CN"/>
                    </w:rPr>
                    <w:t>t/a</w:t>
                  </w:r>
                </w:p>
              </w:tc>
            </w:tr>
            <w:tr w14:paraId="266B323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262" w:type="pct"/>
                  <w:vMerge w:val="continue"/>
                  <w:noWrap w:val="0"/>
                  <w:vAlign w:val="center"/>
                </w:tcPr>
                <w:p w14:paraId="0B315E9B">
                  <w:pPr>
                    <w:pStyle w:val="3"/>
                    <w:bidi w:val="0"/>
                    <w:rPr>
                      <w:rFonts w:hint="default" w:ascii="Times New Roman" w:hAnsi="Times New Roman" w:cs="Times New Roman"/>
                      <w:color w:val="auto"/>
                    </w:rPr>
                  </w:pPr>
                </w:p>
              </w:tc>
              <w:tc>
                <w:tcPr>
                  <w:tcW w:w="541" w:type="pct"/>
                  <w:gridSpan w:val="2"/>
                  <w:noWrap w:val="0"/>
                  <w:vAlign w:val="center"/>
                </w:tcPr>
                <w:p w14:paraId="419CC4E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蒸汽</w:t>
                  </w:r>
                </w:p>
              </w:tc>
              <w:tc>
                <w:tcPr>
                  <w:tcW w:w="1250" w:type="pct"/>
                  <w:tcBorders>
                    <w:right w:val="single" w:color="auto" w:sz="4" w:space="0"/>
                  </w:tcBorders>
                  <w:noWrap w:val="0"/>
                  <w:vAlign w:val="center"/>
                </w:tcPr>
                <w:p w14:paraId="66A72494">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59.4万t/a</w:t>
                  </w:r>
                </w:p>
              </w:tc>
              <w:tc>
                <w:tcPr>
                  <w:tcW w:w="1467" w:type="pct"/>
                  <w:tcBorders>
                    <w:left w:val="single" w:color="auto" w:sz="4" w:space="0"/>
                  </w:tcBorders>
                  <w:noWrap w:val="0"/>
                  <w:vAlign w:val="center"/>
                </w:tcPr>
                <w:p w14:paraId="2A3F1CA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4.8</w:t>
                  </w:r>
                  <w:r>
                    <w:rPr>
                      <w:rFonts w:hint="default" w:ascii="Times New Roman" w:hAnsi="Times New Roman" w:cs="Times New Roman"/>
                      <w:color w:val="auto"/>
                      <w:lang w:val="en-US" w:eastAsia="zh-CN"/>
                    </w:rPr>
                    <w:t>万t/a</w:t>
                  </w:r>
                </w:p>
              </w:tc>
              <w:tc>
                <w:tcPr>
                  <w:tcW w:w="1478" w:type="pct"/>
                  <w:tcBorders>
                    <w:left w:val="single" w:color="auto" w:sz="4" w:space="0"/>
                  </w:tcBorders>
                  <w:noWrap w:val="0"/>
                  <w:vAlign w:val="center"/>
                </w:tcPr>
                <w:p w14:paraId="4A5E41E2">
                  <w:pPr>
                    <w:pStyle w:val="3"/>
                    <w:bidi w:val="0"/>
                    <w:rPr>
                      <w:rFonts w:hint="default" w:ascii="Times New Roman" w:hAnsi="Times New Roman" w:cs="Times New Roman"/>
                      <w:color w:val="auto"/>
                    </w:rPr>
                  </w:pPr>
                  <w:r>
                    <w:rPr>
                      <w:rFonts w:hint="eastAsia" w:ascii="Times New Roman" w:hAnsi="Times New Roman" w:cs="Times New Roman"/>
                      <w:color w:val="auto"/>
                      <w:lang w:val="en-US" w:eastAsia="zh-CN"/>
                    </w:rPr>
                    <w:t>64.2万</w:t>
                  </w:r>
                  <w:r>
                    <w:rPr>
                      <w:rFonts w:hint="default" w:ascii="Times New Roman" w:hAnsi="Times New Roman" w:cs="Times New Roman"/>
                      <w:color w:val="auto"/>
                      <w:lang w:val="en-US" w:eastAsia="zh-CN"/>
                    </w:rPr>
                    <w:t>t/a</w:t>
                  </w:r>
                </w:p>
              </w:tc>
            </w:tr>
            <w:tr w14:paraId="04A44E2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804" w:type="pct"/>
                  <w:gridSpan w:val="3"/>
                  <w:noWrap w:val="0"/>
                  <w:vAlign w:val="center"/>
                </w:tcPr>
                <w:p w14:paraId="057D3111">
                  <w:pPr>
                    <w:pStyle w:val="3"/>
                    <w:bidi w:val="0"/>
                    <w:rPr>
                      <w:rFonts w:hint="default" w:ascii="Times New Roman" w:hAnsi="Times New Roman" w:cs="Times New Roman"/>
                      <w:color w:val="auto"/>
                    </w:rPr>
                  </w:pPr>
                  <w:r>
                    <w:rPr>
                      <w:rFonts w:hint="default" w:ascii="Times New Roman" w:hAnsi="Times New Roman" w:cs="Times New Roman"/>
                      <w:color w:val="auto"/>
                    </w:rPr>
                    <w:t>生产工艺</w:t>
                  </w:r>
                </w:p>
              </w:tc>
              <w:tc>
                <w:tcPr>
                  <w:tcW w:w="4195" w:type="pct"/>
                  <w:gridSpan w:val="3"/>
                  <w:noWrap w:val="0"/>
                  <w:vAlign w:val="center"/>
                </w:tcPr>
                <w:p w14:paraId="0B02D9DC">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rPr>
                    <w:t>项目</w:t>
                  </w:r>
                  <w:r>
                    <w:rPr>
                      <w:rFonts w:hint="default" w:ascii="Times New Roman" w:hAnsi="Times New Roman" w:cs="Times New Roman"/>
                      <w:color w:val="auto"/>
                      <w:lang w:eastAsia="zh-CN"/>
                    </w:rPr>
                    <w:t>改扩建</w:t>
                  </w:r>
                  <w:r>
                    <w:rPr>
                      <w:rFonts w:hint="default" w:ascii="Times New Roman" w:hAnsi="Times New Roman" w:cs="Times New Roman"/>
                      <w:color w:val="auto"/>
                    </w:rPr>
                    <w:t>前后</w:t>
                  </w:r>
                  <w:r>
                    <w:rPr>
                      <w:rFonts w:hint="default" w:ascii="Times New Roman" w:hAnsi="Times New Roman" w:cs="Times New Roman"/>
                      <w:color w:val="auto"/>
                      <w:lang w:eastAsia="zh-CN"/>
                    </w:rPr>
                    <w:t>预处理生产线、浸出生产线</w:t>
                  </w:r>
                  <w:r>
                    <w:rPr>
                      <w:rFonts w:hint="eastAsia" w:ascii="Times New Roman" w:hAnsi="Times New Roman" w:cs="Times New Roman"/>
                      <w:color w:val="auto"/>
                      <w:lang w:eastAsia="zh-CN"/>
                    </w:rPr>
                    <w:t>不发生变化，</w:t>
                  </w:r>
                  <w:r>
                    <w:rPr>
                      <w:rFonts w:hint="default" w:ascii="Times New Roman" w:hAnsi="Times New Roman" w:cs="Times New Roman"/>
                      <w:color w:val="auto"/>
                      <w:lang w:eastAsia="zh-CN"/>
                    </w:rPr>
                    <w:t>精炼生产线</w:t>
                  </w:r>
                  <w:r>
                    <w:rPr>
                      <w:rFonts w:hint="eastAsia" w:ascii="Times New Roman" w:hAnsi="Times New Roman" w:cs="Times New Roman"/>
                      <w:color w:val="auto"/>
                      <w:lang w:eastAsia="zh-CN"/>
                    </w:rPr>
                    <w:t>酸化工序线增加</w:t>
                  </w:r>
                  <w:r>
                    <w:rPr>
                      <w:rFonts w:hint="eastAsia" w:ascii="Times New Roman" w:hAnsi="Times New Roman" w:cs="Times New Roman"/>
                      <w:color w:val="auto"/>
                      <w:lang w:val="en-US" w:eastAsia="zh-CN"/>
                    </w:rPr>
                    <w:t>1条磷脂分线，精炼线主线</w:t>
                  </w:r>
                  <w:r>
                    <w:rPr>
                      <w:rFonts w:hint="default" w:ascii="Times New Roman" w:hAnsi="Times New Roman" w:cs="Times New Roman"/>
                      <w:color w:val="auto"/>
                      <w:lang w:eastAsia="zh-CN"/>
                    </w:rPr>
                    <w:t>生产工艺</w:t>
                  </w:r>
                  <w:r>
                    <w:rPr>
                      <w:rFonts w:hint="default" w:ascii="Times New Roman" w:hAnsi="Times New Roman" w:cs="Times New Roman"/>
                      <w:color w:val="auto"/>
                    </w:rPr>
                    <w:t>不发生变化，</w:t>
                  </w:r>
                  <w:r>
                    <w:rPr>
                      <w:rFonts w:hint="default" w:ascii="Times New Roman" w:hAnsi="Times New Roman" w:cs="Times New Roman"/>
                      <w:color w:val="auto"/>
                      <w:lang w:eastAsia="zh-CN"/>
                    </w:rPr>
                    <w:t>新增</w:t>
                  </w:r>
                  <w:r>
                    <w:rPr>
                      <w:rFonts w:hint="default" w:ascii="Times New Roman" w:hAnsi="Times New Roman" w:cs="Times New Roman"/>
                      <w:color w:val="auto"/>
                      <w:lang w:val="en-US" w:eastAsia="zh-CN"/>
                    </w:rPr>
                    <w:t>1条大豆膨化生产线，</w:t>
                  </w:r>
                  <w:r>
                    <w:rPr>
                      <w:rFonts w:hint="default" w:ascii="Times New Roman" w:hAnsi="Times New Roman" w:cs="Times New Roman"/>
                      <w:color w:val="auto"/>
                    </w:rPr>
                    <w:t>其工艺流程简介详见</w:t>
                  </w:r>
                  <w:r>
                    <w:rPr>
                      <w:rFonts w:hint="default" w:ascii="Times New Roman" w:hAnsi="Times New Roman" w:cs="Times New Roman"/>
                      <w:color w:val="auto"/>
                      <w:lang w:eastAsia="zh-CN"/>
                    </w:rPr>
                    <w:t>工艺流程简介</w:t>
                  </w:r>
                  <w:r>
                    <w:rPr>
                      <w:rFonts w:hint="eastAsia" w:ascii="Times New Roman" w:hAnsi="Times New Roman" w:cs="Times New Roman"/>
                      <w:color w:val="auto"/>
                      <w:lang w:eastAsia="zh-CN"/>
                    </w:rPr>
                    <w:t>。</w:t>
                  </w:r>
                </w:p>
              </w:tc>
            </w:tr>
            <w:tr w14:paraId="4B036A2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265" w:type="pct"/>
                  <w:gridSpan w:val="2"/>
                  <w:vMerge w:val="restart"/>
                  <w:tcBorders>
                    <w:right w:val="single" w:color="auto" w:sz="4" w:space="0"/>
                  </w:tcBorders>
                  <w:noWrap w:val="0"/>
                  <w:vAlign w:val="center"/>
                </w:tcPr>
                <w:p w14:paraId="1C286A77">
                  <w:pPr>
                    <w:pStyle w:val="3"/>
                    <w:bidi w:val="0"/>
                    <w:rPr>
                      <w:rFonts w:hint="default" w:ascii="Times New Roman" w:hAnsi="Times New Roman" w:cs="Times New Roman"/>
                      <w:color w:val="auto"/>
                    </w:rPr>
                  </w:pPr>
                  <w:r>
                    <w:rPr>
                      <w:rFonts w:hint="default" w:ascii="Times New Roman" w:hAnsi="Times New Roman" w:cs="Times New Roman"/>
                      <w:color w:val="auto"/>
                    </w:rPr>
                    <w:t>污染治理措施</w:t>
                  </w:r>
                </w:p>
              </w:tc>
              <w:tc>
                <w:tcPr>
                  <w:tcW w:w="538" w:type="pct"/>
                  <w:tcBorders>
                    <w:left w:val="single" w:color="auto" w:sz="4" w:space="0"/>
                  </w:tcBorders>
                  <w:noWrap w:val="0"/>
                  <w:vAlign w:val="center"/>
                </w:tcPr>
                <w:p w14:paraId="0622A224">
                  <w:pPr>
                    <w:pStyle w:val="3"/>
                    <w:bidi w:val="0"/>
                    <w:rPr>
                      <w:rFonts w:hint="default" w:ascii="Times New Roman" w:hAnsi="Times New Roman" w:cs="Times New Roman"/>
                      <w:color w:val="auto"/>
                    </w:rPr>
                  </w:pPr>
                  <w:r>
                    <w:rPr>
                      <w:rFonts w:hint="default" w:ascii="Times New Roman" w:hAnsi="Times New Roman" w:cs="Times New Roman"/>
                      <w:color w:val="auto"/>
                    </w:rPr>
                    <w:t>废水</w:t>
                  </w:r>
                </w:p>
                <w:p w14:paraId="34E991A8">
                  <w:pPr>
                    <w:pStyle w:val="3"/>
                    <w:bidi w:val="0"/>
                    <w:rPr>
                      <w:rFonts w:hint="default" w:ascii="Times New Roman" w:hAnsi="Times New Roman" w:cs="Times New Roman"/>
                      <w:color w:val="auto"/>
                    </w:rPr>
                  </w:pPr>
                  <w:r>
                    <w:rPr>
                      <w:rFonts w:hint="default" w:ascii="Times New Roman" w:hAnsi="Times New Roman" w:cs="Times New Roman"/>
                      <w:color w:val="auto"/>
                    </w:rPr>
                    <w:t>处理</w:t>
                  </w:r>
                </w:p>
              </w:tc>
              <w:tc>
                <w:tcPr>
                  <w:tcW w:w="1250" w:type="pct"/>
                  <w:tcBorders>
                    <w:right w:val="single" w:color="auto" w:sz="4" w:space="0"/>
                  </w:tcBorders>
                  <w:noWrap w:val="0"/>
                  <w:vAlign w:val="center"/>
                </w:tcPr>
                <w:p w14:paraId="56A00FD2">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厂区建有处理能力为</w:t>
                  </w:r>
                  <w:r>
                    <w:rPr>
                      <w:rFonts w:hint="default" w:ascii="Times New Roman" w:hAnsi="Times New Roman" w:cs="Times New Roman"/>
                      <w:color w:val="auto"/>
                    </w:rPr>
                    <w:t>500m</w:t>
                  </w:r>
                  <w:r>
                    <w:rPr>
                      <w:rFonts w:hint="default" w:ascii="Times New Roman" w:hAnsi="Times New Roman" w:cs="Times New Roman"/>
                      <w:color w:val="auto"/>
                      <w:vertAlign w:val="superscript"/>
                    </w:rPr>
                    <w:t>3</w:t>
                  </w:r>
                  <w:r>
                    <w:rPr>
                      <w:rFonts w:hint="default" w:ascii="Times New Roman" w:hAnsi="Times New Roman" w:cs="Times New Roman"/>
                      <w:color w:val="auto"/>
                    </w:rPr>
                    <w:t>/d的污水处理站，精炼车间废水经</w:t>
                  </w:r>
                  <w:r>
                    <w:rPr>
                      <w:rFonts w:hint="eastAsia" w:ascii="Times New Roman" w:hAnsi="Times New Roman" w:eastAsia="宋体" w:cs="Times New Roman"/>
                      <w:color w:val="auto"/>
                      <w:lang w:eastAsia="zh-CN"/>
                    </w:rPr>
                    <w:t>酸碱中和后</w:t>
                  </w:r>
                  <w:r>
                    <w:rPr>
                      <w:rFonts w:hint="default" w:ascii="Times New Roman" w:hAnsi="Times New Roman" w:cs="Times New Roman"/>
                      <w:color w:val="auto"/>
                    </w:rPr>
                    <w:t>污水处理站，经气浮+厌氧处理+接触氧化生化处理后达《污水综合排放标准》（GB8978-1996）三级标准后排入园区污水管网进入龙桥园区污水处理厂进行进一步处理</w:t>
                  </w:r>
                  <w:r>
                    <w:rPr>
                      <w:rFonts w:hint="default" w:ascii="Times New Roman" w:hAnsi="Times New Roman" w:cs="Times New Roman"/>
                      <w:color w:val="auto"/>
                      <w:lang w:eastAsia="zh-CN"/>
                    </w:rPr>
                    <w:t>后经</w:t>
                  </w:r>
                  <w:r>
                    <w:rPr>
                      <w:rFonts w:hint="default" w:ascii="Times New Roman" w:hAnsi="Times New Roman" w:cs="Times New Roman"/>
                      <w:color w:val="auto"/>
                    </w:rPr>
                    <w:t>冉家沟</w:t>
                  </w:r>
                  <w:r>
                    <w:rPr>
                      <w:rFonts w:hint="default" w:ascii="Times New Roman" w:hAnsi="Times New Roman" w:cs="Times New Roman"/>
                      <w:color w:val="auto"/>
                      <w:lang w:eastAsia="zh-CN"/>
                    </w:rPr>
                    <w:t>排入</w:t>
                  </w:r>
                  <w:r>
                    <w:rPr>
                      <w:rFonts w:hint="default" w:ascii="Times New Roman" w:hAnsi="Times New Roman" w:cs="Times New Roman"/>
                      <w:color w:val="auto"/>
                    </w:rPr>
                    <w:t>长江。</w:t>
                  </w:r>
                </w:p>
              </w:tc>
              <w:tc>
                <w:tcPr>
                  <w:tcW w:w="1467" w:type="pct"/>
                  <w:tcBorders>
                    <w:left w:val="single" w:color="auto" w:sz="4" w:space="0"/>
                  </w:tcBorders>
                  <w:noWrap w:val="0"/>
                  <w:vAlign w:val="center"/>
                </w:tcPr>
                <w:p w14:paraId="42DCD15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依托厂区现有污水处理站处理达</w:t>
                  </w:r>
                  <w:r>
                    <w:rPr>
                      <w:rFonts w:hint="default" w:ascii="Times New Roman" w:hAnsi="Times New Roman" w:cs="Times New Roman"/>
                      <w:color w:val="auto"/>
                    </w:rPr>
                    <w:t>《污水综合排放标准》（GB8978-1996）三级标准后排入园区污水管网进入龙桥园区污水处理厂进行进一步处理</w:t>
                  </w:r>
                  <w:r>
                    <w:rPr>
                      <w:rFonts w:hint="default" w:ascii="Times New Roman" w:hAnsi="Times New Roman" w:cs="Times New Roman"/>
                      <w:color w:val="auto"/>
                      <w:lang w:eastAsia="zh-CN"/>
                    </w:rPr>
                    <w:t>后经</w:t>
                  </w:r>
                  <w:r>
                    <w:rPr>
                      <w:rFonts w:hint="default" w:ascii="Times New Roman" w:hAnsi="Times New Roman" w:cs="Times New Roman"/>
                      <w:color w:val="auto"/>
                    </w:rPr>
                    <w:t>冉家沟</w:t>
                  </w:r>
                  <w:r>
                    <w:rPr>
                      <w:rFonts w:hint="default" w:ascii="Times New Roman" w:hAnsi="Times New Roman" w:cs="Times New Roman"/>
                      <w:color w:val="auto"/>
                      <w:lang w:eastAsia="zh-CN"/>
                    </w:rPr>
                    <w:t>排入</w:t>
                  </w:r>
                  <w:r>
                    <w:rPr>
                      <w:rFonts w:hint="default" w:ascii="Times New Roman" w:hAnsi="Times New Roman" w:cs="Times New Roman"/>
                      <w:color w:val="auto"/>
                    </w:rPr>
                    <w:t>长江。</w:t>
                  </w:r>
                </w:p>
              </w:tc>
              <w:tc>
                <w:tcPr>
                  <w:tcW w:w="1478" w:type="pct"/>
                  <w:tcBorders>
                    <w:left w:val="single" w:color="auto" w:sz="4" w:space="0"/>
                  </w:tcBorders>
                  <w:noWrap w:val="0"/>
                  <w:vAlign w:val="center"/>
                </w:tcPr>
                <w:p w14:paraId="4400B121">
                  <w:pPr>
                    <w:pStyle w:val="3"/>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污水处理设施不发生变化。</w:t>
                  </w:r>
                </w:p>
              </w:tc>
            </w:tr>
            <w:tr w14:paraId="005B30D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265" w:type="pct"/>
                  <w:gridSpan w:val="2"/>
                  <w:vMerge w:val="continue"/>
                  <w:tcBorders>
                    <w:right w:val="single" w:color="auto" w:sz="4" w:space="0"/>
                  </w:tcBorders>
                  <w:noWrap w:val="0"/>
                  <w:vAlign w:val="center"/>
                </w:tcPr>
                <w:p w14:paraId="1A13EC63">
                  <w:pPr>
                    <w:pStyle w:val="3"/>
                    <w:bidi w:val="0"/>
                    <w:rPr>
                      <w:rFonts w:hint="default" w:ascii="Times New Roman" w:hAnsi="Times New Roman" w:cs="Times New Roman"/>
                      <w:color w:val="auto"/>
                    </w:rPr>
                  </w:pPr>
                </w:p>
              </w:tc>
              <w:tc>
                <w:tcPr>
                  <w:tcW w:w="538" w:type="pct"/>
                  <w:tcBorders>
                    <w:left w:val="single" w:color="auto" w:sz="4" w:space="0"/>
                  </w:tcBorders>
                  <w:noWrap w:val="0"/>
                  <w:vAlign w:val="center"/>
                </w:tcPr>
                <w:p w14:paraId="5D674EB4">
                  <w:pPr>
                    <w:pStyle w:val="3"/>
                    <w:bidi w:val="0"/>
                    <w:rPr>
                      <w:rFonts w:hint="default" w:ascii="Times New Roman" w:hAnsi="Times New Roman" w:cs="Times New Roman"/>
                      <w:color w:val="auto"/>
                    </w:rPr>
                  </w:pPr>
                  <w:r>
                    <w:rPr>
                      <w:rFonts w:hint="default" w:ascii="Times New Roman" w:hAnsi="Times New Roman" w:cs="Times New Roman"/>
                      <w:color w:val="auto"/>
                    </w:rPr>
                    <w:t>废气</w:t>
                  </w:r>
                </w:p>
                <w:p w14:paraId="60F5510A">
                  <w:pPr>
                    <w:pStyle w:val="3"/>
                    <w:bidi w:val="0"/>
                    <w:rPr>
                      <w:rFonts w:hint="default" w:ascii="Times New Roman" w:hAnsi="Times New Roman" w:cs="Times New Roman"/>
                      <w:color w:val="auto"/>
                    </w:rPr>
                  </w:pPr>
                  <w:r>
                    <w:rPr>
                      <w:rFonts w:hint="default" w:ascii="Times New Roman" w:hAnsi="Times New Roman" w:cs="Times New Roman"/>
                      <w:color w:val="auto"/>
                    </w:rPr>
                    <w:t>处理</w:t>
                  </w:r>
                </w:p>
              </w:tc>
              <w:tc>
                <w:tcPr>
                  <w:tcW w:w="1250" w:type="pct"/>
                  <w:tcBorders>
                    <w:right w:val="single" w:color="auto" w:sz="4" w:space="0"/>
                  </w:tcBorders>
                  <w:noWrap w:val="0"/>
                  <w:vAlign w:val="center"/>
                </w:tcPr>
                <w:p w14:paraId="09D8BB8E">
                  <w:pPr>
                    <w:pStyle w:val="3"/>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现有工程产生的颗粒物主要采用布袋除尘器、旋风除尘器、滤筒除尘器处理后引至排气筒排放；锅炉的天然气燃烧废气采用低氮燃烧器处理后引至排气筒排放；脱色、脱臭工序产生的非甲烷总烃采用碱喷淋塔处理后引至排气筒排放；污水处理站产生的废气经加盖收集后采用</w:t>
                  </w:r>
                  <w:r>
                    <w:rPr>
                      <w:rFonts w:hint="eastAsia" w:ascii="Times New Roman" w:hAnsi="Times New Roman" w:cs="Times New Roman"/>
                      <w:color w:val="auto"/>
                      <w:highlight w:val="none"/>
                      <w:lang w:val="en-US" w:eastAsia="zh-CN"/>
                    </w:rPr>
                    <w:t>次氯酸钠+碱液喷淋塔处理后引至排气筒排放；品控室、包装车间产生废气经活性炭吸附处理引至排气筒排放；浸出</w:t>
                  </w:r>
                  <w:r>
                    <w:rPr>
                      <w:rFonts w:hint="eastAsia" w:ascii="Times New Roman" w:hAnsi="Times New Roman" w:eastAsia="宋体" w:cs="Times New Roman"/>
                      <w:color w:val="auto"/>
                      <w:highlight w:val="none"/>
                      <w:lang w:eastAsia="zh-CN"/>
                    </w:rPr>
                    <w:t>、脱溶工序产生的非甲烷总烃采用冷凝回收</w:t>
                  </w:r>
                  <w:r>
                    <w:rPr>
                      <w:rFonts w:hint="eastAsia" w:ascii="Times New Roman" w:hAnsi="Times New Roman" w:eastAsia="宋体" w:cs="Times New Roman"/>
                      <w:color w:val="auto"/>
                      <w:highlight w:val="none"/>
                      <w:lang w:val="en-US" w:eastAsia="zh-CN"/>
                    </w:rPr>
                    <w:t>+碱液喷淋塔</w:t>
                  </w:r>
                  <w:r>
                    <w:rPr>
                      <w:rFonts w:hint="eastAsia" w:ascii="Times New Roman" w:hAnsi="Times New Roman" w:eastAsia="宋体" w:cs="Times New Roman"/>
                      <w:color w:val="auto"/>
                      <w:highlight w:val="none"/>
                      <w:lang w:eastAsia="zh-CN"/>
                    </w:rPr>
                    <w:t>后引至排气筒排放。</w:t>
                  </w:r>
                </w:p>
              </w:tc>
              <w:tc>
                <w:tcPr>
                  <w:tcW w:w="1467" w:type="pct"/>
                  <w:tcBorders>
                    <w:left w:val="single" w:color="auto" w:sz="4" w:space="0"/>
                  </w:tcBorders>
                  <w:noWrap w:val="0"/>
                  <w:vAlign w:val="center"/>
                </w:tcPr>
                <w:p w14:paraId="5447DAA9">
                  <w:pPr>
                    <w:pStyle w:val="3"/>
                    <w:bidi w:val="0"/>
                    <w:jc w:val="both"/>
                    <w:rPr>
                      <w:rFonts w:hint="default" w:ascii="Times New Roman" w:hAnsi="Times New Roman" w:cs="Times New Roman"/>
                      <w:color w:val="auto"/>
                      <w:lang w:val="en-US"/>
                    </w:rPr>
                  </w:pPr>
                  <w:r>
                    <w:rPr>
                      <w:rFonts w:hint="default" w:ascii="Times New Roman" w:hAnsi="Times New Roman" w:cs="Times New Roman"/>
                      <w:color w:val="auto"/>
                      <w:highlight w:val="none"/>
                      <w:lang w:eastAsia="zh-CN"/>
                    </w:rPr>
                    <w:t>大豆膨化生产线称量、振动清理、初破、筛分、成品破碎、打包工序产生的颗粒物经收集后采用布袋除尘器处理后引至</w:t>
                  </w:r>
                  <w:r>
                    <w:rPr>
                      <w:rFonts w:hint="default" w:ascii="Times New Roman" w:hAnsi="Times New Roman" w:cs="Times New Roman"/>
                      <w:color w:val="auto"/>
                      <w:highlight w:val="none"/>
                      <w:lang w:val="en-US" w:eastAsia="zh-CN"/>
                    </w:rPr>
                    <w:t>1根20m高的</w:t>
                  </w:r>
                  <w:r>
                    <w:rPr>
                      <w:rFonts w:hint="eastAsia" w:ascii="Times New Roman" w:hAnsi="Times New Roman" w:cs="Times New Roman"/>
                      <w:color w:val="auto"/>
                      <w:highlight w:val="none"/>
                      <w:lang w:val="en-US" w:eastAsia="zh-CN"/>
                    </w:rPr>
                    <w:t>DA022</w:t>
                  </w:r>
                  <w:r>
                    <w:rPr>
                      <w:rFonts w:hint="default" w:ascii="Times New Roman" w:hAnsi="Times New Roman" w:cs="Times New Roman"/>
                      <w:color w:val="auto"/>
                      <w:highlight w:val="none"/>
                      <w:lang w:val="en-US" w:eastAsia="zh-CN"/>
                    </w:rPr>
                    <w:t>排气筒排放；调质、膨化、</w:t>
                  </w:r>
                  <w:r>
                    <w:rPr>
                      <w:rFonts w:hint="eastAsia" w:ascii="Times New Roman" w:hAnsi="Times New Roman" w:cs="Times New Roman"/>
                      <w:color w:val="auto"/>
                      <w:highlight w:val="none"/>
                      <w:lang w:val="en-US" w:eastAsia="zh-CN"/>
                    </w:rPr>
                    <w:t>翻板</w:t>
                  </w:r>
                  <w:r>
                    <w:rPr>
                      <w:rFonts w:hint="default" w:ascii="Times New Roman" w:hAnsi="Times New Roman" w:cs="Times New Roman"/>
                      <w:color w:val="auto"/>
                      <w:highlight w:val="none"/>
                      <w:lang w:val="en-US" w:eastAsia="zh-CN"/>
                    </w:rPr>
                    <w:t>冷却工序产生的颗粒物经收集后采用</w:t>
                  </w:r>
                  <w:r>
                    <w:rPr>
                      <w:rFonts w:hint="default" w:ascii="Times New Roman" w:hAnsi="Times New Roman" w:cs="Times New Roman"/>
                      <w:color w:val="auto"/>
                      <w:highlight w:val="none"/>
                      <w:lang w:eastAsia="zh-CN"/>
                    </w:rPr>
                    <w:t>布袋除尘器处理后引至</w:t>
                  </w:r>
                  <w:r>
                    <w:rPr>
                      <w:rFonts w:hint="default" w:ascii="Times New Roman" w:hAnsi="Times New Roman" w:cs="Times New Roman"/>
                      <w:color w:val="auto"/>
                      <w:highlight w:val="none"/>
                      <w:lang w:val="en-US" w:eastAsia="zh-CN"/>
                    </w:rPr>
                    <w:t>1根20m高的</w:t>
                  </w:r>
                  <w:r>
                    <w:rPr>
                      <w:rFonts w:hint="eastAsia" w:ascii="Times New Roman" w:hAnsi="Times New Roman" w:cs="Times New Roman"/>
                      <w:color w:val="auto"/>
                      <w:highlight w:val="none"/>
                      <w:lang w:val="en-US" w:eastAsia="zh-CN"/>
                    </w:rPr>
                    <w:t>DA003</w:t>
                  </w:r>
                  <w:r>
                    <w:rPr>
                      <w:rFonts w:hint="default" w:ascii="Times New Roman" w:hAnsi="Times New Roman" w:cs="Times New Roman"/>
                      <w:color w:val="auto"/>
                      <w:highlight w:val="none"/>
                      <w:lang w:val="en-US" w:eastAsia="zh-CN"/>
                    </w:rPr>
                    <w:t>排气筒排放；</w:t>
                  </w:r>
                  <w:r>
                    <w:rPr>
                      <w:rFonts w:hint="default" w:ascii="Times New Roman" w:hAnsi="Times New Roman" w:cs="Times New Roman"/>
                      <w:color w:val="auto"/>
                      <w:lang w:val="en-US" w:eastAsia="zh-CN"/>
                    </w:rPr>
                    <w:t>薄膜蒸发工序产生的非甲烷总烃经真空捕集后无组织排放</w:t>
                  </w:r>
                  <w:r>
                    <w:rPr>
                      <w:rFonts w:hint="eastAsia" w:ascii="Times New Roman" w:hAnsi="Times New Roman" w:cs="Times New Roman"/>
                      <w:color w:val="auto"/>
                      <w:lang w:val="en-US" w:eastAsia="zh-CN"/>
                    </w:rPr>
                    <w:t>。</w:t>
                  </w:r>
                </w:p>
              </w:tc>
              <w:tc>
                <w:tcPr>
                  <w:tcW w:w="1478" w:type="pct"/>
                  <w:tcBorders>
                    <w:left w:val="single" w:color="auto" w:sz="4" w:space="0"/>
                  </w:tcBorders>
                  <w:noWrap w:val="0"/>
                  <w:vAlign w:val="center"/>
                </w:tcPr>
                <w:p w14:paraId="5A32EB30">
                  <w:pPr>
                    <w:pStyle w:val="3"/>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现有的废气治理设施不变，</w:t>
                  </w:r>
                  <w:r>
                    <w:rPr>
                      <w:rFonts w:hint="default" w:ascii="Times New Roman" w:hAnsi="Times New Roman" w:cs="Times New Roman"/>
                      <w:color w:val="auto"/>
                      <w:highlight w:val="none"/>
                      <w:lang w:eastAsia="zh-CN"/>
                    </w:rPr>
                    <w:t>大豆膨化生产线称量、振动清理、初破、筛分、成品破碎、打包工序产生的颗粒物经收集后采用布袋除尘器处理后引至</w:t>
                  </w:r>
                  <w:r>
                    <w:rPr>
                      <w:rFonts w:hint="default" w:ascii="Times New Roman" w:hAnsi="Times New Roman" w:cs="Times New Roman"/>
                      <w:color w:val="auto"/>
                      <w:highlight w:val="none"/>
                      <w:lang w:val="en-US" w:eastAsia="zh-CN"/>
                    </w:rPr>
                    <w:t>1根20m高</w:t>
                  </w:r>
                  <w:r>
                    <w:rPr>
                      <w:rFonts w:hint="eastAsia" w:ascii="Times New Roman" w:hAnsi="Times New Roman" w:cs="Times New Roman"/>
                      <w:color w:val="auto"/>
                      <w:highlight w:val="none"/>
                      <w:lang w:val="en-US" w:eastAsia="zh-CN"/>
                    </w:rPr>
                    <w:t>的DA022</w:t>
                  </w:r>
                  <w:r>
                    <w:rPr>
                      <w:rFonts w:hint="default" w:ascii="Times New Roman" w:hAnsi="Times New Roman" w:cs="Times New Roman"/>
                      <w:color w:val="auto"/>
                      <w:highlight w:val="none"/>
                      <w:lang w:val="en-US" w:eastAsia="zh-CN"/>
                    </w:rPr>
                    <w:t>排气筒排放；调质、膨化、</w:t>
                  </w:r>
                  <w:r>
                    <w:rPr>
                      <w:rFonts w:hint="eastAsia" w:ascii="Times New Roman" w:hAnsi="Times New Roman" w:cs="Times New Roman"/>
                      <w:color w:val="auto"/>
                      <w:highlight w:val="none"/>
                      <w:lang w:val="en-US" w:eastAsia="zh-CN"/>
                    </w:rPr>
                    <w:t>翻板</w:t>
                  </w:r>
                  <w:r>
                    <w:rPr>
                      <w:rFonts w:hint="default" w:ascii="Times New Roman" w:hAnsi="Times New Roman" w:cs="Times New Roman"/>
                      <w:color w:val="auto"/>
                      <w:highlight w:val="none"/>
                      <w:lang w:val="en-US" w:eastAsia="zh-CN"/>
                    </w:rPr>
                    <w:t>冷却工序产生的颗粒物经收集后采用</w:t>
                  </w:r>
                  <w:r>
                    <w:rPr>
                      <w:rFonts w:hint="default" w:ascii="Times New Roman" w:hAnsi="Times New Roman" w:cs="Times New Roman"/>
                      <w:color w:val="auto"/>
                      <w:highlight w:val="none"/>
                      <w:lang w:eastAsia="zh-CN"/>
                    </w:rPr>
                    <w:t>布袋除尘器处理后引至</w:t>
                  </w:r>
                  <w:r>
                    <w:rPr>
                      <w:rFonts w:hint="default" w:ascii="Times New Roman" w:hAnsi="Times New Roman" w:cs="Times New Roman"/>
                      <w:color w:val="auto"/>
                      <w:highlight w:val="none"/>
                      <w:lang w:val="en-US" w:eastAsia="zh-CN"/>
                    </w:rPr>
                    <w:t>1根20m高的</w:t>
                  </w:r>
                  <w:r>
                    <w:rPr>
                      <w:rFonts w:hint="eastAsia" w:ascii="Times New Roman" w:hAnsi="Times New Roman" w:cs="Times New Roman"/>
                      <w:color w:val="auto"/>
                      <w:highlight w:val="none"/>
                      <w:lang w:val="en-US" w:eastAsia="zh-CN"/>
                    </w:rPr>
                    <w:t>DA023</w:t>
                  </w:r>
                  <w:r>
                    <w:rPr>
                      <w:rFonts w:hint="default" w:ascii="Times New Roman" w:hAnsi="Times New Roman" w:cs="Times New Roman"/>
                      <w:color w:val="auto"/>
                      <w:highlight w:val="none"/>
                      <w:lang w:val="en-US" w:eastAsia="zh-CN"/>
                    </w:rPr>
                    <w:t>排气筒排放；</w:t>
                  </w:r>
                  <w:r>
                    <w:rPr>
                      <w:rFonts w:hint="default" w:ascii="Times New Roman" w:hAnsi="Times New Roman" w:cs="Times New Roman"/>
                      <w:color w:val="auto"/>
                      <w:lang w:val="en-US" w:eastAsia="zh-CN"/>
                    </w:rPr>
                    <w:t>薄膜蒸发工序产生的非甲烷总烃经真空捕集后无组织排放</w:t>
                  </w:r>
                  <w:r>
                    <w:rPr>
                      <w:rFonts w:hint="eastAsia" w:ascii="Times New Roman" w:hAnsi="Times New Roman" w:cs="Times New Roman"/>
                      <w:color w:val="auto"/>
                      <w:lang w:val="en-US" w:eastAsia="zh-CN"/>
                    </w:rPr>
                    <w:t>。</w:t>
                  </w:r>
                </w:p>
              </w:tc>
            </w:tr>
            <w:tr w14:paraId="4BE0DDD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45" w:hRule="atLeast"/>
              </w:trPr>
              <w:tc>
                <w:tcPr>
                  <w:tcW w:w="265" w:type="pct"/>
                  <w:gridSpan w:val="2"/>
                  <w:vMerge w:val="continue"/>
                  <w:tcBorders>
                    <w:right w:val="single" w:color="auto" w:sz="4" w:space="0"/>
                  </w:tcBorders>
                  <w:noWrap w:val="0"/>
                  <w:vAlign w:val="center"/>
                </w:tcPr>
                <w:p w14:paraId="5608D630">
                  <w:pPr>
                    <w:pStyle w:val="3"/>
                    <w:bidi w:val="0"/>
                    <w:rPr>
                      <w:rFonts w:hint="default" w:ascii="Times New Roman" w:hAnsi="Times New Roman" w:cs="Times New Roman"/>
                      <w:color w:val="auto"/>
                    </w:rPr>
                  </w:pPr>
                </w:p>
              </w:tc>
              <w:tc>
                <w:tcPr>
                  <w:tcW w:w="538" w:type="pct"/>
                  <w:tcBorders>
                    <w:left w:val="single" w:color="auto" w:sz="4" w:space="0"/>
                  </w:tcBorders>
                  <w:noWrap w:val="0"/>
                  <w:vAlign w:val="center"/>
                </w:tcPr>
                <w:p w14:paraId="1849003D">
                  <w:pPr>
                    <w:pStyle w:val="3"/>
                    <w:bidi w:val="0"/>
                    <w:rPr>
                      <w:rFonts w:hint="default" w:ascii="Times New Roman" w:hAnsi="Times New Roman" w:cs="Times New Roman"/>
                      <w:color w:val="auto"/>
                    </w:rPr>
                  </w:pPr>
                  <w:r>
                    <w:rPr>
                      <w:rFonts w:hint="default" w:ascii="Times New Roman" w:hAnsi="Times New Roman" w:cs="Times New Roman"/>
                      <w:color w:val="auto"/>
                    </w:rPr>
                    <w:t>固废处理</w:t>
                  </w:r>
                </w:p>
              </w:tc>
              <w:tc>
                <w:tcPr>
                  <w:tcW w:w="1250" w:type="pct"/>
                  <w:tcBorders>
                    <w:right w:val="single" w:color="auto" w:sz="4" w:space="0"/>
                  </w:tcBorders>
                  <w:noWrap w:val="0"/>
                  <w:vAlign w:val="center"/>
                </w:tcPr>
                <w:p w14:paraId="10679163">
                  <w:pPr>
                    <w:pStyle w:val="3"/>
                    <w:bidi w:val="0"/>
                    <w:jc w:val="both"/>
                    <w:rPr>
                      <w:rFonts w:hint="default" w:ascii="Times New Roman" w:hAnsi="Times New Roman" w:cs="Times New Roman"/>
                      <w:color w:val="auto"/>
                    </w:rPr>
                  </w:pPr>
                  <w:r>
                    <w:rPr>
                      <w:rFonts w:hint="eastAsia" w:ascii="Times New Roman" w:hAnsi="Times New Roman" w:cs="Times New Roman"/>
                      <w:color w:val="auto"/>
                      <w:sz w:val="21"/>
                      <w:szCs w:val="21"/>
                      <w:lang w:eastAsia="zh-CN"/>
                    </w:rPr>
                    <w:t>现有工程产生的一般工业固废经一般工业固废暂存间暂存后交废品回收公司处置；危险废物经危险废物贮存库暂存后交</w:t>
                  </w:r>
                  <w:r>
                    <w:rPr>
                      <w:rFonts w:hint="default" w:ascii="Times New Roman" w:hAnsi="Times New Roman" w:cs="Times New Roman"/>
                      <w:color w:val="auto"/>
                      <w:sz w:val="21"/>
                      <w:szCs w:val="21"/>
                      <w:highlight w:val="none"/>
                    </w:rPr>
                    <w:t>重庆</w:t>
                  </w:r>
                  <w:r>
                    <w:rPr>
                      <w:rFonts w:hint="eastAsia" w:eastAsia="宋体" w:cs="Times New Roman"/>
                      <w:color w:val="auto"/>
                      <w:sz w:val="21"/>
                      <w:szCs w:val="21"/>
                      <w:highlight w:val="none"/>
                      <w:lang w:eastAsia="zh-CN"/>
                    </w:rPr>
                    <w:t>信维环保</w:t>
                  </w:r>
                  <w:r>
                    <w:rPr>
                      <w:rFonts w:hint="default" w:ascii="Times New Roman" w:hAnsi="Times New Roman" w:cs="Times New Roman"/>
                      <w:color w:val="auto"/>
                      <w:sz w:val="21"/>
                      <w:szCs w:val="21"/>
                      <w:highlight w:val="none"/>
                    </w:rPr>
                    <w:t>有限公司</w:t>
                  </w:r>
                  <w:r>
                    <w:rPr>
                      <w:rFonts w:hint="eastAsia" w:ascii="Times New Roman" w:hAnsi="Times New Roman" w:cs="Times New Roman"/>
                      <w:color w:val="auto"/>
                      <w:sz w:val="21"/>
                      <w:szCs w:val="21"/>
                      <w:lang w:eastAsia="zh-CN"/>
                    </w:rPr>
                    <w:t>处置。</w:t>
                  </w:r>
                </w:p>
              </w:tc>
              <w:tc>
                <w:tcPr>
                  <w:tcW w:w="1467" w:type="pct"/>
                  <w:tcBorders>
                    <w:left w:val="single" w:color="auto" w:sz="4" w:space="0"/>
                  </w:tcBorders>
                  <w:noWrap w:val="0"/>
                  <w:vAlign w:val="center"/>
                </w:tcPr>
                <w:p w14:paraId="3E6CE10D">
                  <w:pPr>
                    <w:pStyle w:val="3"/>
                    <w:bidi w:val="0"/>
                    <w:jc w:val="both"/>
                    <w:rPr>
                      <w:rFonts w:hint="default" w:ascii="Times New Roman" w:hAnsi="Times New Roman" w:cs="Times New Roman"/>
                      <w:color w:val="auto"/>
                      <w:lang w:eastAsia="zh-CN"/>
                    </w:rPr>
                  </w:pPr>
                  <w:r>
                    <w:rPr>
                      <w:rFonts w:hint="default" w:ascii="Times New Roman" w:hAnsi="Times New Roman" w:cs="Times New Roman"/>
                      <w:color w:val="auto"/>
                      <w:lang w:eastAsia="zh-CN"/>
                    </w:rPr>
                    <w:t>依托厂区现有</w:t>
                  </w:r>
                  <w:r>
                    <w:rPr>
                      <w:rFonts w:hint="default" w:ascii="Times New Roman" w:hAnsi="Times New Roman" w:cs="Times New Roman"/>
                      <w:color w:val="auto"/>
                      <w:lang w:eastAsia="zh-CN"/>
                    </w:rPr>
                    <w:t>危险废物</w:t>
                  </w:r>
                  <w:r>
                    <w:rPr>
                      <w:rFonts w:hint="eastAsia" w:ascii="Times New Roman" w:hAnsi="Times New Roman" w:cs="Times New Roman"/>
                      <w:color w:val="auto"/>
                      <w:lang w:eastAsia="zh-CN"/>
                    </w:rPr>
                    <w:t>贮存库</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危险废物经分类暂存后定期交有危险废物处理资质单位处置；依托厂区现有一般工业固废暂存间，一般工业固废经分类暂存后交废品回收公司处置。</w:t>
                  </w:r>
                </w:p>
              </w:tc>
              <w:tc>
                <w:tcPr>
                  <w:tcW w:w="1478" w:type="pct"/>
                  <w:tcBorders>
                    <w:left w:val="single" w:color="auto" w:sz="4" w:space="0"/>
                  </w:tcBorders>
                  <w:noWrap w:val="0"/>
                  <w:vAlign w:val="center"/>
                </w:tcPr>
                <w:p w14:paraId="7D13B0FE">
                  <w:pPr>
                    <w:pStyle w:val="3"/>
                    <w:bidi w:val="0"/>
                    <w:rPr>
                      <w:rFonts w:hint="default" w:ascii="Times New Roman" w:hAnsi="Times New Roman" w:cs="Times New Roman"/>
                      <w:color w:val="auto"/>
                    </w:rPr>
                  </w:pPr>
                  <w:r>
                    <w:rPr>
                      <w:rFonts w:hint="eastAsia" w:ascii="Times New Roman" w:hAnsi="Times New Roman" w:cs="Times New Roman"/>
                      <w:color w:val="auto"/>
                      <w:lang w:eastAsia="zh-CN"/>
                    </w:rPr>
                    <w:t>固体废物暂存设施不发生变化。</w:t>
                  </w:r>
                </w:p>
              </w:tc>
            </w:tr>
          </w:tbl>
          <w:p w14:paraId="0EA34954">
            <w:pPr>
              <w:pStyle w:val="23"/>
              <w:spacing w:line="360" w:lineRule="auto"/>
              <w:ind w:left="0" w:leftChars="0" w:firstLine="0" w:firstLineChars="0"/>
              <w:rPr>
                <w:rFonts w:ascii="Times New Roman" w:cs="Times New Roman"/>
                <w:b/>
                <w:bCs/>
                <w:color w:val="auto"/>
                <w:sz w:val="24"/>
                <w:szCs w:val="24"/>
              </w:rPr>
            </w:pPr>
            <w:r>
              <w:rPr>
                <w:rFonts w:hint="eastAsia" w:ascii="Times New Roman" w:cs="Times New Roman"/>
                <w:b/>
                <w:bCs/>
                <w:color w:val="auto"/>
                <w:sz w:val="24"/>
                <w:szCs w:val="24"/>
                <w:lang w:val="en-US" w:eastAsia="zh-CN"/>
              </w:rPr>
              <w:t>5.</w:t>
            </w:r>
            <w:r>
              <w:rPr>
                <w:rFonts w:ascii="Times New Roman" w:cs="Times New Roman"/>
                <w:b/>
                <w:bCs/>
                <w:color w:val="auto"/>
                <w:sz w:val="24"/>
                <w:szCs w:val="24"/>
              </w:rPr>
              <w:t>总平面布置及合理性分析</w:t>
            </w:r>
          </w:p>
          <w:p w14:paraId="216AB1C5">
            <w:pPr>
              <w:adjustRightInd w:val="0"/>
              <w:snapToGrid w:val="0"/>
              <w:spacing w:line="360" w:lineRule="auto"/>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eastAsia="zh-CN"/>
              </w:rPr>
              <w:t>地块呈不规则多边形</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eastAsia="zh-CN"/>
              </w:rPr>
              <w:t>场地北侧紧邻长江的区域为码头作业区；码头作业区以南为大豆筒仓区，大豆筒仓区主要布置</w:t>
            </w:r>
            <w:r>
              <w:rPr>
                <w:rFonts w:hint="eastAsia" w:cs="Times New Roman"/>
                <w:color w:val="auto"/>
                <w:sz w:val="24"/>
                <w:szCs w:val="24"/>
                <w:highlight w:val="none"/>
                <w:lang w:val="en-US" w:eastAsia="zh-CN"/>
              </w:rPr>
              <w:t>10个大豆筒仓；大豆筒仓区以南由东向西依次布置散粕库房、浸出车间、预处理车间、综合楼、精炼车间、包装车间、5#罐区和包装仓库，8#罐区布置在浸出车间东南侧，5#罐区主要布置在精炼车间西侧；浸出车间以南为豆粕打包车间，精炼车间以南为1#罐区，行政办公楼西侧主要布置2#罐区；3#罐区布置在厂区西部；4#罐区布置在厂区东南部；7#罐区布置在综合楼北侧；68#罐区布置在小包装车间北侧。</w:t>
            </w:r>
          </w:p>
          <w:p w14:paraId="1E39C329">
            <w:pPr>
              <w:adjustRightInd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eastAsia="zh-CN"/>
              </w:rPr>
              <w:t>新增大豆膨化生产线布置在预处理车间，其称量、振动清理、初破、筛分、成品破碎、打包工序产生的颗粒物经收集、</w:t>
            </w:r>
            <w:r>
              <w:rPr>
                <w:rFonts w:hint="eastAsia" w:cs="Times New Roman"/>
                <w:color w:val="auto"/>
                <w:sz w:val="24"/>
                <w:szCs w:val="24"/>
                <w:highlight w:val="none"/>
                <w:lang w:eastAsia="zh-CN"/>
              </w:rPr>
              <w:t>处理后引至</w:t>
            </w:r>
            <w:r>
              <w:rPr>
                <w:rFonts w:hint="eastAsia" w:cs="Times New Roman"/>
                <w:color w:val="auto"/>
                <w:sz w:val="24"/>
                <w:szCs w:val="24"/>
                <w:highlight w:val="none"/>
                <w:lang w:val="en-US" w:eastAsia="zh-CN"/>
              </w:rPr>
              <w:t>1根20m高的DA022排气筒排放；调质、膨化、翻板冷却工序产生的颗粒物经收集、处理</w:t>
            </w:r>
            <w:r>
              <w:rPr>
                <w:rFonts w:hint="eastAsia" w:cs="Times New Roman"/>
                <w:color w:val="auto"/>
                <w:sz w:val="24"/>
                <w:szCs w:val="24"/>
                <w:highlight w:val="none"/>
                <w:lang w:eastAsia="zh-CN"/>
              </w:rPr>
              <w:t>后引至</w:t>
            </w:r>
            <w:r>
              <w:rPr>
                <w:rFonts w:hint="eastAsia" w:cs="Times New Roman"/>
                <w:color w:val="auto"/>
                <w:sz w:val="24"/>
                <w:szCs w:val="24"/>
                <w:highlight w:val="none"/>
                <w:lang w:val="en-US" w:eastAsia="zh-CN"/>
              </w:rPr>
              <w:t>1根20m高的DA023排气筒排放；精炼生产线主线废气治</w:t>
            </w:r>
            <w:r>
              <w:rPr>
                <w:rFonts w:hint="eastAsia" w:cs="Times New Roman"/>
                <w:color w:val="auto"/>
                <w:sz w:val="24"/>
                <w:szCs w:val="24"/>
                <w:lang w:val="en-US" w:eastAsia="zh-CN"/>
              </w:rPr>
              <w:t>理设施保持不变，</w:t>
            </w:r>
            <w:r>
              <w:rPr>
                <w:rFonts w:hint="eastAsia" w:cs="Times New Roman"/>
                <w:color w:val="auto"/>
                <w:sz w:val="24"/>
                <w:szCs w:val="24"/>
                <w:highlight w:val="none"/>
                <w:lang w:val="en-US" w:eastAsia="zh-CN"/>
              </w:rPr>
              <w:t>磷脂分线</w:t>
            </w:r>
            <w:r>
              <w:rPr>
                <w:rFonts w:hint="default" w:ascii="Times New Roman" w:hAnsi="Times New Roman" w:cs="Times New Roman"/>
                <w:color w:val="auto"/>
                <w:lang w:val="en-US" w:eastAsia="zh-CN"/>
              </w:rPr>
              <w:t>薄膜蒸发工序产生的非甲烷总烃经真空捕集后无组织排放</w:t>
            </w:r>
            <w:r>
              <w:rPr>
                <w:rFonts w:hint="eastAsia" w:cs="Times New Roman"/>
                <w:color w:val="auto"/>
                <w:sz w:val="24"/>
                <w:szCs w:val="24"/>
                <w:lang w:val="en-US" w:eastAsia="zh-CN"/>
              </w:rPr>
              <w:t>。污水处理站布置在厂区西北角</w:t>
            </w:r>
            <w:r>
              <w:rPr>
                <w:rFonts w:hint="default" w:ascii="Times New Roman" w:hAnsi="Times New Roman" w:cs="Times New Roman"/>
                <w:color w:val="auto"/>
                <w:sz w:val="24"/>
                <w:szCs w:val="24"/>
              </w:rPr>
              <w:t>，其地势相对较低，便于收集厂区废水，其设置位置合理</w:t>
            </w:r>
            <w:r>
              <w:rPr>
                <w:rFonts w:hint="eastAsia" w:cs="Times New Roman"/>
                <w:color w:val="auto"/>
                <w:sz w:val="24"/>
                <w:szCs w:val="24"/>
                <w:lang w:val="en-US" w:eastAsia="zh-CN"/>
              </w:rPr>
              <w:t>；危险废物贮存库、一般工业固废暂存间布置在厂区东南角，便于固体废物的收集、运输，其位置设置合理。</w:t>
            </w:r>
          </w:p>
          <w:p w14:paraId="2232925A">
            <w:pPr>
              <w:adjustRightInd w:val="0"/>
              <w:snapToGrid w:val="0"/>
              <w:spacing w:line="360" w:lineRule="auto"/>
              <w:ind w:firstLine="480" w:firstLineChars="200"/>
              <w:rPr>
                <w:rFonts w:hint="default" w:eastAsia="宋体"/>
                <w:color w:val="auto"/>
                <w:lang w:val="en-US" w:eastAsia="zh-CN"/>
              </w:rPr>
            </w:pPr>
            <w:r>
              <w:rPr>
                <w:rFonts w:hint="default" w:ascii="Times New Roman" w:hAnsi="Times New Roman" w:cs="Times New Roman"/>
                <w:color w:val="auto"/>
                <w:sz w:val="24"/>
                <w:szCs w:val="24"/>
              </w:rPr>
              <w:t>综上所述，本项目</w:t>
            </w:r>
            <w:r>
              <w:rPr>
                <w:rFonts w:hint="default" w:ascii="Times New Roman" w:hAnsi="Times New Roman" w:cs="Times New Roman"/>
                <w:iCs/>
                <w:color w:val="auto"/>
                <w:sz w:val="24"/>
                <w:szCs w:val="24"/>
              </w:rPr>
              <w:t>总体布局能够满足生产的需要，进、出物料运输便捷，功能分区明确，对外联系方便、总体布局合理</w:t>
            </w:r>
            <w:r>
              <w:rPr>
                <w:rFonts w:hint="eastAsia" w:cs="Times New Roman"/>
                <w:iCs/>
                <w:color w:val="auto"/>
                <w:sz w:val="24"/>
                <w:szCs w:val="24"/>
                <w:lang w:eastAsia="zh-CN"/>
              </w:rPr>
              <w:t>。</w:t>
            </w:r>
          </w:p>
        </w:tc>
      </w:tr>
      <w:tr w14:paraId="6593B760">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2058" w:hRule="atLeast"/>
          <w:jc w:val="center"/>
        </w:trPr>
        <w:tc>
          <w:tcPr>
            <w:tcW w:w="731" w:type="dxa"/>
            <w:tcBorders>
              <w:tl2br w:val="nil"/>
              <w:tr2bl w:val="nil"/>
            </w:tcBorders>
            <w:vAlign w:val="center"/>
          </w:tcPr>
          <w:p w14:paraId="395D420F">
            <w:pPr>
              <w:pStyle w:val="16"/>
              <w:adjustRightInd w:val="0"/>
              <w:snapToGrid w:val="0"/>
              <w:spacing w:before="0" w:beforeAutospacing="0" w:after="0" w:afterAutospacing="0"/>
              <w:ind w:left="0" w:leftChars="0" w:firstLine="0" w:firstLineChars="0"/>
              <w:jc w:val="both"/>
              <w:rPr>
                <w:rFonts w:cs="宋体"/>
                <w:color w:val="auto"/>
                <w:sz w:val="21"/>
                <w:szCs w:val="21"/>
              </w:rPr>
            </w:pPr>
            <w:r>
              <w:rPr>
                <w:rFonts w:hint="eastAsia" w:cs="宋体"/>
                <w:color w:val="auto"/>
                <w:sz w:val="24"/>
                <w:szCs w:val="24"/>
              </w:rPr>
              <w:t>工艺流程和产排污环节</w:t>
            </w:r>
          </w:p>
        </w:tc>
        <w:tc>
          <w:tcPr>
            <w:tcW w:w="8329" w:type="dxa"/>
            <w:tcBorders>
              <w:tl2br w:val="nil"/>
              <w:tr2bl w:val="nil"/>
            </w:tcBorders>
          </w:tcPr>
          <w:p w14:paraId="35553981">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default" w:ascii="Times New Roman" w:hAnsi="Times New Roman" w:cs="Times New Roman"/>
                <w:b/>
                <w:color w:val="auto"/>
                <w:sz w:val="24"/>
                <w:szCs w:val="24"/>
              </w:rPr>
            </w:pPr>
            <w:r>
              <w:rPr>
                <w:rFonts w:hint="eastAsia" w:eastAsia="宋体"/>
                <w:b/>
                <w:color w:val="auto"/>
                <w:sz w:val="24"/>
                <w:szCs w:val="24"/>
                <w:lang w:val="en-US" w:eastAsia="zh-CN"/>
              </w:rPr>
              <w:t>6.</w:t>
            </w:r>
            <w:r>
              <w:rPr>
                <w:b/>
                <w:color w:val="auto"/>
                <w:sz w:val="24"/>
                <w:szCs w:val="24"/>
              </w:rPr>
              <w:t>工</w:t>
            </w:r>
            <w:r>
              <w:rPr>
                <w:rFonts w:hint="default" w:ascii="Times New Roman" w:hAnsi="Times New Roman" w:cs="Times New Roman"/>
                <w:b/>
                <w:color w:val="auto"/>
                <w:sz w:val="24"/>
                <w:szCs w:val="24"/>
              </w:rPr>
              <w:t>艺流程简述（图示）</w:t>
            </w:r>
          </w:p>
          <w:p w14:paraId="0F3DDE2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cs="Times New Roman"/>
                <w:color w:val="auto"/>
                <w:sz w:val="24"/>
                <w:szCs w:val="24"/>
                <w:lang w:val="en-US" w:eastAsia="zh-CN"/>
              </w:rPr>
            </w:pPr>
            <w:r>
              <w:rPr>
                <w:rFonts w:hint="eastAsia" w:ascii="Times New Roman" w:hAnsi="Times New Roman" w:cs="Times New Roman"/>
                <w:color w:val="auto"/>
                <w:sz w:val="24"/>
                <w:szCs w:val="24"/>
                <w:lang w:val="en-US" w:eastAsia="zh-CN"/>
              </w:rPr>
              <w:t>本项目新增1条大豆膨化生产线</w:t>
            </w:r>
            <w:r>
              <w:rPr>
                <w:rFonts w:hint="eastAsia" w:cs="Times New Roman"/>
                <w:color w:val="auto"/>
                <w:sz w:val="24"/>
                <w:szCs w:val="24"/>
                <w:lang w:val="en-US" w:eastAsia="zh-CN"/>
              </w:rPr>
              <w:t>，同时对</w:t>
            </w:r>
            <w:r>
              <w:rPr>
                <w:rFonts w:hint="default" w:ascii="Times New Roman" w:hAnsi="Times New Roman" w:cs="Times New Roman"/>
                <w:color w:val="auto"/>
                <w:kern w:val="0"/>
                <w:sz w:val="24"/>
                <w:szCs w:val="24"/>
                <w:lang w:eastAsia="zh-CN"/>
              </w:rPr>
              <w:t>精炼生产线进行</w:t>
            </w:r>
            <w:r>
              <w:rPr>
                <w:rFonts w:hint="eastAsia" w:cs="Times New Roman"/>
                <w:color w:val="auto"/>
                <w:kern w:val="0"/>
                <w:sz w:val="24"/>
                <w:szCs w:val="24"/>
                <w:lang w:eastAsia="zh-CN"/>
              </w:rPr>
              <w:t>技术</w:t>
            </w:r>
            <w:r>
              <w:rPr>
                <w:rFonts w:hint="default" w:ascii="Times New Roman" w:hAnsi="Times New Roman" w:cs="Times New Roman"/>
                <w:color w:val="auto"/>
                <w:kern w:val="0"/>
                <w:sz w:val="24"/>
                <w:szCs w:val="24"/>
                <w:lang w:eastAsia="zh-CN"/>
              </w:rPr>
              <w:t>改造，</w:t>
            </w:r>
            <w:r>
              <w:rPr>
                <w:rFonts w:hint="eastAsia" w:cs="Times New Roman"/>
                <w:color w:val="auto"/>
                <w:kern w:val="0"/>
                <w:sz w:val="24"/>
                <w:szCs w:val="24"/>
                <w:lang w:eastAsia="zh-CN"/>
              </w:rPr>
              <w:t>精炼线酸化工序前增加</w:t>
            </w:r>
            <w:r>
              <w:rPr>
                <w:rFonts w:hint="eastAsia" w:cs="Times New Roman"/>
                <w:color w:val="auto"/>
                <w:kern w:val="0"/>
                <w:sz w:val="24"/>
                <w:szCs w:val="24"/>
                <w:lang w:val="en-US" w:eastAsia="zh-CN"/>
              </w:rPr>
              <w:t>1条磷脂分线</w:t>
            </w:r>
            <w:r>
              <w:rPr>
                <w:rFonts w:hint="eastAsia" w:cs="Times New Roman"/>
                <w:color w:val="auto"/>
                <w:sz w:val="24"/>
                <w:szCs w:val="24"/>
                <w:lang w:val="en-US" w:eastAsia="zh-CN"/>
              </w:rPr>
              <w:t>，用于浓缩毛油中的磷脂，将其作为副产品外售，精炼线主线生产工艺不发生变化，其大豆膨化生产线、精炼生产线生产工艺流程见表2.2、图2.3。</w:t>
            </w:r>
          </w:p>
          <w:p w14:paraId="314FC046">
            <w:pPr>
              <w:pStyle w:val="4"/>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object>
                <v:shape id="_x0000_i1026" o:spt="75" type="#_x0000_t75" style="height:131pt;width:358pt;" o:ole="t" filled="f" o:preferrelative="t" stroked="f" coordsize="21600,21600">
                  <v:path/>
                  <v:fill on="f" focussize="0,0"/>
                  <v:stroke on="f"/>
                  <v:imagedata r:id="rId13" o:title=""/>
                  <o:lock v:ext="edit" aspectratio="f"/>
                  <w10:wrap type="none"/>
                  <w10:anchorlock/>
                </v:shape>
                <o:OLEObject Type="Embed" ProgID="Visio.Drawing.11" ShapeID="_x0000_i1026" DrawAspect="Content" ObjectID="_1468075726" r:id="rId12">
                  <o:LockedField>false</o:LockedField>
                </o:OLEObject>
              </w:object>
            </w:r>
          </w:p>
          <w:p w14:paraId="02CB144E">
            <w:pPr>
              <w:pStyle w:val="4"/>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图2.</w:t>
            </w: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val="en-US" w:eastAsia="zh-CN"/>
              </w:rPr>
              <w:t xml:space="preserve"> 大豆膨化生产线生产工艺流程图</w:t>
            </w:r>
          </w:p>
          <w:p w14:paraId="433BDA4E">
            <w:pPr>
              <w:keepNext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工艺流程简介：</w:t>
            </w:r>
          </w:p>
          <w:p w14:paraId="4EEF6B2C">
            <w:pPr>
              <w:pStyle w:val="4"/>
              <w:keepNext w:val="0"/>
              <w:keepLines/>
              <w:pageBreakBefore w:val="0"/>
              <w:widowControl w:val="0"/>
              <w:kinsoku/>
              <w:wordWrap/>
              <w:overflowPunct/>
              <w:topLinePunct w:val="0"/>
              <w:autoSpaceDE/>
              <w:autoSpaceDN/>
              <w:bidi w:val="0"/>
              <w:adjustRightInd/>
              <w:snapToGrid/>
              <w:ind w:firstLine="480" w:firstLineChars="200"/>
              <w:textAlignment w:val="auto"/>
              <w:rPr>
                <w:rFonts w:hint="default"/>
                <w:b w:val="0"/>
                <w:bCs w:val="0"/>
                <w:color w:val="auto"/>
                <w:lang w:val="en-US" w:eastAsia="zh-CN"/>
              </w:rPr>
            </w:pPr>
            <w:r>
              <w:rPr>
                <w:rFonts w:hint="eastAsia" w:ascii="Times New Roman" w:hAnsi="Times New Roman" w:cs="Times New Roman"/>
                <w:b w:val="0"/>
                <w:bCs w:val="0"/>
                <w:color w:val="auto"/>
                <w:sz w:val="24"/>
                <w:szCs w:val="24"/>
                <w:lang w:val="en-US" w:eastAsia="zh-CN"/>
              </w:rPr>
              <w:t>称量：</w:t>
            </w:r>
            <w:r>
              <w:rPr>
                <w:rFonts w:hint="default" w:ascii="Times New Roman" w:hAnsi="Times New Roman" w:eastAsia="宋体" w:cs="Times New Roman"/>
                <w:b w:val="0"/>
                <w:bCs w:val="0"/>
                <w:color w:val="auto"/>
                <w:sz w:val="24"/>
                <w:szCs w:val="24"/>
              </w:rPr>
              <w:t>大豆</w:t>
            </w:r>
            <w:r>
              <w:rPr>
                <w:rFonts w:hint="default" w:ascii="Times New Roman" w:hAnsi="Times New Roman" w:eastAsia="宋体" w:cs="Times New Roman"/>
                <w:b w:val="0"/>
                <w:bCs w:val="0"/>
                <w:color w:val="auto"/>
                <w:sz w:val="24"/>
                <w:szCs w:val="24"/>
                <w:lang w:eastAsia="zh-CN"/>
              </w:rPr>
              <w:t>使用刮板运输机由大豆</w:t>
            </w:r>
            <w:r>
              <w:rPr>
                <w:rFonts w:hint="eastAsia" w:ascii="Times New Roman" w:hAnsi="Times New Roman" w:cs="Times New Roman"/>
                <w:b w:val="0"/>
                <w:bCs w:val="0"/>
                <w:color w:val="auto"/>
                <w:sz w:val="24"/>
                <w:szCs w:val="24"/>
                <w:lang w:eastAsia="zh-CN"/>
              </w:rPr>
              <w:t>筒</w:t>
            </w:r>
            <w:r>
              <w:rPr>
                <w:rFonts w:hint="default" w:ascii="Times New Roman" w:hAnsi="Times New Roman" w:eastAsia="宋体" w:cs="Times New Roman"/>
                <w:b w:val="0"/>
                <w:bCs w:val="0"/>
                <w:color w:val="auto"/>
                <w:sz w:val="24"/>
                <w:szCs w:val="24"/>
                <w:lang w:eastAsia="zh-CN"/>
              </w:rPr>
              <w:t>仓输送至</w:t>
            </w:r>
            <w:r>
              <w:rPr>
                <w:rFonts w:hint="eastAsia" w:ascii="Times New Roman" w:hAnsi="Times New Roman" w:cs="Times New Roman"/>
                <w:b w:val="0"/>
                <w:bCs w:val="0"/>
                <w:color w:val="auto"/>
                <w:sz w:val="24"/>
                <w:szCs w:val="24"/>
                <w:lang w:eastAsia="zh-CN"/>
              </w:rPr>
              <w:t>大豆膨化生产线的大豆缓存仓内暂存，然后大豆经缓存仓下端出料至</w:t>
            </w:r>
            <w:r>
              <w:rPr>
                <w:rFonts w:hint="default" w:ascii="Times New Roman" w:hAnsi="Times New Roman" w:eastAsia="宋体" w:cs="Times New Roman"/>
                <w:b w:val="0"/>
                <w:bCs w:val="0"/>
                <w:color w:val="auto"/>
                <w:sz w:val="24"/>
                <w:szCs w:val="24"/>
                <w:lang w:eastAsia="zh-CN"/>
              </w:rPr>
              <w:t>散粮秤处</w:t>
            </w:r>
            <w:r>
              <w:rPr>
                <w:rFonts w:hint="default" w:ascii="Times New Roman" w:hAnsi="Times New Roman" w:eastAsia="宋体" w:cs="Times New Roman"/>
                <w:b w:val="0"/>
                <w:bCs w:val="0"/>
                <w:color w:val="auto"/>
                <w:sz w:val="24"/>
                <w:szCs w:val="24"/>
              </w:rPr>
              <w:t>称量</w:t>
            </w:r>
            <w:r>
              <w:rPr>
                <w:rFonts w:hint="eastAsia" w:ascii="Times New Roman" w:hAnsi="Times New Roman" w:cs="Times New Roman"/>
                <w:b w:val="0"/>
                <w:bCs w:val="0"/>
                <w:color w:val="auto"/>
                <w:sz w:val="24"/>
                <w:szCs w:val="24"/>
                <w:lang w:eastAsia="zh-CN"/>
              </w:rPr>
              <w:t>、计量</w:t>
            </w:r>
            <w:r>
              <w:rPr>
                <w:rFonts w:hint="default" w:ascii="Times New Roman" w:hAnsi="Times New Roman" w:eastAsia="宋体" w:cs="Times New Roman"/>
                <w:b w:val="0"/>
                <w:bCs w:val="0"/>
                <w:color w:val="auto"/>
                <w:sz w:val="24"/>
                <w:szCs w:val="24"/>
                <w:lang w:eastAsia="zh-CN"/>
              </w:rPr>
              <w:t>，</w:t>
            </w:r>
            <w:r>
              <w:rPr>
                <w:rFonts w:hint="eastAsia" w:ascii="Times New Roman" w:hAnsi="Times New Roman" w:cs="Times New Roman"/>
                <w:b w:val="0"/>
                <w:bCs w:val="0"/>
                <w:color w:val="auto"/>
                <w:sz w:val="24"/>
                <w:szCs w:val="24"/>
                <w:lang w:eastAsia="zh-CN"/>
              </w:rPr>
              <w:t>此环节将产生颗粒物</w:t>
            </w:r>
            <w:r>
              <w:rPr>
                <w:rFonts w:hint="eastAsia" w:ascii="Times New Roman" w:hAnsi="Times New Roman" w:cs="Times New Roman"/>
                <w:b w:val="0"/>
                <w:bCs w:val="0"/>
                <w:color w:val="auto"/>
                <w:sz w:val="24"/>
                <w:szCs w:val="24"/>
                <w:lang w:val="en-US" w:eastAsia="zh-CN"/>
              </w:rPr>
              <w:t>G25。</w:t>
            </w:r>
          </w:p>
          <w:p w14:paraId="542171D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default" w:ascii="Times New Roman" w:hAnsi="Times New Roman" w:eastAsia="宋体" w:cs="Times New Roman"/>
                <w:b w:val="0"/>
                <w:bCs w:val="0"/>
                <w:color w:val="auto"/>
                <w:sz w:val="24"/>
                <w:szCs w:val="24"/>
                <w:lang w:val="en-US" w:eastAsia="zh-CN"/>
              </w:rPr>
            </w:pPr>
            <w:r>
              <w:rPr>
                <w:rFonts w:hint="eastAsia"/>
                <w:color w:val="auto"/>
                <w:sz w:val="24"/>
                <w:szCs w:val="24"/>
                <w:lang w:val="en-US" w:eastAsia="zh-CN"/>
              </w:rPr>
              <w:t>振</w:t>
            </w:r>
            <w:r>
              <w:rPr>
                <w:rFonts w:hint="default" w:ascii="Times New Roman" w:hAnsi="Times New Roman" w:eastAsia="宋体" w:cs="Times New Roman"/>
                <w:b w:val="0"/>
                <w:bCs w:val="0"/>
                <w:color w:val="auto"/>
                <w:sz w:val="24"/>
                <w:szCs w:val="24"/>
                <w:lang w:val="en-US" w:eastAsia="zh-CN"/>
              </w:rPr>
              <w:t>动清理：</w:t>
            </w:r>
            <w:r>
              <w:rPr>
                <w:rFonts w:hint="eastAsia" w:cs="Times New Roman"/>
                <w:b w:val="0"/>
                <w:bCs w:val="0"/>
                <w:color w:val="auto"/>
                <w:sz w:val="24"/>
                <w:szCs w:val="24"/>
                <w:lang w:val="en-US" w:eastAsia="zh-CN"/>
              </w:rPr>
              <w:t>大豆经称重计量后进入</w:t>
            </w:r>
            <w:r>
              <w:rPr>
                <w:rFonts w:hint="default" w:ascii="Times New Roman" w:hAnsi="Times New Roman" w:eastAsia="宋体" w:cs="Times New Roman"/>
                <w:b w:val="0"/>
                <w:bCs w:val="0"/>
                <w:color w:val="auto"/>
                <w:sz w:val="24"/>
                <w:szCs w:val="24"/>
                <w:lang w:val="en-US" w:eastAsia="zh-CN"/>
              </w:rPr>
              <w:t>振动清理工序，其主要目的是去除大豆中的杂质。</w:t>
            </w:r>
            <w:r>
              <w:rPr>
                <w:rFonts w:hint="default" w:ascii="Times New Roman" w:hAnsi="Times New Roman" w:eastAsia="宋体" w:cs="Times New Roman"/>
                <w:b w:val="0"/>
                <w:bCs w:val="0"/>
                <w:color w:val="auto"/>
                <w:sz w:val="24"/>
                <w:szCs w:val="24"/>
              </w:rPr>
              <w:t>大豆</w:t>
            </w:r>
            <w:r>
              <w:rPr>
                <w:rFonts w:hint="default" w:ascii="Times New Roman" w:hAnsi="Times New Roman" w:eastAsia="宋体" w:cs="Times New Roman"/>
                <w:b w:val="0"/>
                <w:bCs w:val="0"/>
                <w:color w:val="auto"/>
                <w:sz w:val="24"/>
                <w:szCs w:val="24"/>
                <w:lang w:eastAsia="zh-CN"/>
              </w:rPr>
              <w:t>使用刮板运输机</w:t>
            </w:r>
            <w:r>
              <w:rPr>
                <w:rFonts w:hint="eastAsia" w:cs="Times New Roman"/>
                <w:b w:val="0"/>
                <w:bCs w:val="0"/>
                <w:color w:val="auto"/>
                <w:sz w:val="24"/>
                <w:szCs w:val="24"/>
                <w:lang w:eastAsia="zh-CN"/>
              </w:rPr>
              <w:t>输送</w:t>
            </w:r>
            <w:r>
              <w:rPr>
                <w:rFonts w:hint="default" w:ascii="Times New Roman" w:hAnsi="Times New Roman" w:eastAsia="宋体" w:cs="Times New Roman"/>
                <w:b w:val="0"/>
                <w:bCs w:val="0"/>
                <w:color w:val="auto"/>
                <w:sz w:val="24"/>
                <w:szCs w:val="24"/>
                <w:lang w:eastAsia="zh-CN"/>
              </w:rPr>
              <w:t>进入分级筛，分级筛振动将大豆中混杂的豆梗等杂质等分离出来，此环节将产生颗粒物</w:t>
            </w:r>
            <w:r>
              <w:rPr>
                <w:rFonts w:hint="default" w:ascii="Times New Roman" w:hAnsi="Times New Roman" w:eastAsia="宋体" w:cs="Times New Roman"/>
                <w:b w:val="0"/>
                <w:bCs w:val="0"/>
                <w:color w:val="auto"/>
                <w:sz w:val="24"/>
                <w:szCs w:val="24"/>
                <w:lang w:val="en-US" w:eastAsia="zh-CN"/>
              </w:rPr>
              <w:t>G2</w:t>
            </w:r>
            <w:r>
              <w:rPr>
                <w:rFonts w:hint="eastAsia"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lang w:eastAsia="zh-CN"/>
              </w:rPr>
              <w:t>、豆梗等杂质</w:t>
            </w:r>
            <w:r>
              <w:rPr>
                <w:rFonts w:hint="default" w:ascii="Times New Roman" w:hAnsi="Times New Roman" w:eastAsia="宋体" w:cs="Times New Roman"/>
                <w:b w:val="0"/>
                <w:bCs w:val="0"/>
                <w:color w:val="auto"/>
                <w:sz w:val="24"/>
                <w:szCs w:val="24"/>
                <w:lang w:val="en-US" w:eastAsia="zh-CN"/>
              </w:rPr>
              <w:t>S</w:t>
            </w:r>
            <w:r>
              <w:rPr>
                <w:rFonts w:hint="eastAsia"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eastAsia="zh-CN"/>
              </w:rPr>
              <w:t>。</w:t>
            </w:r>
          </w:p>
          <w:p w14:paraId="3EB63155">
            <w:pPr>
              <w:pStyle w:val="4"/>
              <w:keepNext w:val="0"/>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sz w:val="24"/>
                <w:szCs w:val="24"/>
                <w:lang w:val="en-US" w:eastAsia="zh-CN"/>
              </w:rPr>
              <w:t>初破：大豆经振动清理后，</w:t>
            </w:r>
            <w:r>
              <w:rPr>
                <w:rFonts w:hint="default" w:ascii="Times New Roman" w:hAnsi="Times New Roman" w:eastAsia="宋体" w:cs="Times New Roman"/>
                <w:b w:val="0"/>
                <w:bCs w:val="0"/>
                <w:color w:val="auto"/>
                <w:kern w:val="2"/>
                <w:sz w:val="24"/>
                <w:szCs w:val="24"/>
                <w:lang w:val="en-US" w:bidi="ar-SA"/>
              </w:rPr>
              <w:t>经刮板输送机输送至破碎</w:t>
            </w:r>
            <w:r>
              <w:rPr>
                <w:rFonts w:hint="eastAsia" w:ascii="Times New Roman" w:hAnsi="Times New Roman" w:cs="Times New Roman"/>
                <w:b w:val="0"/>
                <w:bCs w:val="0"/>
                <w:color w:val="auto"/>
                <w:kern w:val="2"/>
                <w:sz w:val="24"/>
                <w:szCs w:val="24"/>
                <w:lang w:val="en-US" w:eastAsia="zh-CN" w:bidi="ar-SA"/>
              </w:rPr>
              <w:t>机</w:t>
            </w:r>
            <w:r>
              <w:rPr>
                <w:rFonts w:hint="default" w:ascii="Times New Roman" w:hAnsi="Times New Roman" w:eastAsia="宋体" w:cs="Times New Roman"/>
                <w:b w:val="0"/>
                <w:bCs w:val="0"/>
                <w:color w:val="auto"/>
                <w:kern w:val="2"/>
                <w:sz w:val="24"/>
                <w:szCs w:val="24"/>
                <w:lang w:val="en-US" w:bidi="ar-SA"/>
              </w:rPr>
              <w:t>，</w:t>
            </w:r>
            <w:r>
              <w:rPr>
                <w:rFonts w:hint="default" w:ascii="Times New Roman" w:hAnsi="Times New Roman" w:cs="Times New Roman"/>
                <w:b w:val="0"/>
                <w:bCs w:val="0"/>
                <w:color w:val="auto"/>
                <w:kern w:val="2"/>
                <w:sz w:val="24"/>
                <w:szCs w:val="24"/>
                <w:lang w:val="en-US" w:eastAsia="zh-CN" w:bidi="ar-SA"/>
              </w:rPr>
              <w:t>首先采用</w:t>
            </w:r>
            <w:r>
              <w:rPr>
                <w:rFonts w:hint="default" w:ascii="Times New Roman" w:hAnsi="Times New Roman" w:eastAsia="宋体" w:cs="Times New Roman"/>
                <w:b w:val="0"/>
                <w:bCs w:val="0"/>
                <w:color w:val="auto"/>
                <w:kern w:val="2"/>
                <w:sz w:val="24"/>
                <w:szCs w:val="24"/>
                <w:lang w:val="en-US" w:bidi="ar-SA"/>
              </w:rPr>
              <w:t>2层对辊式破碎机</w:t>
            </w:r>
            <w:r>
              <w:rPr>
                <w:rFonts w:hint="default" w:ascii="Times New Roman" w:hAnsi="Times New Roman" w:cs="Times New Roman"/>
                <w:b w:val="0"/>
                <w:bCs w:val="0"/>
                <w:color w:val="auto"/>
                <w:kern w:val="2"/>
                <w:sz w:val="24"/>
                <w:szCs w:val="24"/>
                <w:lang w:val="en-US" w:eastAsia="zh-CN" w:bidi="ar-SA"/>
              </w:rPr>
              <w:t>对大豆</w:t>
            </w:r>
            <w:r>
              <w:rPr>
                <w:rFonts w:hint="default" w:ascii="Times New Roman" w:hAnsi="Times New Roman" w:eastAsia="宋体" w:cs="Times New Roman"/>
                <w:b w:val="0"/>
                <w:bCs w:val="0"/>
                <w:color w:val="auto"/>
                <w:kern w:val="2"/>
                <w:sz w:val="24"/>
                <w:szCs w:val="24"/>
                <w:lang w:val="en-US" w:bidi="ar-SA"/>
              </w:rPr>
              <w:t>破碎，辊式破碎机</w:t>
            </w:r>
            <w:r>
              <w:rPr>
                <w:rFonts w:hint="default" w:ascii="Times New Roman" w:hAnsi="Times New Roman" w:eastAsia="宋体" w:cs="Times New Roman"/>
                <w:b w:val="0"/>
                <w:bCs w:val="0"/>
                <w:color w:val="auto"/>
                <w:kern w:val="2"/>
                <w:sz w:val="24"/>
                <w:szCs w:val="24"/>
                <w:lang w:val="en-US" w:eastAsia="zh-CN" w:bidi="ar-SA"/>
              </w:rPr>
              <w:t>的前</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相向转动，大豆从前</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之前的缝隙进入，大豆被前</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挤</w:t>
            </w:r>
            <w:r>
              <w:rPr>
                <w:rFonts w:hint="eastAsia" w:ascii="Times New Roman" w:hAnsi="Times New Roman" w:cs="Times New Roman"/>
                <w:b w:val="0"/>
                <w:bCs w:val="0"/>
                <w:color w:val="auto"/>
                <w:kern w:val="2"/>
                <w:sz w:val="24"/>
                <w:szCs w:val="24"/>
                <w:lang w:val="en-US" w:eastAsia="zh-CN" w:bidi="ar-SA"/>
              </w:rPr>
              <w:t>拉</w:t>
            </w:r>
            <w:r>
              <w:rPr>
                <w:rFonts w:hint="default" w:ascii="Times New Roman" w:hAnsi="Times New Roman" w:eastAsia="宋体" w:cs="Times New Roman"/>
                <w:b w:val="0"/>
                <w:bCs w:val="0"/>
                <w:color w:val="auto"/>
                <w:kern w:val="2"/>
                <w:sz w:val="24"/>
                <w:szCs w:val="24"/>
                <w:lang w:val="en-US" w:eastAsia="zh-CN" w:bidi="ar-SA"/>
              </w:rPr>
              <w:t>从而完成破碎</w:t>
            </w:r>
            <w:r>
              <w:rPr>
                <w:rFonts w:hint="eastAsia" w:ascii="Times New Roman" w:hAnsi="Times New Roman" w:eastAsia="宋体" w:cs="Times New Roman"/>
                <w:b w:val="0"/>
                <w:bCs w:val="0"/>
                <w:color w:val="auto"/>
                <w:kern w:val="2"/>
                <w:sz w:val="24"/>
                <w:szCs w:val="24"/>
                <w:lang w:val="en-US" w:eastAsia="zh-CN" w:bidi="ar-SA"/>
              </w:rPr>
              <w:t>；</w:t>
            </w:r>
            <w:r>
              <w:rPr>
                <w:rFonts w:hint="default" w:ascii="Times New Roman" w:hAnsi="Times New Roman" w:eastAsia="宋体" w:cs="Times New Roman"/>
                <w:b w:val="0"/>
                <w:bCs w:val="0"/>
                <w:color w:val="auto"/>
                <w:kern w:val="2"/>
                <w:sz w:val="24"/>
                <w:szCs w:val="24"/>
                <w:lang w:val="en-US" w:eastAsia="zh-CN" w:bidi="ar-SA"/>
              </w:rPr>
              <w:t>破碎后的物料</w:t>
            </w:r>
            <w:r>
              <w:rPr>
                <w:rFonts w:hint="eastAsia" w:ascii="Times New Roman" w:hAnsi="Times New Roman" w:eastAsia="宋体" w:cs="Times New Roman"/>
                <w:b w:val="0"/>
                <w:bCs w:val="0"/>
                <w:color w:val="auto"/>
                <w:kern w:val="2"/>
                <w:sz w:val="24"/>
                <w:szCs w:val="24"/>
                <w:lang w:val="en-US" w:eastAsia="zh-CN" w:bidi="ar-SA"/>
              </w:rPr>
              <w:t>加入到</w:t>
            </w:r>
            <w:r>
              <w:rPr>
                <w:rFonts w:hint="eastAsia" w:cs="Times New Roman"/>
                <w:b w:val="0"/>
                <w:bCs w:val="0"/>
                <w:color w:val="auto"/>
                <w:kern w:val="0"/>
                <w:sz w:val="24"/>
                <w:szCs w:val="24"/>
                <w:lang w:eastAsia="zh-CN"/>
              </w:rPr>
              <w:t>锤片式</w:t>
            </w:r>
            <w:r>
              <w:rPr>
                <w:rFonts w:hint="eastAsia" w:ascii="Times New Roman" w:hAnsi="Times New Roman" w:eastAsia="宋体" w:cs="Times New Roman"/>
                <w:b w:val="0"/>
                <w:bCs w:val="0"/>
                <w:color w:val="auto"/>
                <w:kern w:val="2"/>
                <w:sz w:val="24"/>
                <w:szCs w:val="24"/>
                <w:lang w:val="en-US" w:eastAsia="zh-CN" w:bidi="ar-SA"/>
              </w:rPr>
              <w:t>粉碎机中，物料在锤片与筛片的间隙中，</w:t>
            </w:r>
            <w:r>
              <w:rPr>
                <w:rFonts w:hint="eastAsia" w:cs="Times New Roman"/>
                <w:b w:val="0"/>
                <w:bCs w:val="0"/>
                <w:color w:val="auto"/>
                <w:kern w:val="0"/>
                <w:sz w:val="24"/>
                <w:szCs w:val="24"/>
                <w:lang w:eastAsia="zh-CN"/>
              </w:rPr>
              <w:t>锤片式</w:t>
            </w:r>
            <w:r>
              <w:rPr>
                <w:rFonts w:hint="eastAsia" w:ascii="Times New Roman" w:hAnsi="Times New Roman" w:eastAsia="宋体" w:cs="Times New Roman"/>
                <w:b w:val="0"/>
                <w:bCs w:val="0"/>
                <w:color w:val="auto"/>
                <w:kern w:val="2"/>
                <w:sz w:val="24"/>
                <w:szCs w:val="24"/>
                <w:lang w:val="en-US" w:eastAsia="zh-CN" w:bidi="ar-SA"/>
              </w:rPr>
              <w:t>粉碎机的锤片高速旋转对物料进行挤压、粉碎，物料在锤片运动的圆形轨迹的切线方向撞击筛片，粒径合格的物料穿过筛片，粒径不合格的物料被弹回再受锤片打击，从而达到粉碎的目的，</w:t>
            </w:r>
            <w:r>
              <w:rPr>
                <w:rFonts w:hint="eastAsia" w:ascii="Times New Roman" w:hAnsi="Times New Roman" w:eastAsia="宋体" w:cs="Times New Roman"/>
                <w:b w:val="0"/>
                <w:bCs w:val="0"/>
                <w:color w:val="auto"/>
                <w:sz w:val="24"/>
                <w:szCs w:val="24"/>
                <w:lang w:eastAsia="zh-CN"/>
              </w:rPr>
              <w:t>此环节将产生颗粒物</w:t>
            </w:r>
            <w:r>
              <w:rPr>
                <w:rFonts w:hint="eastAsia" w:ascii="Times New Roman" w:hAnsi="Times New Roman" w:eastAsia="宋体" w:cs="Times New Roman"/>
                <w:b w:val="0"/>
                <w:bCs w:val="0"/>
                <w:color w:val="auto"/>
                <w:sz w:val="24"/>
                <w:szCs w:val="24"/>
                <w:lang w:val="en-US" w:eastAsia="zh-CN"/>
              </w:rPr>
              <w:t>G2</w:t>
            </w:r>
            <w:r>
              <w:rPr>
                <w:rFonts w:hint="eastAsia" w:ascii="Times New Roman" w:hAnsi="Times New Roman" w:cs="Times New Roman"/>
                <w:b w:val="0"/>
                <w:bCs w:val="0"/>
                <w:color w:val="auto"/>
                <w:sz w:val="24"/>
                <w:szCs w:val="24"/>
                <w:lang w:val="en-US" w:eastAsia="zh-CN"/>
              </w:rPr>
              <w:t>7</w:t>
            </w:r>
            <w:r>
              <w:rPr>
                <w:rFonts w:hint="eastAsia" w:ascii="Times New Roman" w:hAnsi="Times New Roman" w:eastAsia="宋体" w:cs="Times New Roman"/>
                <w:b w:val="0"/>
                <w:bCs w:val="0"/>
                <w:color w:val="auto"/>
                <w:sz w:val="24"/>
                <w:szCs w:val="24"/>
                <w:lang w:val="en-US" w:eastAsia="zh-CN"/>
              </w:rPr>
              <w:t>。</w:t>
            </w:r>
          </w:p>
          <w:p w14:paraId="7E0B8858">
            <w:pPr>
              <w:keepNext w:val="0"/>
              <w:keepLines w:val="0"/>
              <w:pageBreakBefore w:val="0"/>
              <w:widowControl w:val="0"/>
              <w:kinsoku/>
              <w:wordWrap/>
              <w:overflowPunct/>
              <w:topLinePunct w:val="0"/>
              <w:autoSpaceDE/>
              <w:autoSpaceDN/>
              <w:bidi w:val="0"/>
              <w:adjustRightInd/>
              <w:snapToGrid w:val="0"/>
              <w:spacing w:beforeLines="0" w:line="360" w:lineRule="auto"/>
              <w:ind w:firstLine="480" w:firstLineChars="200"/>
              <w:textAlignment w:val="auto"/>
              <w:outlineLvl w:val="9"/>
              <w:rPr>
                <w:rFonts w:hint="default" w:cs="Times New Roman"/>
                <w:color w:val="auto"/>
                <w:spacing w:val="-4"/>
                <w:sz w:val="24"/>
                <w:szCs w:val="24"/>
                <w:lang w:val="en-US" w:eastAsia="zh-CN"/>
              </w:rPr>
            </w:pPr>
            <w:r>
              <w:rPr>
                <w:rFonts w:hint="eastAsia" w:ascii="Times New Roman" w:hAnsi="Times New Roman" w:cs="Times New Roman"/>
                <w:color w:val="auto"/>
                <w:sz w:val="24"/>
                <w:szCs w:val="24"/>
                <w:lang w:val="en-US" w:eastAsia="zh-CN"/>
              </w:rPr>
              <w:t>筛分：大豆</w:t>
            </w:r>
            <w:r>
              <w:rPr>
                <w:rFonts w:hint="default" w:ascii="Times New Roman" w:hAnsi="Times New Roman" w:eastAsia="宋体" w:cs="Times New Roman"/>
                <w:b w:val="0"/>
                <w:bCs w:val="0"/>
                <w:color w:val="auto"/>
                <w:sz w:val="24"/>
                <w:szCs w:val="24"/>
                <w:lang w:val="en-US" w:eastAsia="zh-CN"/>
              </w:rPr>
              <w:t>初</w:t>
            </w:r>
            <w:r>
              <w:rPr>
                <w:rFonts w:hint="eastAsia" w:ascii="Times New Roman" w:hAnsi="Times New Roman" w:cs="Times New Roman"/>
                <w:color w:val="auto"/>
                <w:sz w:val="24"/>
                <w:szCs w:val="24"/>
                <w:lang w:val="en-US" w:eastAsia="zh-CN"/>
              </w:rPr>
              <w:t>破完成后通过</w:t>
            </w:r>
            <w:r>
              <w:rPr>
                <w:rFonts w:hint="default" w:ascii="Times New Roman" w:hAnsi="Times New Roman" w:eastAsia="宋体" w:cs="Times New Roman"/>
                <w:b w:val="0"/>
                <w:bCs w:val="0"/>
                <w:color w:val="auto"/>
                <w:kern w:val="2"/>
                <w:sz w:val="24"/>
                <w:szCs w:val="24"/>
                <w:lang w:val="en-US" w:bidi="ar-SA"/>
              </w:rPr>
              <w:t>刮板输送机</w:t>
            </w:r>
            <w:r>
              <w:rPr>
                <w:rFonts w:hint="eastAsia" w:cs="Times New Roman"/>
                <w:b w:val="0"/>
                <w:bCs w:val="0"/>
                <w:color w:val="auto"/>
                <w:kern w:val="2"/>
                <w:sz w:val="24"/>
                <w:szCs w:val="24"/>
                <w:lang w:val="en-US" w:eastAsia="zh-CN" w:bidi="ar-SA"/>
              </w:rPr>
              <w:t>输送至分级筛中，</w:t>
            </w:r>
            <w:r>
              <w:rPr>
                <w:rFonts w:hint="eastAsia" w:cs="Times New Roman"/>
                <w:color w:val="auto"/>
                <w:spacing w:val="-4"/>
                <w:sz w:val="24"/>
                <w:szCs w:val="24"/>
                <w:lang w:eastAsia="zh-CN"/>
              </w:rPr>
              <w:t>分级筛振动将物料中的粗料与细料进行分类，粗料再刮板输送机返回至初破工序重新破碎，细料则通过刮板</w:t>
            </w:r>
            <w:r>
              <w:rPr>
                <w:rFonts w:hint="eastAsia" w:cs="Times New Roman"/>
                <w:color w:val="auto"/>
                <w:spacing w:val="-4"/>
                <w:sz w:val="24"/>
                <w:szCs w:val="24"/>
                <w:lang w:val="en-US" w:eastAsia="zh-CN"/>
              </w:rPr>
              <w:t>8</w:t>
            </w:r>
            <w:r>
              <w:rPr>
                <w:rFonts w:hint="eastAsia" w:cs="Times New Roman"/>
                <w:color w:val="auto"/>
                <w:spacing w:val="-4"/>
                <w:sz w:val="24"/>
                <w:szCs w:val="24"/>
                <w:lang w:eastAsia="zh-CN"/>
              </w:rPr>
              <w:t>运输机输送至膨化工序，此环节将产生颗粒物</w:t>
            </w:r>
            <w:r>
              <w:rPr>
                <w:rFonts w:hint="eastAsia" w:cs="Times New Roman"/>
                <w:color w:val="auto"/>
                <w:spacing w:val="-4"/>
                <w:sz w:val="24"/>
                <w:szCs w:val="24"/>
                <w:lang w:val="en-US" w:eastAsia="zh-CN"/>
              </w:rPr>
              <w:t>G28。</w:t>
            </w:r>
          </w:p>
          <w:p w14:paraId="4FB7292B">
            <w:pPr>
              <w:widowControl w:val="0"/>
              <w:adjustRightInd/>
              <w:snapToGrid/>
              <w:spacing w:after="0" w:line="360" w:lineRule="auto"/>
              <w:ind w:firstLine="464" w:firstLineChars="200"/>
              <w:jc w:val="both"/>
              <w:rPr>
                <w:rFonts w:ascii="Times New Roman" w:hAnsi="Times New Roman" w:eastAsia="宋体"/>
                <w:bCs/>
                <w:color w:val="auto"/>
                <w:kern w:val="2"/>
                <w:sz w:val="24"/>
                <w:szCs w:val="24"/>
              </w:rPr>
            </w:pPr>
            <w:r>
              <w:rPr>
                <w:rFonts w:hint="eastAsia" w:ascii="Times New Roman" w:hAnsi="Times New Roman" w:eastAsia="宋体" w:cs="Times New Roman"/>
                <w:color w:val="auto"/>
                <w:spacing w:val="-4"/>
                <w:sz w:val="24"/>
                <w:szCs w:val="24"/>
                <w:lang w:eastAsia="zh-CN"/>
              </w:rPr>
              <w:t>调质：</w:t>
            </w:r>
            <w:r>
              <w:rPr>
                <w:rFonts w:hint="default" w:ascii="Times New Roman" w:hAnsi="Times New Roman" w:eastAsia="宋体" w:cs="Times New Roman"/>
                <w:color w:val="auto"/>
                <w:spacing w:val="-4"/>
                <w:sz w:val="24"/>
                <w:szCs w:val="24"/>
                <w:lang w:eastAsia="zh-CN"/>
              </w:rPr>
              <w:t>大豆经破碎、筛分后</w:t>
            </w:r>
            <w:r>
              <w:rPr>
                <w:rFonts w:hint="default" w:ascii="Times New Roman" w:hAnsi="Times New Roman" w:eastAsia="宋体" w:cs="Times New Roman"/>
                <w:color w:val="auto"/>
                <w:kern w:val="2"/>
                <w:sz w:val="24"/>
                <w:szCs w:val="24"/>
                <w:lang w:val="en-US" w:bidi="ar-SA"/>
              </w:rPr>
              <w:t>料经斗式提升机、喂料器</w:t>
            </w:r>
            <w:r>
              <w:rPr>
                <w:rFonts w:hint="eastAsia" w:ascii="Times New Roman" w:hAnsi="Times New Roman" w:eastAsia="宋体" w:cs="Times New Roman"/>
                <w:color w:val="auto"/>
                <w:kern w:val="2"/>
                <w:sz w:val="24"/>
                <w:szCs w:val="24"/>
                <w:lang w:val="en-US" w:eastAsia="zh-CN" w:bidi="ar-SA"/>
              </w:rPr>
              <w:t>加入到调制器内，</w:t>
            </w:r>
            <w:r>
              <w:rPr>
                <w:rFonts w:hint="eastAsia" w:ascii="Times New Roman" w:hAnsi="Times New Roman"/>
                <w:bCs/>
                <w:color w:val="auto"/>
                <w:kern w:val="2"/>
                <w:sz w:val="24"/>
                <w:szCs w:val="24"/>
                <w:lang w:eastAsia="zh-CN"/>
              </w:rPr>
              <w:t>再使用</w:t>
            </w:r>
            <w:r>
              <w:rPr>
                <w:rFonts w:ascii="Times New Roman" w:hAnsi="Times New Roman" w:eastAsia="宋体"/>
                <w:bCs/>
                <w:color w:val="auto"/>
                <w:kern w:val="2"/>
                <w:sz w:val="24"/>
                <w:szCs w:val="24"/>
              </w:rPr>
              <w:t>蒸汽将</w:t>
            </w:r>
            <w:r>
              <w:rPr>
                <w:rFonts w:hint="eastAsia" w:ascii="Times New Roman" w:hAnsi="Times New Roman"/>
                <w:bCs/>
                <w:color w:val="auto"/>
                <w:kern w:val="2"/>
                <w:sz w:val="24"/>
                <w:szCs w:val="24"/>
                <w:lang w:eastAsia="zh-CN"/>
              </w:rPr>
              <w:t>物料加热到</w:t>
            </w:r>
            <w:r>
              <w:rPr>
                <w:rFonts w:hint="eastAsia"/>
                <w:bCs/>
                <w:color w:val="auto"/>
                <w:kern w:val="2"/>
                <w:sz w:val="24"/>
                <w:szCs w:val="24"/>
                <w:lang w:val="en-US" w:eastAsia="zh-CN"/>
              </w:rPr>
              <w:t>68</w:t>
            </w:r>
            <w:r>
              <w:rPr>
                <w:rFonts w:hint="eastAsia" w:ascii="Times New Roman" w:hAnsi="Times New Roman"/>
                <w:bCs/>
                <w:color w:val="auto"/>
                <w:kern w:val="2"/>
                <w:sz w:val="24"/>
                <w:szCs w:val="24"/>
                <w:lang w:val="en-US" w:eastAsia="zh-CN"/>
              </w:rPr>
              <w:t>℃使其熟化，本环节蒸汽由园区供汽管网提供，蒸汽用量为</w:t>
            </w:r>
            <w:r>
              <w:rPr>
                <w:rFonts w:hint="eastAsia"/>
                <w:bCs/>
                <w:color w:val="auto"/>
                <w:kern w:val="2"/>
                <w:sz w:val="24"/>
                <w:szCs w:val="24"/>
                <w:lang w:val="en-US" w:eastAsia="zh-CN"/>
              </w:rPr>
              <w:t>0.7</w:t>
            </w:r>
            <w:r>
              <w:rPr>
                <w:rFonts w:hint="eastAsia" w:ascii="Times New Roman" w:hAnsi="Times New Roman"/>
                <w:bCs/>
                <w:color w:val="auto"/>
                <w:kern w:val="2"/>
                <w:sz w:val="24"/>
                <w:szCs w:val="24"/>
                <w:lang w:val="en-US" w:eastAsia="zh-CN"/>
              </w:rPr>
              <w:t>t/h此环节将产生颗粒物G2</w:t>
            </w:r>
            <w:r>
              <w:rPr>
                <w:rFonts w:hint="eastAsia"/>
                <w:bCs/>
                <w:color w:val="auto"/>
                <w:kern w:val="2"/>
                <w:sz w:val="24"/>
                <w:szCs w:val="24"/>
                <w:lang w:val="en-US" w:eastAsia="zh-CN"/>
              </w:rPr>
              <w:t>9</w:t>
            </w:r>
            <w:r>
              <w:rPr>
                <w:rFonts w:ascii="Times New Roman" w:hAnsi="Times New Roman" w:eastAsia="宋体"/>
                <w:bCs/>
                <w:color w:val="auto"/>
                <w:kern w:val="2"/>
                <w:sz w:val="24"/>
                <w:szCs w:val="24"/>
              </w:rPr>
              <w:t>。</w:t>
            </w:r>
          </w:p>
          <w:p w14:paraId="19B471C6">
            <w:pPr>
              <w:pStyle w:val="8"/>
              <w:keepNext w:val="0"/>
              <w:keepLines w:val="0"/>
              <w:pageBreakBefore w:val="0"/>
              <w:widowControl w:val="0"/>
              <w:kinsoku/>
              <w:wordWrap/>
              <w:overflowPunct/>
              <w:topLinePunct w:val="0"/>
              <w:autoSpaceDE/>
              <w:autoSpaceDN/>
              <w:bidi w:val="0"/>
              <w:adjustRightInd w:val="0"/>
              <w:snapToGrid w:val="0"/>
              <w:spacing w:after="0" w:line="360" w:lineRule="auto"/>
              <w:ind w:firstLine="464"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pacing w:val="-4"/>
                <w:sz w:val="24"/>
                <w:szCs w:val="24"/>
                <w:lang w:eastAsia="zh-CN"/>
              </w:rPr>
              <w:t>膨化：</w:t>
            </w:r>
            <w:r>
              <w:rPr>
                <w:rFonts w:hint="eastAsia" w:ascii="Times New Roman" w:hAnsi="Times New Roman" w:eastAsia="宋体" w:cs="Times New Roman"/>
                <w:color w:val="auto"/>
                <w:spacing w:val="-4"/>
                <w:sz w:val="24"/>
                <w:szCs w:val="24"/>
                <w:lang w:eastAsia="zh-CN"/>
              </w:rPr>
              <w:t>物料经调质后进入膨化机内</w:t>
            </w:r>
            <w:r>
              <w:rPr>
                <w:rFonts w:hint="default" w:ascii="Times New Roman" w:hAnsi="Times New Roman" w:cs="Times New Roman"/>
                <w:color w:val="auto"/>
                <w:sz w:val="24"/>
                <w:szCs w:val="24"/>
              </w:rPr>
              <w:t>进行高温高压处理，</w:t>
            </w:r>
            <w:r>
              <w:rPr>
                <w:rFonts w:hint="eastAsia" w:cs="Times New Roman"/>
                <w:color w:val="auto"/>
                <w:sz w:val="24"/>
                <w:szCs w:val="24"/>
                <w:lang w:eastAsia="zh-CN"/>
              </w:rPr>
              <w:t>使物料</w:t>
            </w:r>
            <w:r>
              <w:rPr>
                <w:rFonts w:hint="default" w:ascii="Times New Roman" w:hAnsi="Times New Roman" w:cs="Times New Roman"/>
                <w:color w:val="auto"/>
                <w:sz w:val="24"/>
                <w:szCs w:val="24"/>
              </w:rPr>
              <w:t>体积变大、质地疏松。</w:t>
            </w:r>
            <w:r>
              <w:rPr>
                <w:rFonts w:hint="eastAsia" w:cs="Times New Roman"/>
                <w:color w:val="auto"/>
                <w:sz w:val="24"/>
                <w:szCs w:val="24"/>
                <w:lang w:eastAsia="zh-CN"/>
              </w:rPr>
              <w:t>膨化机配有一副螺杆和螺套，使其具有混合和揉搓的功能，物料进入膨化机料仓后</w:t>
            </w:r>
            <w:r>
              <w:rPr>
                <w:rFonts w:hint="default" w:ascii="Times New Roman" w:hAnsi="Times New Roman" w:eastAsia="宋体" w:cs="Times New Roman"/>
                <w:color w:val="auto"/>
                <w:sz w:val="24"/>
                <w:szCs w:val="24"/>
                <w:lang w:eastAsia="zh-CN"/>
              </w:rPr>
              <w:t>，物料在螺杆或螺套之间被挤压、摩擦、剪切，其内部压力、温度不断升高，物料的组织结构发生变化，物料体积变大、质地变得疏松</w:t>
            </w:r>
            <w:r>
              <w:rPr>
                <w:rFonts w:hint="default" w:ascii="Times New Roman" w:hAnsi="Times New Roman" w:eastAsia="宋体" w:cs="Times New Roman"/>
                <w:color w:val="auto"/>
                <w:sz w:val="24"/>
                <w:szCs w:val="24"/>
                <w:lang w:val="en-US" w:eastAsia="zh-CN"/>
              </w:rPr>
              <w:t>,此环节将产生颗粒物G</w:t>
            </w:r>
            <w:r>
              <w:rPr>
                <w:rFonts w:hint="eastAsia" w:eastAsia="宋体" w:cs="Times New Roman"/>
                <w:color w:val="auto"/>
                <w:sz w:val="24"/>
                <w:szCs w:val="24"/>
                <w:lang w:val="en-US" w:eastAsia="zh-CN"/>
              </w:rPr>
              <w:t>30</w:t>
            </w:r>
            <w:r>
              <w:rPr>
                <w:rFonts w:hint="default" w:ascii="Times New Roman" w:hAnsi="Times New Roman" w:eastAsia="宋体" w:cs="Times New Roman"/>
                <w:color w:val="auto"/>
                <w:sz w:val="24"/>
                <w:szCs w:val="24"/>
                <w:lang w:val="en-US" w:eastAsia="zh-CN"/>
              </w:rPr>
              <w:t>。</w:t>
            </w:r>
          </w:p>
          <w:p w14:paraId="4630869A">
            <w:pPr>
              <w:pStyle w:val="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膨化冷却：</w:t>
            </w:r>
            <w:r>
              <w:rPr>
                <w:rFonts w:hint="eastAsia" w:ascii="Times New Roman" w:hAnsi="Times New Roman" w:eastAsia="宋体" w:cs="Times New Roman"/>
                <w:i w:val="0"/>
                <w:iCs w:val="0"/>
                <w:caps w:val="0"/>
                <w:color w:val="auto"/>
                <w:spacing w:val="0"/>
                <w:sz w:val="24"/>
                <w:szCs w:val="24"/>
                <w:shd w:val="clear" w:fill="FFFFFF"/>
                <w:lang w:eastAsia="zh-CN"/>
              </w:rPr>
              <w:t>物料膨化后</w:t>
            </w:r>
            <w:r>
              <w:rPr>
                <w:rFonts w:hint="default" w:ascii="Times New Roman" w:hAnsi="Times New Roman" w:eastAsia="宋体" w:cs="Times New Roman"/>
                <w:i w:val="0"/>
                <w:iCs w:val="0"/>
                <w:caps w:val="0"/>
                <w:color w:val="auto"/>
                <w:spacing w:val="0"/>
                <w:sz w:val="24"/>
                <w:szCs w:val="24"/>
                <w:shd w:val="clear" w:fill="FFFFFF"/>
              </w:rPr>
              <w:t>经关风器进入</w:t>
            </w:r>
            <w:r>
              <w:rPr>
                <w:rFonts w:hint="eastAsia" w:eastAsia="宋体" w:cs="Times New Roman"/>
                <w:i w:val="0"/>
                <w:iCs w:val="0"/>
                <w:caps w:val="0"/>
                <w:color w:val="auto"/>
                <w:spacing w:val="0"/>
                <w:sz w:val="24"/>
                <w:szCs w:val="24"/>
                <w:shd w:val="clear" w:fill="FFFFFF"/>
                <w:lang w:eastAsia="zh-CN"/>
              </w:rPr>
              <w:t>翻板</w:t>
            </w:r>
            <w:r>
              <w:rPr>
                <w:rFonts w:hint="eastAsia" w:ascii="Times New Roman" w:hAnsi="Times New Roman" w:eastAsia="宋体" w:cs="Times New Roman"/>
                <w:i w:val="0"/>
                <w:iCs w:val="0"/>
                <w:caps w:val="0"/>
                <w:color w:val="auto"/>
                <w:spacing w:val="0"/>
                <w:sz w:val="24"/>
                <w:szCs w:val="24"/>
                <w:shd w:val="clear" w:fill="FFFFFF"/>
                <w:lang w:eastAsia="zh-CN"/>
              </w:rPr>
              <w:t>冷却器的</w:t>
            </w:r>
            <w:r>
              <w:rPr>
                <w:rFonts w:hint="default" w:ascii="Times New Roman" w:hAnsi="Times New Roman" w:eastAsia="宋体" w:cs="Times New Roman"/>
                <w:i w:val="0"/>
                <w:iCs w:val="0"/>
                <w:caps w:val="0"/>
                <w:color w:val="auto"/>
                <w:spacing w:val="0"/>
                <w:sz w:val="24"/>
                <w:szCs w:val="24"/>
                <w:shd w:val="clear" w:fill="FFFFFF"/>
              </w:rPr>
              <w:t>料仓后，</w:t>
            </w:r>
            <w:r>
              <w:rPr>
                <w:rFonts w:hint="eastAsia" w:ascii="Times New Roman" w:hAnsi="Times New Roman" w:cs="Times New Roman"/>
                <w:i w:val="0"/>
                <w:iCs w:val="0"/>
                <w:caps w:val="0"/>
                <w:color w:val="auto"/>
                <w:spacing w:val="0"/>
                <w:sz w:val="24"/>
                <w:szCs w:val="24"/>
                <w:shd w:val="clear" w:fill="FFFFFF"/>
                <w:lang w:eastAsia="zh-CN"/>
              </w:rPr>
              <w:t>物料</w:t>
            </w:r>
            <w:r>
              <w:rPr>
                <w:rFonts w:hint="default" w:ascii="Times New Roman" w:hAnsi="Times New Roman" w:eastAsia="宋体" w:cs="Times New Roman"/>
                <w:i w:val="0"/>
                <w:iCs w:val="0"/>
                <w:caps w:val="0"/>
                <w:color w:val="auto"/>
                <w:spacing w:val="0"/>
                <w:sz w:val="24"/>
                <w:szCs w:val="24"/>
                <w:shd w:val="clear" w:fill="FFFFFF"/>
              </w:rPr>
              <w:t>逐渐堆积</w:t>
            </w:r>
            <w:r>
              <w:rPr>
                <w:rFonts w:hint="eastAsia" w:ascii="Times New Roman" w:hAnsi="Times New Roman" w:eastAsia="宋体" w:cs="Times New Roman"/>
                <w:i w:val="0"/>
                <w:iCs w:val="0"/>
                <w:caps w:val="0"/>
                <w:color w:val="auto"/>
                <w:spacing w:val="0"/>
                <w:sz w:val="24"/>
                <w:szCs w:val="24"/>
                <w:shd w:val="clear" w:fill="FFFFFF"/>
                <w:lang w:eastAsia="zh-CN"/>
              </w:rPr>
              <w:t>达到一定高度后</w:t>
            </w:r>
            <w:r>
              <w:rPr>
                <w:rFonts w:hint="default" w:ascii="Times New Roman" w:hAnsi="Times New Roman" w:eastAsia="宋体" w:cs="Times New Roman"/>
                <w:i w:val="0"/>
                <w:iCs w:val="0"/>
                <w:caps w:val="0"/>
                <w:color w:val="auto"/>
                <w:spacing w:val="0"/>
                <w:sz w:val="24"/>
                <w:szCs w:val="24"/>
                <w:shd w:val="clear" w:fill="FFFFFF"/>
              </w:rPr>
              <w:t>，物料接触上料位器时，液压系统的电磁阀收到信号，液压缸活塞杆伸出，通过一定数量的连杆带动翻板转动一定角度，使翻板上物料落下，进行卸料</w:t>
            </w:r>
            <w:r>
              <w:rPr>
                <w:rFonts w:hint="default" w:ascii="Times New Roman" w:hAnsi="Times New Roman" w:eastAsia="宋体" w:cs="Times New Roman"/>
                <w:i w:val="0"/>
                <w:iCs w:val="0"/>
                <w:caps w:val="0"/>
                <w:color w:val="auto"/>
                <w:spacing w:val="0"/>
                <w:sz w:val="24"/>
                <w:szCs w:val="24"/>
                <w:shd w:val="clear" w:fill="FFFFFF"/>
                <w:lang w:eastAsia="zh-CN"/>
              </w:rPr>
              <w:t>。</w:t>
            </w:r>
            <w:r>
              <w:rPr>
                <w:rFonts w:hint="default" w:ascii="Times New Roman" w:hAnsi="Times New Roman" w:eastAsia="宋体" w:cs="Times New Roman"/>
                <w:i w:val="0"/>
                <w:iCs w:val="0"/>
                <w:caps w:val="0"/>
                <w:color w:val="auto"/>
                <w:spacing w:val="0"/>
                <w:sz w:val="24"/>
                <w:szCs w:val="24"/>
                <w:shd w:val="clear" w:fill="FFFFFF"/>
              </w:rPr>
              <w:t>当出料大于进料，仓内物料降至下料</w:t>
            </w:r>
            <w:r>
              <w:rPr>
                <w:rFonts w:hint="eastAsia" w:eastAsia="宋体" w:cs="Times New Roman"/>
                <w:i w:val="0"/>
                <w:iCs w:val="0"/>
                <w:caps w:val="0"/>
                <w:color w:val="auto"/>
                <w:spacing w:val="0"/>
                <w:sz w:val="24"/>
                <w:szCs w:val="24"/>
                <w:shd w:val="clear" w:fill="FFFFFF"/>
                <w:lang w:eastAsia="zh-CN"/>
              </w:rPr>
              <w:t>位置</w:t>
            </w:r>
            <w:r>
              <w:rPr>
                <w:rFonts w:hint="default" w:ascii="Times New Roman" w:hAnsi="Times New Roman" w:eastAsia="宋体" w:cs="Times New Roman"/>
                <w:i w:val="0"/>
                <w:iCs w:val="0"/>
                <w:caps w:val="0"/>
                <w:color w:val="auto"/>
                <w:spacing w:val="0"/>
                <w:sz w:val="24"/>
                <w:szCs w:val="24"/>
                <w:shd w:val="clear" w:fill="FFFFFF"/>
              </w:rPr>
              <w:t>时，电磁阀得到信号，液压缸活塞杆缩回，使翻板回复水平位置，不再卸料。</w:t>
            </w:r>
            <w:r>
              <w:rPr>
                <w:rFonts w:hint="eastAsia" w:eastAsia="宋体" w:cs="Times New Roman"/>
                <w:i w:val="0"/>
                <w:iCs w:val="0"/>
                <w:caps w:val="0"/>
                <w:color w:val="auto"/>
                <w:spacing w:val="0"/>
                <w:sz w:val="24"/>
                <w:szCs w:val="24"/>
                <w:shd w:val="clear" w:fill="FFFFFF"/>
                <w:lang w:eastAsia="zh-CN"/>
              </w:rPr>
              <w:t>翻板</w:t>
            </w:r>
            <w:r>
              <w:rPr>
                <w:rFonts w:hint="default" w:ascii="Times New Roman" w:hAnsi="Times New Roman" w:eastAsia="宋体" w:cs="Times New Roman"/>
                <w:i w:val="0"/>
                <w:iCs w:val="0"/>
                <w:caps w:val="0"/>
                <w:color w:val="auto"/>
                <w:spacing w:val="0"/>
                <w:sz w:val="24"/>
                <w:szCs w:val="24"/>
                <w:shd w:val="clear" w:fill="FFFFFF"/>
                <w:lang w:eastAsia="zh-CN"/>
              </w:rPr>
              <w:t>冷却器中配备有冷却风机自下而上吹冷却风对下落物料进行风冷，</w:t>
            </w:r>
            <w:r>
              <w:rPr>
                <w:rFonts w:hint="default" w:ascii="Times New Roman" w:hAnsi="Times New Roman" w:eastAsia="宋体" w:cs="Times New Roman"/>
                <w:i w:val="0"/>
                <w:iCs w:val="0"/>
                <w:caps w:val="0"/>
                <w:color w:val="auto"/>
                <w:spacing w:val="0"/>
                <w:sz w:val="24"/>
                <w:szCs w:val="24"/>
                <w:shd w:val="clear" w:fill="FFFFFF"/>
              </w:rPr>
              <w:t>正常工作时，冷却器的进料与出料应基本相等，即物料应基本保持在一定的高度，以保证物料有足够的冷却时间（通过调整翻板翻转角度来调节）</w:t>
            </w:r>
            <w:r>
              <w:rPr>
                <w:rFonts w:hint="default" w:ascii="Times New Roman" w:hAnsi="Times New Roman" w:eastAsia="宋体" w:cs="Times New Roman"/>
                <w:i w:val="0"/>
                <w:iCs w:val="0"/>
                <w:caps w:val="0"/>
                <w:color w:val="auto"/>
                <w:spacing w:val="0"/>
                <w:sz w:val="24"/>
                <w:szCs w:val="24"/>
                <w:shd w:val="clear" w:fill="FFFFFF"/>
                <w:lang w:eastAsia="zh-CN"/>
              </w:rPr>
              <w:t>，此环节将产生颗粒物</w:t>
            </w:r>
            <w:r>
              <w:rPr>
                <w:rFonts w:hint="default" w:ascii="Times New Roman" w:hAnsi="Times New Roman" w:eastAsia="宋体" w:cs="Times New Roman"/>
                <w:i w:val="0"/>
                <w:iCs w:val="0"/>
                <w:caps w:val="0"/>
                <w:color w:val="auto"/>
                <w:spacing w:val="0"/>
                <w:sz w:val="24"/>
                <w:szCs w:val="24"/>
                <w:shd w:val="clear" w:fill="FFFFFF"/>
                <w:lang w:val="en-US" w:eastAsia="zh-CN"/>
              </w:rPr>
              <w:t>G</w:t>
            </w:r>
            <w:r>
              <w:rPr>
                <w:rFonts w:hint="eastAsia" w:eastAsia="宋体" w:cs="Times New Roman"/>
                <w:i w:val="0"/>
                <w:iCs w:val="0"/>
                <w:caps w:val="0"/>
                <w:color w:val="auto"/>
                <w:spacing w:val="0"/>
                <w:sz w:val="24"/>
                <w:szCs w:val="24"/>
                <w:shd w:val="clear" w:fill="FFFFFF"/>
                <w:lang w:val="en-US" w:eastAsia="zh-CN"/>
              </w:rPr>
              <w:t>31</w:t>
            </w:r>
            <w:r>
              <w:rPr>
                <w:rFonts w:hint="default" w:ascii="Times New Roman" w:hAnsi="Times New Roman" w:eastAsia="宋体" w:cs="Times New Roman"/>
                <w:i w:val="0"/>
                <w:iCs w:val="0"/>
                <w:caps w:val="0"/>
                <w:color w:val="auto"/>
                <w:spacing w:val="0"/>
                <w:sz w:val="24"/>
                <w:szCs w:val="24"/>
                <w:shd w:val="clear" w:fill="FFFFFF"/>
                <w:lang w:val="en-US" w:eastAsia="zh-CN"/>
              </w:rPr>
              <w:t>。</w:t>
            </w:r>
          </w:p>
          <w:p w14:paraId="5AA89D17">
            <w:pPr>
              <w:pStyle w:val="4"/>
              <w:keepNext w:val="0"/>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sz w:val="24"/>
                <w:szCs w:val="24"/>
                <w:lang w:eastAsia="zh-CN"/>
              </w:rPr>
              <w:t>成品破碎：物料经膨化冷却后</w:t>
            </w:r>
            <w:r>
              <w:rPr>
                <w:rFonts w:hint="default" w:ascii="Times New Roman" w:hAnsi="Times New Roman" w:eastAsia="宋体" w:cs="Times New Roman"/>
                <w:b w:val="0"/>
                <w:bCs w:val="0"/>
                <w:color w:val="auto"/>
                <w:kern w:val="2"/>
                <w:sz w:val="24"/>
                <w:szCs w:val="24"/>
                <w:lang w:val="en-US" w:bidi="ar-SA"/>
              </w:rPr>
              <w:t>经提升机输送、进入破碎缓冲斗稳定</w:t>
            </w:r>
            <w:r>
              <w:rPr>
                <w:rFonts w:hint="eastAsia" w:ascii="Times New Roman" w:hAnsi="Times New Roman" w:eastAsia="宋体" w:cs="Times New Roman"/>
                <w:b w:val="0"/>
                <w:bCs w:val="0"/>
                <w:color w:val="auto"/>
                <w:kern w:val="2"/>
                <w:sz w:val="24"/>
                <w:szCs w:val="24"/>
                <w:lang w:val="en-US" w:eastAsia="zh-CN" w:bidi="ar-SA"/>
              </w:rPr>
              <w:t>加入到</w:t>
            </w:r>
            <w:r>
              <w:rPr>
                <w:rFonts w:hint="default" w:ascii="Times New Roman" w:hAnsi="Times New Roman" w:eastAsia="宋体" w:cs="Times New Roman"/>
                <w:b w:val="0"/>
                <w:bCs w:val="0"/>
                <w:color w:val="auto"/>
                <w:kern w:val="2"/>
                <w:sz w:val="24"/>
                <w:szCs w:val="24"/>
                <w:lang w:val="en-US" w:bidi="ar-SA"/>
              </w:rPr>
              <w:t>成品破碎机</w:t>
            </w:r>
            <w:r>
              <w:rPr>
                <w:rFonts w:hint="eastAsia" w:ascii="Times New Roman" w:hAnsi="Times New Roman" w:eastAsia="宋体" w:cs="Times New Roman"/>
                <w:b w:val="0"/>
                <w:bCs w:val="0"/>
                <w:color w:val="auto"/>
                <w:kern w:val="2"/>
                <w:sz w:val="24"/>
                <w:szCs w:val="24"/>
                <w:lang w:val="en-US" w:eastAsia="zh-CN" w:bidi="ar-SA"/>
              </w:rPr>
              <w:t>中</w:t>
            </w:r>
            <w:r>
              <w:rPr>
                <w:rFonts w:hint="default" w:ascii="Times New Roman" w:hAnsi="Times New Roman" w:eastAsia="宋体" w:cs="Times New Roman"/>
                <w:b w:val="0"/>
                <w:bCs w:val="0"/>
                <w:color w:val="auto"/>
                <w:kern w:val="2"/>
                <w:sz w:val="24"/>
                <w:szCs w:val="24"/>
                <w:lang w:val="en-US" w:bidi="ar-SA"/>
              </w:rPr>
              <w:t>；</w:t>
            </w:r>
            <w:r>
              <w:rPr>
                <w:rFonts w:hint="eastAsia" w:ascii="Times New Roman" w:hAnsi="Times New Roman" w:cs="Times New Roman"/>
                <w:b w:val="0"/>
                <w:bCs w:val="0"/>
                <w:color w:val="auto"/>
                <w:kern w:val="2"/>
                <w:sz w:val="24"/>
                <w:szCs w:val="24"/>
                <w:lang w:val="en-US" w:eastAsia="zh-CN" w:bidi="ar-SA"/>
              </w:rPr>
              <w:t>成品</w:t>
            </w:r>
            <w:r>
              <w:rPr>
                <w:rFonts w:hint="default" w:ascii="Times New Roman" w:hAnsi="Times New Roman" w:eastAsia="宋体" w:cs="Times New Roman"/>
                <w:b w:val="0"/>
                <w:bCs w:val="0"/>
                <w:color w:val="auto"/>
                <w:kern w:val="2"/>
                <w:sz w:val="24"/>
                <w:szCs w:val="24"/>
                <w:lang w:val="en-US" w:bidi="ar-SA"/>
              </w:rPr>
              <w:t>破碎机</w:t>
            </w:r>
            <w:r>
              <w:rPr>
                <w:rFonts w:hint="default" w:ascii="Times New Roman" w:hAnsi="Times New Roman" w:cs="Times New Roman"/>
                <w:b w:val="0"/>
                <w:bCs w:val="0"/>
                <w:color w:val="auto"/>
                <w:kern w:val="2"/>
                <w:sz w:val="24"/>
                <w:szCs w:val="24"/>
                <w:lang w:val="en-US" w:eastAsia="zh-CN" w:bidi="ar-SA"/>
              </w:rPr>
              <w:t>对</w:t>
            </w:r>
            <w:r>
              <w:rPr>
                <w:rFonts w:hint="eastAsia" w:ascii="Times New Roman" w:hAnsi="Times New Roman" w:cs="Times New Roman"/>
                <w:b w:val="0"/>
                <w:bCs w:val="0"/>
                <w:color w:val="auto"/>
                <w:kern w:val="2"/>
                <w:sz w:val="24"/>
                <w:szCs w:val="24"/>
                <w:lang w:val="en-US" w:eastAsia="zh-CN" w:bidi="ar-SA"/>
              </w:rPr>
              <w:t>物料进一步</w:t>
            </w:r>
            <w:r>
              <w:rPr>
                <w:rFonts w:hint="default" w:ascii="Times New Roman" w:hAnsi="Times New Roman" w:eastAsia="宋体" w:cs="Times New Roman"/>
                <w:b w:val="0"/>
                <w:bCs w:val="0"/>
                <w:color w:val="auto"/>
                <w:kern w:val="2"/>
                <w:sz w:val="24"/>
                <w:szCs w:val="24"/>
                <w:lang w:val="en-US" w:bidi="ar-SA"/>
              </w:rPr>
              <w:t>破碎，</w:t>
            </w:r>
            <w:r>
              <w:rPr>
                <w:rFonts w:hint="eastAsia" w:ascii="Times New Roman" w:hAnsi="Times New Roman" w:eastAsia="宋体" w:cs="Times New Roman"/>
                <w:b w:val="0"/>
                <w:bCs w:val="0"/>
                <w:color w:val="auto"/>
                <w:kern w:val="2"/>
                <w:sz w:val="24"/>
                <w:szCs w:val="24"/>
                <w:lang w:val="en-US" w:eastAsia="zh-CN" w:bidi="ar-SA"/>
              </w:rPr>
              <w:t>成品</w:t>
            </w:r>
            <w:r>
              <w:rPr>
                <w:rFonts w:hint="default" w:ascii="Times New Roman" w:hAnsi="Times New Roman" w:eastAsia="宋体" w:cs="Times New Roman"/>
                <w:b w:val="0"/>
                <w:bCs w:val="0"/>
                <w:color w:val="auto"/>
                <w:kern w:val="2"/>
                <w:sz w:val="24"/>
                <w:szCs w:val="24"/>
                <w:lang w:val="en-US" w:bidi="ar-SA"/>
              </w:rPr>
              <w:t>破碎机</w:t>
            </w:r>
            <w:r>
              <w:rPr>
                <w:rFonts w:hint="default" w:ascii="Times New Roman" w:hAnsi="Times New Roman" w:eastAsia="宋体" w:cs="Times New Roman"/>
                <w:b w:val="0"/>
                <w:bCs w:val="0"/>
                <w:color w:val="auto"/>
                <w:kern w:val="2"/>
                <w:sz w:val="24"/>
                <w:szCs w:val="24"/>
                <w:lang w:val="en-US" w:eastAsia="zh-CN" w:bidi="ar-SA"/>
              </w:rPr>
              <w:t>的前</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相向转动，</w:t>
            </w:r>
            <w:r>
              <w:rPr>
                <w:rFonts w:hint="eastAsia" w:ascii="Times New Roman" w:hAnsi="Times New Roman" w:eastAsia="宋体" w:cs="Times New Roman"/>
                <w:b w:val="0"/>
                <w:bCs w:val="0"/>
                <w:color w:val="auto"/>
                <w:kern w:val="2"/>
                <w:sz w:val="24"/>
                <w:szCs w:val="24"/>
                <w:lang w:val="en-US" w:eastAsia="zh-CN" w:bidi="ar-SA"/>
              </w:rPr>
              <w:t>物料</w:t>
            </w:r>
            <w:r>
              <w:rPr>
                <w:rFonts w:hint="default" w:ascii="Times New Roman" w:hAnsi="Times New Roman" w:eastAsia="宋体" w:cs="Times New Roman"/>
                <w:b w:val="0"/>
                <w:bCs w:val="0"/>
                <w:color w:val="auto"/>
                <w:kern w:val="2"/>
                <w:sz w:val="24"/>
                <w:szCs w:val="24"/>
                <w:lang w:val="en-US" w:eastAsia="zh-CN" w:bidi="ar-SA"/>
              </w:rPr>
              <w:t>从前</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之前的缝隙进入，</w:t>
            </w:r>
            <w:r>
              <w:rPr>
                <w:rFonts w:hint="eastAsia" w:ascii="Times New Roman" w:hAnsi="Times New Roman" w:eastAsia="宋体" w:cs="Times New Roman"/>
                <w:b w:val="0"/>
                <w:bCs w:val="0"/>
                <w:color w:val="auto"/>
                <w:kern w:val="2"/>
                <w:sz w:val="24"/>
                <w:szCs w:val="24"/>
                <w:lang w:val="en-US" w:eastAsia="zh-CN" w:bidi="ar-SA"/>
              </w:rPr>
              <w:t>物料</w:t>
            </w:r>
            <w:r>
              <w:rPr>
                <w:rFonts w:hint="default" w:ascii="Times New Roman" w:hAnsi="Times New Roman" w:eastAsia="宋体" w:cs="Times New Roman"/>
                <w:b w:val="0"/>
                <w:bCs w:val="0"/>
                <w:color w:val="auto"/>
                <w:kern w:val="2"/>
                <w:sz w:val="24"/>
                <w:szCs w:val="24"/>
                <w:lang w:val="en-US" w:eastAsia="zh-CN" w:bidi="ar-SA"/>
              </w:rPr>
              <w:t>被前</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、后</w:t>
            </w:r>
            <w:r>
              <w:rPr>
                <w:rFonts w:hint="default" w:ascii="Times New Roman" w:hAnsi="Times New Roman" w:eastAsia="宋体" w:cs="Times New Roman"/>
                <w:b w:val="0"/>
                <w:bCs w:val="0"/>
                <w:color w:val="auto"/>
                <w:kern w:val="2"/>
                <w:sz w:val="24"/>
                <w:szCs w:val="24"/>
                <w:lang w:val="en-US" w:bidi="ar-SA"/>
              </w:rPr>
              <w:t>辊</w:t>
            </w:r>
            <w:r>
              <w:rPr>
                <w:rFonts w:hint="default" w:ascii="Times New Roman" w:hAnsi="Times New Roman" w:eastAsia="宋体" w:cs="Times New Roman"/>
                <w:b w:val="0"/>
                <w:bCs w:val="0"/>
                <w:color w:val="auto"/>
                <w:kern w:val="2"/>
                <w:sz w:val="24"/>
                <w:szCs w:val="24"/>
                <w:lang w:val="en-US" w:eastAsia="zh-CN" w:bidi="ar-SA"/>
              </w:rPr>
              <w:t>挤压从而完成破碎</w:t>
            </w:r>
            <w:r>
              <w:rPr>
                <w:rFonts w:hint="eastAsia" w:ascii="Times New Roman" w:hAnsi="Times New Roman" w:eastAsia="宋体" w:cs="Times New Roman"/>
                <w:b w:val="0"/>
                <w:bCs w:val="0"/>
                <w:color w:val="auto"/>
                <w:kern w:val="2"/>
                <w:sz w:val="24"/>
                <w:szCs w:val="24"/>
                <w:lang w:val="en-US" w:eastAsia="zh-CN" w:bidi="ar-SA"/>
              </w:rPr>
              <w:t>，</w:t>
            </w:r>
            <w:r>
              <w:rPr>
                <w:rFonts w:hint="eastAsia" w:ascii="Times New Roman" w:hAnsi="Times New Roman" w:eastAsia="宋体" w:cs="Times New Roman"/>
                <w:b w:val="0"/>
                <w:bCs w:val="0"/>
                <w:color w:val="auto"/>
                <w:sz w:val="24"/>
                <w:szCs w:val="24"/>
                <w:lang w:eastAsia="zh-CN"/>
              </w:rPr>
              <w:t>此环节将产生颗粒物</w:t>
            </w:r>
            <w:r>
              <w:rPr>
                <w:rFonts w:hint="eastAsia" w:ascii="Times New Roman" w:hAnsi="Times New Roman" w:eastAsia="宋体" w:cs="Times New Roman"/>
                <w:b w:val="0"/>
                <w:bCs w:val="0"/>
                <w:color w:val="auto"/>
                <w:sz w:val="24"/>
                <w:szCs w:val="24"/>
                <w:lang w:val="en-US" w:eastAsia="zh-CN"/>
              </w:rPr>
              <w:t>G</w:t>
            </w:r>
            <w:r>
              <w:rPr>
                <w:rFonts w:hint="eastAsia" w:ascii="Times New Roman" w:hAnsi="Times New Roman" w:cs="Times New Roman"/>
                <w:b w:val="0"/>
                <w:bCs w:val="0"/>
                <w:color w:val="auto"/>
                <w:sz w:val="24"/>
                <w:szCs w:val="24"/>
                <w:lang w:val="en-US" w:eastAsia="zh-CN"/>
              </w:rPr>
              <w:t>32</w:t>
            </w:r>
            <w:r>
              <w:rPr>
                <w:rFonts w:hint="eastAsia" w:ascii="Times New Roman" w:hAnsi="Times New Roman" w:eastAsia="宋体" w:cs="Times New Roman"/>
                <w:b w:val="0"/>
                <w:bCs w:val="0"/>
                <w:color w:val="auto"/>
                <w:sz w:val="24"/>
                <w:szCs w:val="24"/>
                <w:lang w:val="en-US" w:eastAsia="zh-CN"/>
              </w:rPr>
              <w:t>。</w:t>
            </w:r>
          </w:p>
          <w:p w14:paraId="2B5232C9">
            <w:pPr>
              <w:pStyle w:val="8"/>
              <w:spacing w:after="0" w:line="360" w:lineRule="auto"/>
              <w:ind w:firstLine="480" w:firstLineChars="200"/>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eastAsia="zh-CN"/>
              </w:rPr>
              <w:t>打包：</w:t>
            </w:r>
            <w:r>
              <w:rPr>
                <w:rFonts w:hint="eastAsia" w:ascii="Times New Roman" w:cs="Times New Roman"/>
                <w:color w:val="auto"/>
                <w:spacing w:val="-7"/>
                <w:sz w:val="24"/>
                <w:szCs w:val="24"/>
                <w:lang w:val="en-US" w:eastAsia="zh-CN"/>
              </w:rPr>
              <w:t>经破碎后的成品大豆粉通过皮带输送机输送至打包机，打包机内的大豆粉达到一定重量后其出料口会自动打开，大豆粉通过出料口进入下方的包装袋中，然后</w:t>
            </w:r>
            <w:r>
              <w:rPr>
                <w:rFonts w:hint="eastAsia" w:cs="Times New Roman"/>
                <w:color w:val="auto"/>
                <w:spacing w:val="-7"/>
                <w:sz w:val="24"/>
                <w:szCs w:val="24"/>
                <w:lang w:val="en-US" w:eastAsia="zh-CN"/>
              </w:rPr>
              <w:t xml:space="preserve">封口 </w:t>
            </w:r>
            <w:r>
              <w:rPr>
                <w:rFonts w:hint="eastAsia" w:ascii="Times New Roman" w:cs="Times New Roman"/>
                <w:color w:val="auto"/>
                <w:spacing w:val="-7"/>
                <w:sz w:val="24"/>
                <w:szCs w:val="24"/>
                <w:lang w:val="en-US" w:eastAsia="zh-CN"/>
              </w:rPr>
              <w:t>、贴片从而完成打包，此环节将产生颗粒物G</w:t>
            </w:r>
            <w:r>
              <w:rPr>
                <w:rFonts w:hint="eastAsia" w:cs="Times New Roman"/>
                <w:color w:val="auto"/>
                <w:spacing w:val="-7"/>
                <w:sz w:val="24"/>
                <w:szCs w:val="24"/>
                <w:lang w:val="en-US" w:eastAsia="zh-CN"/>
              </w:rPr>
              <w:t>33</w:t>
            </w:r>
            <w:r>
              <w:rPr>
                <w:rFonts w:hint="eastAsia" w:ascii="Times New Roman" w:cs="Times New Roman"/>
                <w:color w:val="auto"/>
                <w:spacing w:val="-7"/>
                <w:sz w:val="24"/>
                <w:szCs w:val="24"/>
                <w:lang w:val="en-US" w:eastAsia="zh-CN"/>
              </w:rPr>
              <w:t>。</w:t>
            </w:r>
          </w:p>
          <w:p w14:paraId="11D0F6BD">
            <w:pPr>
              <w:ind w:left="0" w:leftChars="0" w:firstLine="0" w:firstLineChars="0"/>
              <w:jc w:val="center"/>
              <w:rPr>
                <w:rFonts w:hint="default" w:ascii="Times New Roman" w:hAnsi="Times New Roman" w:cs="Times New Roman"/>
                <w:b w:val="0"/>
                <w:bCs w:val="0"/>
                <w:color w:val="auto"/>
                <w:sz w:val="24"/>
                <w:szCs w:val="24"/>
                <w:lang w:val="en-US" w:eastAsia="zh-CN"/>
              </w:rPr>
            </w:pPr>
            <w:r>
              <w:rPr>
                <w:color w:val="auto"/>
                <w:sz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584835</wp:posOffset>
                      </wp:positionV>
                      <wp:extent cx="2280285" cy="1580515"/>
                      <wp:effectExtent l="6350" t="6350" r="18415" b="13335"/>
                      <wp:wrapNone/>
                      <wp:docPr id="4" name="圆角矩形 4"/>
                      <wp:cNvGraphicFramePr/>
                      <a:graphic xmlns:a="http://schemas.openxmlformats.org/drawingml/2006/main">
                        <a:graphicData uri="http://schemas.microsoft.com/office/word/2010/wordprocessingShape">
                          <wps:wsp>
                            <wps:cNvSpPr/>
                            <wps:spPr>
                              <a:xfrm>
                                <a:off x="1252855" y="5538470"/>
                                <a:ext cx="2280285" cy="1580515"/>
                              </a:xfrm>
                              <a:prstGeom prst="roundRect">
                                <a:avLst/>
                              </a:prstGeom>
                              <a:noFill/>
                              <a:ln w="12700" cmpd="sng">
                                <a:solidFill>
                                  <a:srgbClr val="FF0000"/>
                                </a:solidFill>
                                <a:prstDash val="sys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8pt;margin-top:46.05pt;height:124.45pt;width:179.55pt;z-index:251659264;v-text-anchor:middle;mso-width-relative:page;mso-height-relative:page;" filled="f" stroked="t" coordsize="21600,21600" arcsize="0.166666666666667" o:gfxdata="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Dz02vZAAAACAEA&#10;AA8AAAAAAAAAAQAgAAAAIgAAAGRycy9kb3ducmV2LnhtbFBLAQIUABQAAAAIAIdO4kCY3SYciwIA&#10;AOUEAAAOAAAAAAAAAAEAIAAAACgBAABkcnMvZTJvRG9jLnhtbFBLBQYAAAAABgAGAFkBAAAlBgAA&#10;AAA=&#10;">
                      <v:fill on="f" focussize="0,0"/>
                      <v:stroke weight="1pt" color="#FF0000 [2404]" miterlimit="8" joinstyle="miter" dashstyle="3 1"/>
                      <v:imagedata o:title=""/>
                      <o:lock v:ext="edit" aspectratio="f"/>
                    </v:roundrect>
                  </w:pict>
                </mc:Fallback>
              </mc:AlternateContent>
            </w:r>
            <w:r>
              <w:rPr>
                <w:color w:val="auto"/>
                <w:sz w:val="24"/>
              </w:rPr>
              <mc:AlternateContent>
                <mc:Choice Requires="wps">
                  <w:drawing>
                    <wp:anchor distT="0" distB="0" distL="114300" distR="114300" simplePos="0" relativeHeight="251662336" behindDoc="0" locked="0" layoutInCell="1" allowOverlap="1">
                      <wp:simplePos x="0" y="0"/>
                      <wp:positionH relativeFrom="column">
                        <wp:posOffset>3837305</wp:posOffset>
                      </wp:positionH>
                      <wp:positionV relativeFrom="paragraph">
                        <wp:posOffset>746125</wp:posOffset>
                      </wp:positionV>
                      <wp:extent cx="1214755" cy="237490"/>
                      <wp:effectExtent l="102235" t="194945" r="16510" b="24765"/>
                      <wp:wrapNone/>
                      <wp:docPr id="2" name="圆角矩形标注 2"/>
                      <wp:cNvGraphicFramePr/>
                      <a:graphic xmlns:a="http://schemas.openxmlformats.org/drawingml/2006/main">
                        <a:graphicData uri="http://schemas.microsoft.com/office/word/2010/wordprocessingShape">
                          <wps:wsp>
                            <wps:cNvSpPr/>
                            <wps:spPr>
                              <a:xfrm>
                                <a:off x="0" y="0"/>
                                <a:ext cx="1214755" cy="237490"/>
                              </a:xfrm>
                              <a:prstGeom prst="wedgeRoundRectCallout">
                                <a:avLst>
                                  <a:gd name="adj1" fmla="val -55118"/>
                                  <a:gd name="adj2" fmla="val -124064"/>
                                  <a:gd name="adj3" fmla="val 16667"/>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A476B0C">
                                  <w:pPr>
                                    <w:ind w:left="0" w:leftChars="0" w:firstLine="0" w:firstLineChars="0"/>
                                    <w:jc w:val="both"/>
                                    <w:rPr>
                                      <w:rFonts w:hint="default" w:eastAsia="宋体"/>
                                      <w:color w:val="FF0000"/>
                                      <w:sz w:val="21"/>
                                      <w:szCs w:val="21"/>
                                      <w:lang w:val="en-US" w:eastAsia="zh-CN"/>
                                    </w:rPr>
                                  </w:pPr>
                                  <w:r>
                                    <w:rPr>
                                      <w:rFonts w:hint="eastAsia" w:eastAsia="宋体"/>
                                      <w:color w:val="FF0000"/>
                                      <w:sz w:val="21"/>
                                      <w:szCs w:val="21"/>
                                      <w:lang w:eastAsia="zh-CN"/>
                                    </w:rPr>
                                    <w:t>皂脚</w:t>
                                  </w:r>
                                  <w:r>
                                    <w:rPr>
                                      <w:rFonts w:hint="eastAsia" w:eastAsia="宋体"/>
                                      <w:color w:val="FF0000"/>
                                      <w:sz w:val="21"/>
                                      <w:szCs w:val="21"/>
                                      <w:lang w:val="en-US" w:eastAsia="zh-CN"/>
                                    </w:rPr>
                                    <w:t>S2产生量降低</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62" type="#_x0000_t62" style="position:absolute;left:0pt;margin-left:302.15pt;margin-top:58.75pt;height:18.7pt;width:95.65pt;z-index:251662336;v-text-anchor:middle;mso-width-relative:page;mso-height-relative:page;" filled="f" stroked="t" coordsize="21600,21600" o:gfxdata="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NEGA/fcAAAACwEAAA8AAAAA&#10;AAAAAQAgAAAAIgAAAGRycy9kb3ducmV2LnhtbFBLAQIUABQAAAAIAIdO4kATtjaHuwIAAFsFAAAO&#10;AAAAAAAAAAEAIAAAACsBAABkcnMvZTJvRG9jLnhtbFBLBQYAAAAABgAGAFkBAABYBgAAAAA=&#10;" adj="-1105,-15998,14400">
                      <v:fill on="f" focussize="0,0"/>
                      <v:stroke weight="1pt" color="#FF0000 [2404]" miterlimit="8" joinstyle="miter"/>
                      <v:imagedata o:title=""/>
                      <o:lock v:ext="edit" aspectratio="f"/>
                      <v:textbox inset="0mm,0mm,0mm,0mm">
                        <w:txbxContent>
                          <w:p w14:paraId="7A476B0C">
                            <w:pPr>
                              <w:ind w:left="0" w:leftChars="0" w:firstLine="0" w:firstLineChars="0"/>
                              <w:jc w:val="both"/>
                              <w:rPr>
                                <w:rFonts w:hint="default" w:eastAsia="宋体"/>
                                <w:color w:val="FF0000"/>
                                <w:sz w:val="21"/>
                                <w:szCs w:val="21"/>
                                <w:lang w:val="en-US" w:eastAsia="zh-CN"/>
                              </w:rPr>
                            </w:pPr>
                            <w:r>
                              <w:rPr>
                                <w:rFonts w:hint="eastAsia" w:eastAsia="宋体"/>
                                <w:color w:val="FF0000"/>
                                <w:sz w:val="21"/>
                                <w:szCs w:val="21"/>
                                <w:lang w:eastAsia="zh-CN"/>
                              </w:rPr>
                              <w:t>皂脚</w:t>
                            </w:r>
                            <w:r>
                              <w:rPr>
                                <w:rFonts w:hint="eastAsia" w:eastAsia="宋体"/>
                                <w:color w:val="FF0000"/>
                                <w:sz w:val="21"/>
                                <w:szCs w:val="21"/>
                                <w:lang w:val="en-US" w:eastAsia="zh-CN"/>
                              </w:rPr>
                              <w:t>S2产生量降低</w:t>
                            </w:r>
                          </w:p>
                        </w:txbxContent>
                      </v:textbox>
                    </v:shape>
                  </w:pict>
                </mc:Fallback>
              </mc:AlternateContent>
            </w: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2664460</wp:posOffset>
                      </wp:positionH>
                      <wp:positionV relativeFrom="paragraph">
                        <wp:posOffset>208915</wp:posOffset>
                      </wp:positionV>
                      <wp:extent cx="1111250" cy="624205"/>
                      <wp:effectExtent l="6350" t="6350" r="6350" b="17145"/>
                      <wp:wrapNone/>
                      <wp:docPr id="1" name="圆角矩形 1"/>
                      <wp:cNvGraphicFramePr/>
                      <a:graphic xmlns:a="http://schemas.openxmlformats.org/drawingml/2006/main">
                        <a:graphicData uri="http://schemas.microsoft.com/office/word/2010/wordprocessingShape">
                          <wps:wsp>
                            <wps:cNvSpPr/>
                            <wps:spPr>
                              <a:xfrm>
                                <a:off x="0" y="0"/>
                                <a:ext cx="1111250" cy="624205"/>
                              </a:xfrm>
                              <a:prstGeom prst="roundRect">
                                <a:avLst/>
                              </a:prstGeom>
                              <a:noFill/>
                              <a:ln w="12700" cmpd="sng">
                                <a:solidFill>
                                  <a:srgbClr val="FF0000"/>
                                </a:solidFill>
                                <a:prstDash val="sysDash"/>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9.8pt;margin-top:16.45pt;height:49.15pt;width:87.5pt;z-index:251661312;v-text-anchor:middle;mso-width-relative:page;mso-height-relative:page;" filled="f" stroked="t" coordsize="21600,21600" arcsize="0.166666666666667" o:gfxdata="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D9UXc9oAAAAKAQAADwAAAAAAAAABACAAAAAi&#10;AAAAZHJzL2Rvd25yZXYueG1sUEsBAhQAFAAAAAgAh07iQKfmh8t6AgAA2AQAAA4AAAAAAAAAAQAg&#10;AAAAKQEAAGRycy9lMm9Eb2MueG1sUEsFBgAAAAAGAAYAWQEAABUGAAAAAA==&#10;">
                      <v:fill on="f" focussize="0,0"/>
                      <v:stroke weight="1pt" color="#FF0000 [2404]" miterlimit="8" joinstyle="miter" dashstyle="3 1"/>
                      <v:imagedata o:title=""/>
                      <o:lock v:ext="edit" aspectratio="f"/>
                    </v:roundrect>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2379980</wp:posOffset>
                      </wp:positionH>
                      <wp:positionV relativeFrom="paragraph">
                        <wp:posOffset>1853565</wp:posOffset>
                      </wp:positionV>
                      <wp:extent cx="855980" cy="237490"/>
                      <wp:effectExtent l="74930" t="196215" r="21590" b="23495"/>
                      <wp:wrapNone/>
                      <wp:docPr id="3" name="圆角矩形标注 3"/>
                      <wp:cNvGraphicFramePr/>
                      <a:graphic xmlns:a="http://schemas.openxmlformats.org/drawingml/2006/main">
                        <a:graphicData uri="http://schemas.microsoft.com/office/word/2010/wordprocessingShape">
                          <wps:wsp>
                            <wps:cNvSpPr/>
                            <wps:spPr>
                              <a:xfrm>
                                <a:off x="4061460" y="6873240"/>
                                <a:ext cx="855980" cy="237490"/>
                              </a:xfrm>
                              <a:prstGeom prst="wedgeRoundRectCallout">
                                <a:avLst>
                                  <a:gd name="adj1" fmla="val -55118"/>
                                  <a:gd name="adj2" fmla="val -124064"/>
                                  <a:gd name="adj3" fmla="val 16667"/>
                                </a:avLst>
                              </a:prstGeom>
                              <a:noFill/>
                              <a:ln>
                                <a:solidFill>
                                  <a:srgbClr val="FF0000"/>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86A6065">
                                  <w:pPr>
                                    <w:ind w:left="0" w:leftChars="0" w:firstLine="0" w:firstLineChars="0"/>
                                    <w:jc w:val="both"/>
                                    <w:rPr>
                                      <w:rFonts w:hint="eastAsia" w:eastAsia="宋体"/>
                                      <w:color w:val="FF0000"/>
                                      <w:sz w:val="21"/>
                                      <w:szCs w:val="21"/>
                                      <w:lang w:eastAsia="zh-CN"/>
                                    </w:rPr>
                                  </w:pPr>
                                  <w:r>
                                    <w:rPr>
                                      <w:rFonts w:hint="eastAsia" w:eastAsia="宋体"/>
                                      <w:color w:val="FF0000"/>
                                      <w:sz w:val="21"/>
                                      <w:szCs w:val="21"/>
                                      <w:lang w:eastAsia="zh-CN"/>
                                    </w:rPr>
                                    <w:t>新增磷脂分线</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anchor>
                  </w:drawing>
                </mc:Choice>
                <mc:Fallback>
                  <w:pict>
                    <v:shape id="_x0000_s1026" o:spid="_x0000_s1026" o:spt="62" type="#_x0000_t62" style="position:absolute;left:0pt;margin-left:187.4pt;margin-top:145.95pt;height:18.7pt;width:67.4pt;z-index:251660288;v-text-anchor:middle;mso-width-relative:page;mso-height-relative:page;" filled="f" stroked="t" coordsize="21600,21600" o:gfxdata="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AjoJMm3AAA&#10;AAsBAAAPAAAAAAAAAAEAIAAAACIAAABkcnMvZG93bnJldi54bWxQSwECFAAUAAAACACHTuJAKrRy&#10;zsUCAABmBQAADgAAAAAAAAABACAAAAArAQAAZHJzL2Uyb0RvYy54bWxQSwUGAAAAAAYABgBZAQAA&#10;YgYAAAAA&#10;" adj="-1105,-15998,14400">
                      <v:fill on="f" focussize="0,0"/>
                      <v:stroke weight="1pt" color="#FF0000 [2404]" miterlimit="8" joinstyle="miter"/>
                      <v:imagedata o:title=""/>
                      <o:lock v:ext="edit" aspectratio="f"/>
                      <v:textbox inset="0mm,0mm,0mm,0mm">
                        <w:txbxContent>
                          <w:p w14:paraId="186A6065">
                            <w:pPr>
                              <w:ind w:left="0" w:leftChars="0" w:firstLine="0" w:firstLineChars="0"/>
                              <w:jc w:val="both"/>
                              <w:rPr>
                                <w:rFonts w:hint="eastAsia" w:eastAsia="宋体"/>
                                <w:color w:val="FF0000"/>
                                <w:sz w:val="21"/>
                                <w:szCs w:val="21"/>
                                <w:lang w:eastAsia="zh-CN"/>
                              </w:rPr>
                            </w:pPr>
                            <w:r>
                              <w:rPr>
                                <w:rFonts w:hint="eastAsia" w:eastAsia="宋体"/>
                                <w:color w:val="FF0000"/>
                                <w:sz w:val="21"/>
                                <w:szCs w:val="21"/>
                                <w:lang w:eastAsia="zh-CN"/>
                              </w:rPr>
                              <w:t>新增磷脂分线</w:t>
                            </w:r>
                          </w:p>
                        </w:txbxContent>
                      </v:textbox>
                    </v:shape>
                  </w:pict>
                </mc:Fallback>
              </mc:AlternateContent>
            </w:r>
            <w:r>
              <w:rPr>
                <w:rFonts w:hint="eastAsia"/>
                <w:color w:val="auto"/>
                <w:lang w:val="en-US" w:eastAsia="zh-CN"/>
              </w:rPr>
              <w:object>
                <v:shape id="_x0000_i1027" o:spt="75" type="#_x0000_t75" style="height:172.8pt;width:419.75pt;" o:ole="t" filled="f" o:preferrelative="t" stroked="f" coordsize="21600,21600">
                  <v:path/>
                  <v:fill on="f" focussize="0,0"/>
                  <v:stroke on="f"/>
                  <v:imagedata r:id="rId15" o:title=""/>
                  <o:lock v:ext="edit" aspectratio="f"/>
                  <w10:wrap type="none"/>
                  <w10:anchorlock/>
                </v:shape>
                <o:OLEObject Type="Embed" ProgID="Visio.Drawing.11" ShapeID="_x0000_i1027" DrawAspect="Content" ObjectID="_1468075727" r:id="rId14">
                  <o:LockedField>false</o:LockedField>
                </o:OLEObject>
              </w:object>
            </w:r>
            <w:r>
              <w:rPr>
                <w:rFonts w:hint="default" w:ascii="Times New Roman" w:hAnsi="Times New Roman" w:cs="Times New Roman"/>
                <w:b w:val="0"/>
                <w:bCs w:val="0"/>
                <w:color w:val="auto"/>
                <w:sz w:val="24"/>
                <w:szCs w:val="24"/>
                <w:lang w:eastAsia="zh-CN"/>
              </w:rPr>
              <w:t>图</w:t>
            </w:r>
            <w:r>
              <w:rPr>
                <w:rFonts w:hint="default" w:ascii="Times New Roman" w:hAnsi="Times New Roman" w:cs="Times New Roman"/>
                <w:b w:val="0"/>
                <w:bCs w:val="0"/>
                <w:color w:val="auto"/>
                <w:sz w:val="24"/>
                <w:szCs w:val="24"/>
                <w:lang w:val="en-US" w:eastAsia="zh-CN"/>
              </w:rPr>
              <w:t>2.</w:t>
            </w:r>
            <w:r>
              <w:rPr>
                <w:rFonts w:hint="eastAsia"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val="en-US" w:eastAsia="zh-CN"/>
              </w:rPr>
              <w:t xml:space="preserve"> 精炼生产线生产工艺流程图</w:t>
            </w:r>
          </w:p>
          <w:p w14:paraId="705D6C36">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工艺流程简介：</w:t>
            </w:r>
          </w:p>
          <w:p w14:paraId="6EF58424">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cs="Times New Roman"/>
                <w:color w:val="auto"/>
                <w:sz w:val="24"/>
                <w:szCs w:val="24"/>
                <w:lang w:val="en-US" w:eastAsia="zh-CN"/>
              </w:rPr>
            </w:pPr>
            <w:r>
              <w:rPr>
                <w:rFonts w:hint="default" w:ascii="Times New Roman" w:hAnsi="Times New Roman" w:cs="Times New Roman"/>
                <w:b w:val="0"/>
                <w:bCs w:val="0"/>
                <w:color w:val="auto"/>
                <w:sz w:val="24"/>
                <w:szCs w:val="24"/>
                <w:lang w:val="en-US" w:eastAsia="zh-CN"/>
              </w:rPr>
              <w:t>精炼生产线加工的</w:t>
            </w:r>
            <w:r>
              <w:rPr>
                <w:rFonts w:hint="eastAsia" w:ascii="Times New Roman" w:cs="Times New Roman"/>
                <w:b w:val="0"/>
                <w:bCs w:val="0"/>
                <w:color w:val="auto"/>
                <w:sz w:val="24"/>
                <w:szCs w:val="24"/>
                <w:lang w:val="en-US" w:eastAsia="zh-CN"/>
              </w:rPr>
              <w:t>原材料为毛油、脱胶油</w:t>
            </w:r>
            <w:r>
              <w:rPr>
                <w:rFonts w:hint="default" w:ascii="Times New Roman" w:hAnsi="Times New Roman" w:cs="Times New Roman"/>
                <w:b w:val="0"/>
                <w:bCs w:val="0"/>
                <w:color w:val="auto"/>
                <w:sz w:val="24"/>
                <w:szCs w:val="24"/>
                <w:highlight w:val="none"/>
                <w:lang w:val="en-US" w:eastAsia="zh-CN"/>
              </w:rPr>
              <w:t>，毛油</w:t>
            </w:r>
            <w:r>
              <w:rPr>
                <w:rFonts w:hint="eastAsia" w:ascii="Times New Roman" w:cs="Times New Roman"/>
                <w:b w:val="0"/>
                <w:bCs w:val="0"/>
                <w:color w:val="auto"/>
                <w:sz w:val="24"/>
                <w:szCs w:val="24"/>
                <w:highlight w:val="none"/>
                <w:lang w:val="en-US" w:eastAsia="zh-CN"/>
              </w:rPr>
              <w:t>加工量</w:t>
            </w:r>
            <w:r>
              <w:rPr>
                <w:rFonts w:hint="default" w:ascii="Times New Roman" w:hAnsi="Times New Roman" w:cs="Times New Roman"/>
                <w:b w:val="0"/>
                <w:bCs w:val="0"/>
                <w:color w:val="auto"/>
                <w:sz w:val="24"/>
                <w:szCs w:val="24"/>
                <w:highlight w:val="none"/>
                <w:lang w:val="en-US" w:eastAsia="zh-CN"/>
              </w:rPr>
              <w:t>为</w:t>
            </w:r>
            <w:r>
              <w:rPr>
                <w:rFonts w:hint="eastAsia" w:ascii="Times New Roman" w:cs="Times New Roman"/>
                <w:b w:val="0"/>
                <w:bCs w:val="0"/>
                <w:color w:val="auto"/>
                <w:sz w:val="24"/>
                <w:szCs w:val="24"/>
                <w:highlight w:val="none"/>
                <w:lang w:val="en-US" w:eastAsia="zh-CN"/>
              </w:rPr>
              <w:t>1092</w:t>
            </w:r>
            <w:r>
              <w:rPr>
                <w:rFonts w:hint="default" w:ascii="Times New Roman" w:hAnsi="Times New Roman" w:cs="Times New Roman"/>
                <w:b w:val="0"/>
                <w:bCs w:val="0"/>
                <w:color w:val="auto"/>
                <w:sz w:val="24"/>
                <w:szCs w:val="24"/>
                <w:highlight w:val="none"/>
                <w:lang w:val="en-US" w:eastAsia="zh-CN"/>
              </w:rPr>
              <w:t>t/d，即</w:t>
            </w:r>
            <w:r>
              <w:rPr>
                <w:rFonts w:hint="eastAsia" w:ascii="Times New Roman" w:cs="Times New Roman"/>
                <w:b w:val="0"/>
                <w:bCs w:val="0"/>
                <w:color w:val="auto"/>
                <w:sz w:val="24"/>
                <w:szCs w:val="24"/>
                <w:highlight w:val="none"/>
                <w:lang w:val="en-US" w:eastAsia="zh-CN"/>
              </w:rPr>
              <w:t>32.23</w:t>
            </w:r>
            <w:r>
              <w:rPr>
                <w:rFonts w:hint="default" w:ascii="Times New Roman" w:hAnsi="Times New Roman" w:cs="Times New Roman"/>
                <w:b w:val="0"/>
                <w:bCs w:val="0"/>
                <w:color w:val="auto"/>
                <w:sz w:val="24"/>
                <w:szCs w:val="24"/>
                <w:highlight w:val="none"/>
                <w:lang w:val="en-US" w:eastAsia="zh-CN"/>
              </w:rPr>
              <w:t>万t/a</w:t>
            </w:r>
            <w:r>
              <w:rPr>
                <w:rFonts w:hint="eastAsia" w:ascii="Times New Roman" w:cs="Times New Roman"/>
                <w:b w:val="0"/>
                <w:bCs w:val="0"/>
                <w:color w:val="auto"/>
                <w:sz w:val="24"/>
                <w:szCs w:val="24"/>
                <w:highlight w:val="none"/>
                <w:lang w:val="en-US" w:eastAsia="zh-CN"/>
              </w:rPr>
              <w:t>（全年工作天数为295天）</w:t>
            </w:r>
            <w:r>
              <w:rPr>
                <w:rFonts w:hint="default" w:ascii="Times New Roman" w:hAnsi="Times New Roman" w:cs="Times New Roman"/>
                <w:b w:val="0"/>
                <w:bCs w:val="0"/>
                <w:color w:val="auto"/>
                <w:sz w:val="24"/>
                <w:szCs w:val="24"/>
                <w:highlight w:val="none"/>
                <w:lang w:val="en-US" w:eastAsia="zh-CN"/>
              </w:rPr>
              <w:t>；</w:t>
            </w:r>
            <w:r>
              <w:rPr>
                <w:rFonts w:hint="eastAsia" w:ascii="Times New Roman" w:cs="Times New Roman"/>
                <w:b w:val="0"/>
                <w:bCs w:val="0"/>
                <w:color w:val="auto"/>
                <w:sz w:val="24"/>
                <w:szCs w:val="24"/>
                <w:lang w:val="en-US" w:eastAsia="zh-CN"/>
              </w:rPr>
              <w:t>脱胶油加工量</w:t>
            </w:r>
            <w:r>
              <w:rPr>
                <w:rFonts w:hint="eastAsia" w:ascii="Times New Roman" w:cs="Times New Roman"/>
                <w:b w:val="0"/>
                <w:bCs w:val="0"/>
                <w:color w:val="auto"/>
                <w:sz w:val="24"/>
                <w:szCs w:val="24"/>
                <w:highlight w:val="none"/>
                <w:lang w:val="en-US" w:eastAsia="zh-CN"/>
              </w:rPr>
              <w:t>1092</w:t>
            </w:r>
            <w:r>
              <w:rPr>
                <w:rFonts w:hint="default" w:ascii="Times New Roman" w:hAnsi="Times New Roman" w:cs="Times New Roman"/>
                <w:b w:val="0"/>
                <w:bCs w:val="0"/>
                <w:color w:val="auto"/>
                <w:sz w:val="24"/>
                <w:szCs w:val="24"/>
                <w:highlight w:val="none"/>
                <w:lang w:val="en-US" w:eastAsia="zh-CN"/>
              </w:rPr>
              <w:t>t/d，即</w:t>
            </w:r>
            <w:r>
              <w:rPr>
                <w:rFonts w:hint="eastAsia" w:ascii="Times New Roman" w:cs="Times New Roman"/>
                <w:b w:val="0"/>
                <w:bCs w:val="0"/>
                <w:color w:val="auto"/>
                <w:sz w:val="24"/>
                <w:szCs w:val="24"/>
                <w:highlight w:val="none"/>
                <w:lang w:val="en-US" w:eastAsia="zh-CN"/>
              </w:rPr>
              <w:t>5462</w:t>
            </w:r>
            <w:r>
              <w:rPr>
                <w:rFonts w:hint="default" w:ascii="Times New Roman" w:hAnsi="Times New Roman" w:cs="Times New Roman"/>
                <w:b w:val="0"/>
                <w:bCs w:val="0"/>
                <w:color w:val="auto"/>
                <w:sz w:val="24"/>
                <w:szCs w:val="24"/>
                <w:highlight w:val="none"/>
                <w:lang w:val="en-US" w:eastAsia="zh-CN"/>
              </w:rPr>
              <w:t>t/a</w:t>
            </w:r>
            <w:r>
              <w:rPr>
                <w:rFonts w:hint="eastAsia" w:ascii="Times New Roman" w:cs="Times New Roman"/>
                <w:b w:val="0"/>
                <w:bCs w:val="0"/>
                <w:color w:val="auto"/>
                <w:sz w:val="24"/>
                <w:szCs w:val="24"/>
                <w:highlight w:val="none"/>
                <w:lang w:val="en-US" w:eastAsia="zh-CN"/>
              </w:rPr>
              <w:t>（全年工作天数为5天）。</w:t>
            </w:r>
            <w:r>
              <w:rPr>
                <w:rFonts w:hint="default" w:ascii="Times New Roman" w:hAnsi="Times New Roman" w:cs="Times New Roman"/>
                <w:b w:val="0"/>
                <w:bCs w:val="0"/>
                <w:color w:val="auto"/>
                <w:sz w:val="24"/>
                <w:szCs w:val="24"/>
                <w:lang w:val="en-US" w:eastAsia="zh-CN"/>
              </w:rPr>
              <w:t>精炼生产线技改内容为：</w:t>
            </w:r>
            <w:r>
              <w:rPr>
                <w:rFonts w:hint="default" w:ascii="Times New Roman" w:hAnsi="Times New Roman" w:cs="Times New Roman"/>
                <w:color w:val="auto"/>
                <w:sz w:val="24"/>
                <w:szCs w:val="24"/>
                <w:lang w:val="en-US" w:eastAsia="zh-CN"/>
              </w:rPr>
              <w:t>酸化工序前新增1条磷脂线分线，</w:t>
            </w:r>
            <w:r>
              <w:rPr>
                <w:rFonts w:hint="eastAsia" w:ascii="Times New Roman" w:cs="Times New Roman"/>
                <w:color w:val="auto"/>
                <w:sz w:val="24"/>
                <w:szCs w:val="24"/>
                <w:lang w:val="en-US" w:eastAsia="zh-CN"/>
              </w:rPr>
              <w:t>毛油进入磷脂分线后</w:t>
            </w:r>
            <w:r>
              <w:rPr>
                <w:rFonts w:hint="default" w:ascii="Times New Roman" w:hAnsi="Times New Roman" w:cs="Times New Roman"/>
                <w:color w:val="auto"/>
                <w:sz w:val="24"/>
                <w:szCs w:val="24"/>
                <w:lang w:val="en-US" w:eastAsia="zh-CN"/>
              </w:rPr>
              <w:t>离心</w:t>
            </w:r>
            <w:r>
              <w:rPr>
                <w:rFonts w:hint="eastAsia" w:ascii="Times New Roman" w:cs="Times New Roman"/>
                <w:color w:val="auto"/>
                <w:sz w:val="24"/>
                <w:szCs w:val="24"/>
                <w:lang w:val="en-US" w:eastAsia="zh-CN"/>
              </w:rPr>
              <w:t>分离得到</w:t>
            </w:r>
            <w:r>
              <w:rPr>
                <w:rFonts w:hint="default" w:ascii="Times New Roman" w:hAnsi="Times New Roman" w:cs="Times New Roman"/>
                <w:color w:val="auto"/>
                <w:sz w:val="24"/>
                <w:szCs w:val="24"/>
                <w:lang w:val="en-US" w:eastAsia="zh-CN"/>
              </w:rPr>
              <w:t>油脚、脱胶油，油脚</w:t>
            </w:r>
            <w:r>
              <w:rPr>
                <w:rFonts w:hint="eastAsia" w:ascii="Times New Roman" w:cs="Times New Roman"/>
                <w:color w:val="auto"/>
                <w:sz w:val="24"/>
                <w:szCs w:val="24"/>
                <w:lang w:val="en-US" w:eastAsia="zh-CN"/>
              </w:rPr>
              <w:t>在</w:t>
            </w:r>
            <w:r>
              <w:rPr>
                <w:rFonts w:hint="default" w:ascii="Times New Roman" w:hAnsi="Times New Roman" w:cs="Times New Roman"/>
                <w:color w:val="auto"/>
                <w:sz w:val="24"/>
                <w:szCs w:val="24"/>
                <w:lang w:val="en-US" w:eastAsia="zh-CN"/>
              </w:rPr>
              <w:t>磷脂分线加工得到副产品磷脂，脱胶油则进入精炼线主线得到成品大豆油</w:t>
            </w:r>
            <w:r>
              <w:rPr>
                <w:rFonts w:hint="eastAsia" w:ascii="Times New Roman" w:cs="Times New Roman"/>
                <w:color w:val="auto"/>
                <w:sz w:val="24"/>
                <w:szCs w:val="24"/>
                <w:lang w:val="en-US" w:eastAsia="zh-CN"/>
              </w:rPr>
              <w:t>；外购的脱胶油则不进入磷脂分线，直接进入精炼线主线进行加工得到成品大豆油。</w:t>
            </w:r>
          </w:p>
          <w:p w14:paraId="00DD075E">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auto"/>
              <w:rPr>
                <w:rFonts w:hint="default" w:ascii="Times New Roman" w:hAnsi="Times New Roman" w:cs="Times New Roman"/>
                <w:color w:val="auto"/>
                <w:sz w:val="24"/>
                <w:szCs w:val="24"/>
                <w:lang w:val="en-US" w:eastAsia="zh-CN"/>
              </w:rPr>
            </w:pPr>
            <w:r>
              <w:rPr>
                <w:rFonts w:hint="eastAsia" w:ascii="Times New Roman" w:cs="Times New Roman"/>
                <w:color w:val="auto"/>
                <w:sz w:val="24"/>
                <w:szCs w:val="24"/>
                <w:lang w:val="en-US" w:eastAsia="zh-CN"/>
              </w:rPr>
              <w:t>磷脂分线的主要作用是将毛油中的磷脂分离出来，经浓缩后得到副产品磷脂，</w:t>
            </w:r>
            <w:r>
              <w:rPr>
                <w:rFonts w:hint="eastAsia" w:cs="Times New Roman"/>
                <w:color w:val="auto"/>
                <w:sz w:val="24"/>
                <w:szCs w:val="24"/>
                <w:lang w:val="en-US" w:eastAsia="zh-CN"/>
              </w:rPr>
              <w:t>从而减少固体废物皂脚的产生量。其原理是</w:t>
            </w:r>
            <w:r>
              <w:rPr>
                <w:rFonts w:hint="eastAsia" w:ascii="Times New Roman" w:cs="Times New Roman"/>
                <w:color w:val="auto"/>
                <w:sz w:val="24"/>
                <w:szCs w:val="24"/>
                <w:lang w:eastAsia="zh-CN"/>
              </w:rPr>
              <w:t>大豆</w:t>
            </w:r>
            <w:r>
              <w:rPr>
                <w:rFonts w:hint="default" w:ascii="Times New Roman" w:hAnsi="Times New Roman" w:cs="Times New Roman"/>
                <w:color w:val="auto"/>
                <w:sz w:val="24"/>
                <w:szCs w:val="24"/>
                <w:lang w:eastAsia="zh-CN"/>
              </w:rPr>
              <w:t>毛油经过脱胶后回脱出水化磷脂，降低毛油酸价，减少碱炼脱酸工序中氢氧化钠的</w:t>
            </w:r>
            <w:r>
              <w:rPr>
                <w:rFonts w:hint="eastAsia" w:ascii="Times New Roman" w:cs="Times New Roman"/>
                <w:color w:val="auto"/>
                <w:sz w:val="24"/>
                <w:szCs w:val="24"/>
                <w:lang w:eastAsia="zh-CN"/>
              </w:rPr>
              <w:t>使用</w:t>
            </w:r>
            <w:r>
              <w:rPr>
                <w:rFonts w:hint="default" w:ascii="Times New Roman" w:hAnsi="Times New Roman" w:cs="Times New Roman"/>
                <w:color w:val="auto"/>
                <w:sz w:val="24"/>
                <w:szCs w:val="24"/>
                <w:lang w:eastAsia="zh-CN"/>
              </w:rPr>
              <w:t>量，从而减少</w:t>
            </w:r>
            <w:r>
              <w:rPr>
                <w:rFonts w:hint="eastAsia" w:ascii="Times New Roman" w:cs="Times New Roman"/>
                <w:color w:val="auto"/>
                <w:sz w:val="24"/>
                <w:szCs w:val="24"/>
                <w:lang w:eastAsia="zh-CN"/>
              </w:rPr>
              <w:t>一般工业固废皂脚</w:t>
            </w:r>
            <w:r>
              <w:rPr>
                <w:rFonts w:hint="default" w:ascii="Times New Roman" w:hAnsi="Times New Roman" w:cs="Times New Roman"/>
                <w:color w:val="auto"/>
                <w:sz w:val="24"/>
                <w:szCs w:val="24"/>
                <w:lang w:eastAsia="zh-CN"/>
              </w:rPr>
              <w:t>产量。</w:t>
            </w:r>
            <w:r>
              <w:rPr>
                <w:rFonts w:hint="eastAsia" w:ascii="Times New Roman" w:cs="Times New Roman"/>
                <w:b w:val="0"/>
                <w:bCs w:val="0"/>
                <w:color w:val="auto"/>
                <w:sz w:val="24"/>
                <w:szCs w:val="24"/>
                <w:lang w:val="en-US" w:eastAsia="zh-CN"/>
              </w:rPr>
              <w:t>由于磷脂分线仅加工毛油，磷脂分线全年工作天数为295天，精炼线主线工作天数为300天。</w:t>
            </w:r>
          </w:p>
          <w:p w14:paraId="03BA0C00">
            <w:pPr>
              <w:pStyle w:val="8"/>
              <w:spacing w:after="0" w:line="360" w:lineRule="auto"/>
              <w:ind w:firstLine="480"/>
              <w:rPr>
                <w:color w:val="auto"/>
                <w:sz w:val="24"/>
                <w:szCs w:val="24"/>
              </w:rPr>
            </w:pPr>
            <w:r>
              <w:rPr>
                <w:rFonts w:hint="eastAsia"/>
                <w:color w:val="auto"/>
                <w:sz w:val="24"/>
                <w:szCs w:val="24"/>
                <w:lang w:eastAsia="zh-CN"/>
              </w:rPr>
              <w:t>毛油</w:t>
            </w:r>
            <w:r>
              <w:rPr>
                <w:rFonts w:hint="eastAsia"/>
                <w:color w:val="auto"/>
                <w:sz w:val="24"/>
                <w:szCs w:val="24"/>
              </w:rPr>
              <w:t>精炼工序主要分为中和</w:t>
            </w:r>
            <w:r>
              <w:rPr>
                <w:rFonts w:hint="eastAsia"/>
                <w:color w:val="auto"/>
                <w:sz w:val="24"/>
                <w:szCs w:val="24"/>
                <w:lang w:eastAsia="zh-CN"/>
              </w:rPr>
              <w:t>（酸化、碱炼脱酸）</w:t>
            </w:r>
            <w:r>
              <w:rPr>
                <w:rFonts w:hint="eastAsia"/>
                <w:color w:val="auto"/>
                <w:sz w:val="24"/>
                <w:szCs w:val="24"/>
              </w:rPr>
              <w:t>、脱色和脱臭三部分。</w:t>
            </w:r>
          </w:p>
          <w:p w14:paraId="72F67F93">
            <w:pPr>
              <w:pStyle w:val="8"/>
              <w:spacing w:after="0" w:line="360" w:lineRule="auto"/>
              <w:ind w:firstLine="480"/>
              <w:rPr>
                <w:rFonts w:hint="default" w:ascii="Times New Roman" w:hAnsi="Times New Roman" w:eastAsia="宋体" w:cs="Times New Roman"/>
                <w:color w:val="auto"/>
                <w:sz w:val="24"/>
                <w:szCs w:val="24"/>
                <w:lang w:val="en-US" w:eastAsia="zh-CN"/>
              </w:rPr>
            </w:pPr>
            <w:r>
              <w:rPr>
                <w:rFonts w:hint="eastAsia" w:eastAsia="宋体"/>
                <w:color w:val="auto"/>
                <w:sz w:val="24"/>
                <w:szCs w:val="24"/>
                <w:lang w:eastAsia="zh-CN"/>
              </w:rPr>
              <w:t>换热</w:t>
            </w:r>
            <w:r>
              <w:rPr>
                <w:rFonts w:hint="eastAsia" w:eastAsia="宋体"/>
                <w:color w:val="auto"/>
                <w:sz w:val="24"/>
                <w:szCs w:val="24"/>
                <w:lang w:val="en-US" w:eastAsia="zh-CN"/>
              </w:rPr>
              <w:t>/加热：油料经毛油储罐进入精炼生产线，由油泵送入节能换热器（正常生产时，油油换热）和板式加热器（开车时，蒸汽加热），使毛油加热至85</w:t>
            </w:r>
            <w:r>
              <w:rPr>
                <w:rFonts w:hint="eastAsia" w:ascii="宋体" w:hAnsi="宋体" w:eastAsia="宋体" w:cs="宋体"/>
                <w:color w:val="auto"/>
                <w:sz w:val="24"/>
                <w:szCs w:val="24"/>
                <w:lang w:val="en-US" w:eastAsia="zh-CN"/>
              </w:rPr>
              <w:t>～</w:t>
            </w:r>
            <w:r>
              <w:rPr>
                <w:rFonts w:hint="eastAsia" w:eastAsia="宋体" w:cs="Times New Roman"/>
                <w:color w:val="auto"/>
                <w:sz w:val="24"/>
                <w:szCs w:val="24"/>
                <w:lang w:val="en-US" w:eastAsia="zh-CN"/>
              </w:rPr>
              <w:t>90℃。</w:t>
            </w:r>
          </w:p>
          <w:p w14:paraId="406112CA">
            <w:pPr>
              <w:pStyle w:val="8"/>
              <w:spacing w:after="0" w:line="360" w:lineRule="auto"/>
              <w:ind w:firstLine="480" w:firstLineChars="200"/>
              <w:rPr>
                <w:rFonts w:hint="eastAsia" w:eastAsia="宋体" w:cs="Times New Roman"/>
                <w:color w:val="auto"/>
                <w:sz w:val="24"/>
                <w:szCs w:val="24"/>
                <w:lang w:val="en-US" w:eastAsia="zh-CN"/>
              </w:rPr>
            </w:pPr>
            <w:r>
              <w:rPr>
                <w:rFonts w:hint="eastAsia"/>
                <w:color w:val="auto"/>
                <w:sz w:val="24"/>
                <w:szCs w:val="24"/>
                <w:lang w:eastAsia="zh-CN"/>
              </w:rPr>
              <w:t>静态混合：企业自产毛油经加热后通过油泵加入到脱胶混合器，同时加入</w:t>
            </w:r>
            <w:r>
              <w:rPr>
                <w:rFonts w:hint="eastAsia" w:eastAsia="宋体"/>
                <w:color w:val="auto"/>
                <w:sz w:val="24"/>
                <w:szCs w:val="24"/>
                <w:lang w:val="en-US" w:eastAsia="zh-CN"/>
              </w:rPr>
              <w:t>85</w:t>
            </w:r>
            <w:r>
              <w:rPr>
                <w:rFonts w:hint="eastAsia" w:ascii="宋体" w:hAnsi="宋体" w:eastAsia="宋体" w:cs="宋体"/>
                <w:color w:val="auto"/>
                <w:sz w:val="24"/>
                <w:szCs w:val="24"/>
                <w:lang w:val="en-US" w:eastAsia="zh-CN"/>
              </w:rPr>
              <w:t>～</w:t>
            </w:r>
            <w:r>
              <w:rPr>
                <w:rFonts w:hint="eastAsia" w:eastAsia="宋体" w:cs="Times New Roman"/>
                <w:color w:val="auto"/>
                <w:sz w:val="24"/>
                <w:szCs w:val="24"/>
                <w:lang w:val="en-US" w:eastAsia="zh-CN"/>
              </w:rPr>
              <w:t>92℃的热水，热水可以使毛油中的胶体吸水膨胀，同时使毛油中的磷脂溶解在热水中，在离心力的作用下，轻相和重相更容易分离，有助于提高离心分离的效果，毛油与热水的混合比例为</w:t>
            </w:r>
            <w:r>
              <w:rPr>
                <w:rFonts w:hint="eastAsia" w:eastAsia="宋体" w:cs="Times New Roman"/>
                <w:color w:val="auto"/>
                <w:sz w:val="24"/>
                <w:szCs w:val="24"/>
                <w:highlight w:val="none"/>
                <w:lang w:val="en-US" w:eastAsia="zh-CN"/>
              </w:rPr>
              <w:t>40:1</w:t>
            </w:r>
            <w:r>
              <w:rPr>
                <w:rFonts w:hint="eastAsia" w:eastAsia="宋体" w:cs="Times New Roman"/>
                <w:color w:val="auto"/>
                <w:sz w:val="24"/>
                <w:szCs w:val="24"/>
                <w:lang w:val="en-US" w:eastAsia="zh-CN"/>
              </w:rPr>
              <w:t>。</w:t>
            </w:r>
          </w:p>
          <w:p w14:paraId="5D33B379">
            <w:pPr>
              <w:pStyle w:val="8"/>
              <w:spacing w:after="0" w:line="360" w:lineRule="auto"/>
              <w:ind w:firstLine="480" w:firstLineChars="200"/>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离心分离：完成静态混合后的油-水混合物采用离心机进行分离，在离心机的作用下，分离出水化油脚、脱胶油，离心机的加工能力为1100吨/天。</w:t>
            </w:r>
          </w:p>
          <w:p w14:paraId="4ED14901">
            <w:pPr>
              <w:pStyle w:val="8"/>
              <w:spacing w:after="0" w:line="360" w:lineRule="auto"/>
              <w:ind w:firstLine="480" w:firstLineChars="200"/>
              <w:rPr>
                <w:rFonts w:hint="eastAsia" w:eastAsia="宋体" w:cs="Times New Roman"/>
                <w:color w:val="auto"/>
                <w:sz w:val="24"/>
                <w:szCs w:val="24"/>
                <w:lang w:val="en-US" w:eastAsia="zh-CN"/>
              </w:rPr>
            </w:pPr>
            <w:r>
              <w:rPr>
                <w:rFonts w:hint="eastAsia" w:eastAsia="宋体" w:cs="Times New Roman"/>
                <w:color w:val="auto"/>
                <w:sz w:val="24"/>
                <w:szCs w:val="24"/>
                <w:lang w:val="en-US" w:eastAsia="zh-CN"/>
              </w:rPr>
              <w:t>薄膜蒸发：离心分离后得到的水化油脚通过油泵加入到薄膜蒸发器中，让水化油脚自上而下流过薄膜蒸发器，水化油脚在薄膜蒸发器中充分地旋转从而被刮分成薄膜状，在液环真空泵的作用下使薄膜蒸发器内保持负压，同时使用蒸汽对水化油脚进行间接加热，加热温度为110</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120℃</w:t>
            </w:r>
            <w:r>
              <w:rPr>
                <w:rFonts w:hint="eastAsia" w:eastAsia="宋体" w:cs="Times New Roman"/>
                <w:color w:val="auto"/>
                <w:sz w:val="24"/>
                <w:szCs w:val="24"/>
                <w:lang w:val="en-US" w:eastAsia="zh-CN"/>
              </w:rPr>
              <w:t>，使水化油脚中的水分快速蒸发得到浓缩磷脂，浓缩磷脂在重力及不断进入水化油脚的压力下，不断地从薄膜蒸发器尾端流出。</w:t>
            </w:r>
          </w:p>
          <w:p w14:paraId="50758723">
            <w:pPr>
              <w:pStyle w:val="8"/>
              <w:spacing w:after="0" w:line="360" w:lineRule="auto"/>
              <w:ind w:firstLine="480" w:firstLineChars="200"/>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真空捕集：水化油脚中蒸发的水分由薄膜蒸发器顶端进行真空冷凝器，真空冷凝器对水蒸气进行冷凝，此环节将产生冷凝废水W7，非甲烷总烃G34。</w:t>
            </w:r>
          </w:p>
          <w:p w14:paraId="087F5F04">
            <w:pPr>
              <w:pStyle w:val="8"/>
              <w:spacing w:after="0" w:line="360" w:lineRule="auto"/>
              <w:ind w:firstLine="480" w:firstLineChars="200"/>
              <w:rPr>
                <w:rFonts w:hint="default"/>
                <w:color w:val="auto"/>
                <w:sz w:val="24"/>
                <w:szCs w:val="24"/>
                <w:lang w:val="en-US" w:eastAsia="zh-CN"/>
              </w:rPr>
            </w:pPr>
            <w:r>
              <w:rPr>
                <w:rFonts w:hint="eastAsia"/>
                <w:color w:val="auto"/>
                <w:sz w:val="24"/>
                <w:szCs w:val="24"/>
                <w:lang w:eastAsia="zh-CN"/>
              </w:rPr>
              <w:t>冷却：浓缩磷脂在通过油泵加入到磷脂冷却器中，磷脂冷却器通过加入冷却循环水对浓缩磷脂进行间接冷却，冷却循环水量为</w:t>
            </w:r>
            <w:r>
              <w:rPr>
                <w:rFonts w:hint="eastAsia"/>
                <w:color w:val="auto"/>
                <w:sz w:val="24"/>
                <w:szCs w:val="24"/>
                <w:lang w:val="en-US" w:eastAsia="zh-CN"/>
              </w:rPr>
              <w:t>10m</w:t>
            </w:r>
            <w:r>
              <w:rPr>
                <w:rFonts w:hint="eastAsia"/>
                <w:color w:val="auto"/>
                <w:sz w:val="24"/>
                <w:szCs w:val="24"/>
                <w:vertAlign w:val="superscript"/>
                <w:lang w:val="en-US" w:eastAsia="zh-CN"/>
              </w:rPr>
              <w:t>3</w:t>
            </w:r>
            <w:r>
              <w:rPr>
                <w:rFonts w:hint="eastAsia"/>
                <w:color w:val="auto"/>
                <w:sz w:val="24"/>
                <w:szCs w:val="24"/>
                <w:lang w:val="en-US" w:eastAsia="zh-CN"/>
              </w:rPr>
              <w:t>/h，浓缩磷脂将被冷却到60℃，浓缩磷脂经冷却后得到成品大豆磷脂。</w:t>
            </w:r>
          </w:p>
          <w:p w14:paraId="0772D1A8">
            <w:pPr>
              <w:pStyle w:val="8"/>
              <w:spacing w:after="0" w:line="360" w:lineRule="auto"/>
              <w:ind w:firstLine="480" w:firstLineChars="200"/>
              <w:rPr>
                <w:rFonts w:hint="eastAsia" w:eastAsia="宋体"/>
                <w:color w:val="auto"/>
                <w:sz w:val="24"/>
                <w:szCs w:val="24"/>
                <w:lang w:eastAsia="zh-CN"/>
              </w:rPr>
            </w:pPr>
            <w:r>
              <w:rPr>
                <w:rFonts w:hint="eastAsia"/>
                <w:color w:val="auto"/>
                <w:sz w:val="24"/>
                <w:szCs w:val="24"/>
                <w:lang w:eastAsia="zh-CN"/>
              </w:rPr>
              <w:t>酸化</w:t>
            </w:r>
            <w:r>
              <w:rPr>
                <w:rFonts w:hint="eastAsia"/>
                <w:color w:val="auto"/>
                <w:sz w:val="24"/>
                <w:szCs w:val="24"/>
              </w:rPr>
              <w:t>：</w:t>
            </w:r>
            <w:r>
              <w:rPr>
                <w:rFonts w:hint="eastAsia" w:eastAsia="宋体"/>
                <w:color w:val="auto"/>
                <w:sz w:val="24"/>
                <w:szCs w:val="24"/>
                <w:lang w:eastAsia="zh-CN"/>
              </w:rPr>
              <w:t>脱胶油通过混合泵加入酸化反应罐，同时加入</w:t>
            </w:r>
            <w:r>
              <w:rPr>
                <w:rFonts w:hint="eastAsia"/>
                <w:color w:val="auto"/>
                <w:sz w:val="24"/>
                <w:szCs w:val="24"/>
              </w:rPr>
              <w:t>食用级磷酸</w:t>
            </w:r>
            <w:r>
              <w:rPr>
                <w:rFonts w:hint="eastAsia" w:eastAsia="宋体"/>
                <w:color w:val="auto"/>
                <w:sz w:val="24"/>
                <w:szCs w:val="24"/>
                <w:lang w:eastAsia="zh-CN"/>
              </w:rPr>
              <w:t>，利</w:t>
            </w:r>
            <w:r>
              <w:rPr>
                <w:rFonts w:hint="eastAsia"/>
                <w:color w:val="auto"/>
                <w:sz w:val="24"/>
                <w:szCs w:val="24"/>
              </w:rPr>
              <w:t>用食用级磷酸将</w:t>
            </w:r>
            <w:r>
              <w:rPr>
                <w:rFonts w:hint="eastAsia" w:eastAsia="宋体"/>
                <w:color w:val="auto"/>
                <w:sz w:val="24"/>
                <w:szCs w:val="24"/>
                <w:lang w:eastAsia="zh-CN"/>
              </w:rPr>
              <w:t>脱胶油中</w:t>
            </w:r>
            <w:r>
              <w:rPr>
                <w:rFonts w:hint="eastAsia"/>
                <w:color w:val="auto"/>
                <w:sz w:val="24"/>
                <w:szCs w:val="24"/>
              </w:rPr>
              <w:t>非水化磷脂转变成水化磷脂，</w:t>
            </w:r>
            <w:r>
              <w:rPr>
                <w:rFonts w:hint="eastAsia" w:eastAsia="宋体"/>
                <w:color w:val="auto"/>
                <w:sz w:val="24"/>
                <w:szCs w:val="24"/>
                <w:lang w:eastAsia="zh-CN"/>
              </w:rPr>
              <w:t>再</w:t>
            </w:r>
            <w:r>
              <w:rPr>
                <w:rFonts w:hint="eastAsia"/>
                <w:color w:val="auto"/>
                <w:sz w:val="24"/>
                <w:szCs w:val="24"/>
              </w:rPr>
              <w:t>利用磷脂等脂质分子中所含的亲水基，使胶体水溶性脂质吸水膨胀、凝聚</w:t>
            </w:r>
            <w:r>
              <w:rPr>
                <w:rFonts w:hint="eastAsia" w:eastAsia="宋体"/>
                <w:color w:val="auto"/>
                <w:sz w:val="24"/>
                <w:szCs w:val="24"/>
                <w:lang w:eastAsia="zh-CN"/>
              </w:rPr>
              <w:t>，从而达到去除油料中磷脂的目的。</w:t>
            </w:r>
            <w:r>
              <w:rPr>
                <w:rFonts w:hint="eastAsia"/>
                <w:color w:val="auto"/>
                <w:sz w:val="24"/>
                <w:szCs w:val="24"/>
                <w:lang w:eastAsia="zh-CN"/>
              </w:rPr>
              <w:t>磷酸的投加比例为</w:t>
            </w:r>
            <w:r>
              <w:rPr>
                <w:rFonts w:hint="eastAsia"/>
                <w:color w:val="auto"/>
                <w:sz w:val="24"/>
                <w:szCs w:val="24"/>
                <w:lang w:val="en-US" w:eastAsia="zh-CN"/>
              </w:rPr>
              <w:t>0.6kg/t-原料，反应时间为60min、反应温度为75</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85℃</w:t>
            </w:r>
            <w:r>
              <w:rPr>
                <w:rFonts w:hint="eastAsia"/>
                <w:color w:val="auto"/>
                <w:sz w:val="24"/>
                <w:szCs w:val="24"/>
                <w:lang w:val="en-US" w:eastAsia="zh-CN"/>
              </w:rPr>
              <w:t>，加热使用的能源为电能</w:t>
            </w:r>
            <w:r>
              <w:rPr>
                <w:color w:val="auto"/>
                <w:sz w:val="24"/>
                <w:szCs w:val="24"/>
              </w:rPr>
              <w:t>。</w:t>
            </w:r>
          </w:p>
          <w:p w14:paraId="170E5D5F">
            <w:pPr>
              <w:pStyle w:val="8"/>
              <w:spacing w:after="0" w:line="360" w:lineRule="auto"/>
              <w:ind w:firstLine="480"/>
              <w:rPr>
                <w:rFonts w:hint="eastAsia" w:eastAsia="宋体"/>
                <w:color w:val="auto"/>
                <w:sz w:val="24"/>
                <w:szCs w:val="24"/>
                <w:lang w:eastAsia="zh-CN"/>
              </w:rPr>
            </w:pPr>
            <w:r>
              <w:rPr>
                <w:rFonts w:hint="eastAsia"/>
                <w:color w:val="auto"/>
                <w:sz w:val="24"/>
                <w:szCs w:val="24"/>
                <w:lang w:eastAsia="zh-CN"/>
              </w:rPr>
              <w:t>碱炼脱酸：脱胶油经酸化反应后被油泵加入加入到</w:t>
            </w:r>
            <w:r>
              <w:rPr>
                <w:rFonts w:hint="eastAsia" w:cs="Times New Roman"/>
                <w:color w:val="auto"/>
                <w:sz w:val="24"/>
                <w:szCs w:val="24"/>
                <w:lang w:val="en-US" w:eastAsia="zh-CN"/>
              </w:rPr>
              <w:t>碱炼脱酸反应罐中，</w:t>
            </w:r>
            <w:r>
              <w:rPr>
                <w:color w:val="auto"/>
                <w:sz w:val="24"/>
                <w:szCs w:val="24"/>
              </w:rPr>
              <w:t>利用酸碱中和反应的原理向酸化过后的毛油中添加适量的</w:t>
            </w:r>
            <w:r>
              <w:rPr>
                <w:rFonts w:hint="eastAsia"/>
                <w:color w:val="auto"/>
                <w:sz w:val="24"/>
                <w:szCs w:val="24"/>
                <w:lang w:eastAsia="zh-CN"/>
              </w:rPr>
              <w:t>液碱（氢氧化钠）</w:t>
            </w:r>
            <w:r>
              <w:rPr>
                <w:color w:val="auto"/>
                <w:sz w:val="24"/>
                <w:szCs w:val="24"/>
              </w:rPr>
              <w:t>，以中和掉毛油中的游离脂肪酸</w:t>
            </w:r>
            <w:r>
              <w:rPr>
                <w:rFonts w:hint="eastAsia"/>
                <w:color w:val="auto"/>
                <w:sz w:val="24"/>
                <w:szCs w:val="24"/>
                <w:lang w:eastAsia="zh-CN"/>
              </w:rPr>
              <w:t>，生成脂肪酸钠</w:t>
            </w:r>
            <w:r>
              <w:rPr>
                <w:color w:val="auto"/>
                <w:sz w:val="24"/>
                <w:szCs w:val="24"/>
              </w:rPr>
              <w:t>。</w:t>
            </w:r>
            <w:r>
              <w:rPr>
                <w:rFonts w:hint="eastAsia"/>
                <w:color w:val="auto"/>
                <w:sz w:val="24"/>
                <w:szCs w:val="24"/>
                <w:lang w:eastAsia="zh-CN"/>
              </w:rPr>
              <w:t>液碱的投加比例为</w:t>
            </w:r>
            <w:r>
              <w:rPr>
                <w:rFonts w:hint="eastAsia"/>
                <w:color w:val="auto"/>
                <w:sz w:val="24"/>
                <w:szCs w:val="24"/>
                <w:lang w:val="en-US" w:eastAsia="zh-CN"/>
              </w:rPr>
              <w:t>3.25kg/t-原料，反应时间为60min、反应温度为75</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85℃</w:t>
            </w:r>
            <w:r>
              <w:rPr>
                <w:rFonts w:hint="eastAsia"/>
                <w:color w:val="auto"/>
                <w:sz w:val="24"/>
                <w:szCs w:val="24"/>
                <w:lang w:val="en-US" w:eastAsia="zh-CN"/>
              </w:rPr>
              <w:t>，加热使用的能源为电能</w:t>
            </w:r>
            <w:r>
              <w:rPr>
                <w:color w:val="auto"/>
                <w:sz w:val="24"/>
                <w:szCs w:val="24"/>
              </w:rPr>
              <w:t>。</w:t>
            </w:r>
          </w:p>
          <w:p w14:paraId="3E5185F3">
            <w:pPr>
              <w:pStyle w:val="8"/>
              <w:spacing w:after="0" w:line="360" w:lineRule="auto"/>
              <w:ind w:firstLine="480"/>
              <w:rPr>
                <w:rFonts w:hint="eastAsia" w:eastAsia="宋体"/>
                <w:color w:val="auto"/>
                <w:sz w:val="24"/>
                <w:szCs w:val="24"/>
                <w:lang w:eastAsia="zh-CN"/>
              </w:rPr>
            </w:pPr>
            <w:r>
              <w:rPr>
                <w:rFonts w:hint="eastAsia" w:eastAsia="宋体"/>
                <w:color w:val="auto"/>
                <w:sz w:val="24"/>
                <w:szCs w:val="24"/>
                <w:lang w:eastAsia="zh-CN"/>
              </w:rPr>
              <w:t>离心分离：</w:t>
            </w:r>
            <w:r>
              <w:rPr>
                <w:rFonts w:hint="eastAsia"/>
                <w:color w:val="auto"/>
                <w:sz w:val="24"/>
                <w:szCs w:val="24"/>
              </w:rPr>
              <w:t>完成中和反应的油-碱混合物</w:t>
            </w:r>
            <w:r>
              <w:rPr>
                <w:rFonts w:hint="eastAsia" w:eastAsia="宋体"/>
                <w:color w:val="auto"/>
                <w:sz w:val="24"/>
                <w:szCs w:val="24"/>
                <w:lang w:eastAsia="zh-CN"/>
              </w:rPr>
              <w:t>再采用</w:t>
            </w:r>
            <w:r>
              <w:rPr>
                <w:rFonts w:hint="eastAsia"/>
                <w:color w:val="auto"/>
                <w:sz w:val="24"/>
                <w:szCs w:val="24"/>
              </w:rPr>
              <w:t>离心机进行油皂分离</w:t>
            </w:r>
            <w:r>
              <w:rPr>
                <w:rFonts w:hint="eastAsia" w:eastAsia="宋体"/>
                <w:color w:val="auto"/>
                <w:sz w:val="24"/>
                <w:szCs w:val="24"/>
                <w:lang w:eastAsia="zh-CN"/>
              </w:rPr>
              <w:t>，将</w:t>
            </w:r>
            <w:r>
              <w:rPr>
                <w:rFonts w:hint="eastAsia"/>
                <w:color w:val="auto"/>
                <w:sz w:val="24"/>
                <w:szCs w:val="24"/>
                <w:lang w:eastAsia="zh-CN"/>
              </w:rPr>
              <w:t>碱炼脱酸工序</w:t>
            </w:r>
            <w:r>
              <w:rPr>
                <w:color w:val="auto"/>
                <w:sz w:val="24"/>
                <w:szCs w:val="24"/>
              </w:rPr>
              <w:t>反应生成的脂肪酸钠</w:t>
            </w:r>
            <w:r>
              <w:rPr>
                <w:rFonts w:hint="eastAsia"/>
                <w:color w:val="auto"/>
                <w:sz w:val="24"/>
                <w:szCs w:val="24"/>
                <w:lang w:eastAsia="zh-CN"/>
              </w:rPr>
              <w:t>（皂脚）</w:t>
            </w:r>
            <w:r>
              <w:rPr>
                <w:color w:val="auto"/>
                <w:sz w:val="24"/>
                <w:szCs w:val="24"/>
              </w:rPr>
              <w:t>与</w:t>
            </w:r>
            <w:r>
              <w:rPr>
                <w:rFonts w:hint="eastAsia" w:eastAsia="宋体"/>
                <w:color w:val="auto"/>
                <w:sz w:val="24"/>
                <w:szCs w:val="24"/>
                <w:lang w:eastAsia="zh-CN"/>
              </w:rPr>
              <w:t>油料</w:t>
            </w:r>
            <w:r>
              <w:rPr>
                <w:color w:val="auto"/>
                <w:sz w:val="24"/>
                <w:szCs w:val="24"/>
              </w:rPr>
              <w:t>进行分离</w:t>
            </w:r>
            <w:r>
              <w:rPr>
                <w:rFonts w:hint="eastAsia"/>
                <w:color w:val="auto"/>
                <w:sz w:val="24"/>
                <w:szCs w:val="24"/>
                <w:lang w:eastAsia="zh-CN"/>
              </w:rPr>
              <w:t>，</w:t>
            </w:r>
            <w:r>
              <w:rPr>
                <w:rFonts w:hint="eastAsia" w:eastAsia="宋体"/>
                <w:color w:val="auto"/>
                <w:sz w:val="24"/>
                <w:szCs w:val="24"/>
                <w:lang w:eastAsia="zh-CN"/>
              </w:rPr>
              <w:t>从而得到</w:t>
            </w:r>
            <w:r>
              <w:rPr>
                <w:rFonts w:hint="eastAsia"/>
                <w:color w:val="auto"/>
                <w:sz w:val="24"/>
                <w:szCs w:val="24"/>
              </w:rPr>
              <w:t>含皂脱酸油</w:t>
            </w:r>
            <w:r>
              <w:rPr>
                <w:rFonts w:hint="eastAsia" w:eastAsia="宋体"/>
                <w:color w:val="auto"/>
                <w:sz w:val="24"/>
                <w:szCs w:val="24"/>
                <w:lang w:eastAsia="zh-CN"/>
              </w:rPr>
              <w:t>以及</w:t>
            </w:r>
            <w:r>
              <w:rPr>
                <w:rFonts w:hint="eastAsia"/>
                <w:color w:val="auto"/>
                <w:sz w:val="24"/>
                <w:szCs w:val="24"/>
              </w:rPr>
              <w:t>皂脚</w:t>
            </w:r>
            <w:r>
              <w:rPr>
                <w:rFonts w:hint="eastAsia" w:eastAsia="宋体"/>
                <w:color w:val="auto"/>
                <w:sz w:val="24"/>
                <w:szCs w:val="24"/>
                <w:lang w:val="en-US" w:eastAsia="zh-CN"/>
              </w:rPr>
              <w:t>S2</w:t>
            </w:r>
            <w:r>
              <w:rPr>
                <w:rFonts w:hint="eastAsia" w:eastAsia="宋体"/>
                <w:color w:val="auto"/>
                <w:sz w:val="24"/>
                <w:szCs w:val="24"/>
                <w:lang w:eastAsia="zh-CN"/>
              </w:rPr>
              <w:t>，皂脚由泵输送至皂脚罐中储存。</w:t>
            </w:r>
          </w:p>
          <w:p w14:paraId="27E34BB5">
            <w:pPr>
              <w:pStyle w:val="8"/>
              <w:spacing w:after="0" w:line="360" w:lineRule="auto"/>
              <w:ind w:firstLine="480" w:firstLineChars="200"/>
              <w:rPr>
                <w:rFonts w:hint="default"/>
                <w:color w:val="auto"/>
                <w:sz w:val="24"/>
                <w:szCs w:val="24"/>
                <w:lang w:val="en-US"/>
              </w:rPr>
            </w:pPr>
            <w:r>
              <w:rPr>
                <w:rFonts w:hint="eastAsia" w:eastAsia="宋体"/>
                <w:color w:val="auto"/>
                <w:sz w:val="24"/>
                <w:szCs w:val="24"/>
                <w:lang w:eastAsia="zh-CN"/>
              </w:rPr>
              <w:t>水洗：经离心机</w:t>
            </w:r>
            <w:r>
              <w:rPr>
                <w:rFonts w:hint="eastAsia"/>
                <w:color w:val="auto"/>
                <w:sz w:val="24"/>
                <w:szCs w:val="24"/>
              </w:rPr>
              <w:t>分离出的脱酸油进入</w:t>
            </w:r>
            <w:r>
              <w:rPr>
                <w:rFonts w:hint="eastAsia" w:eastAsia="宋体"/>
                <w:color w:val="auto"/>
                <w:sz w:val="24"/>
                <w:szCs w:val="24"/>
                <w:lang w:eastAsia="zh-CN"/>
              </w:rPr>
              <w:t>水洗罐中</w:t>
            </w:r>
            <w:r>
              <w:rPr>
                <w:rFonts w:hint="eastAsia"/>
                <w:color w:val="auto"/>
                <w:sz w:val="24"/>
                <w:szCs w:val="24"/>
              </w:rPr>
              <w:t>，并由热水泵送入的</w:t>
            </w:r>
            <w:r>
              <w:rPr>
                <w:rFonts w:hint="eastAsia"/>
                <w:color w:val="auto"/>
                <w:sz w:val="24"/>
                <w:szCs w:val="24"/>
                <w:lang w:eastAsia="zh-CN"/>
              </w:rPr>
              <w:t>蒸汽冷凝水（热水），</w:t>
            </w:r>
            <w:r>
              <w:rPr>
                <w:rFonts w:hint="eastAsia"/>
                <w:color w:val="auto"/>
                <w:sz w:val="24"/>
                <w:szCs w:val="24"/>
              </w:rPr>
              <w:t>脱酸油</w:t>
            </w:r>
            <w:r>
              <w:rPr>
                <w:color w:val="auto"/>
                <w:sz w:val="24"/>
                <w:szCs w:val="24"/>
              </w:rPr>
              <w:t>中残留的脂肪酸钠</w:t>
            </w:r>
            <w:r>
              <w:rPr>
                <w:rFonts w:hint="eastAsia"/>
                <w:color w:val="auto"/>
                <w:sz w:val="24"/>
                <w:szCs w:val="24"/>
                <w:lang w:eastAsia="zh-CN"/>
              </w:rPr>
              <w:t>（皂脚）溶解在热水中，从而达到去除残留</w:t>
            </w:r>
            <w:r>
              <w:rPr>
                <w:color w:val="auto"/>
                <w:sz w:val="24"/>
                <w:szCs w:val="24"/>
              </w:rPr>
              <w:t>脂肪酸钠</w:t>
            </w:r>
            <w:r>
              <w:rPr>
                <w:rFonts w:hint="eastAsia"/>
                <w:color w:val="auto"/>
                <w:sz w:val="24"/>
                <w:szCs w:val="24"/>
                <w:lang w:eastAsia="zh-CN"/>
              </w:rPr>
              <w:t>（皂脚）的目的</w:t>
            </w:r>
            <w:r>
              <w:rPr>
                <w:color w:val="auto"/>
                <w:sz w:val="24"/>
                <w:szCs w:val="24"/>
              </w:rPr>
              <w:t>。</w:t>
            </w:r>
            <w:r>
              <w:rPr>
                <w:rFonts w:hint="eastAsia"/>
                <w:color w:val="auto"/>
                <w:sz w:val="24"/>
                <w:szCs w:val="24"/>
                <w:lang w:eastAsia="zh-CN"/>
              </w:rPr>
              <w:t>洗涤热水循环使用，</w:t>
            </w:r>
            <w:r>
              <w:rPr>
                <w:rFonts w:hint="default" w:ascii="Times New Roman" w:hAnsi="Times New Roman" w:cs="Times New Roman"/>
                <w:color w:val="auto"/>
                <w:sz w:val="24"/>
                <w:szCs w:val="24"/>
              </w:rPr>
              <w:t>洗涤水</w:t>
            </w:r>
            <w:r>
              <w:rPr>
                <w:rFonts w:hint="eastAsia" w:ascii="Times New Roman" w:hAnsi="Times New Roman" w:cs="Times New Roman"/>
                <w:color w:val="auto"/>
                <w:sz w:val="24"/>
                <w:szCs w:val="24"/>
                <w:lang w:eastAsia="zh-CN"/>
              </w:rPr>
              <w:t>通过</w:t>
            </w:r>
            <w:r>
              <w:rPr>
                <w:rFonts w:hint="default" w:ascii="Times New Roman" w:hAnsi="Times New Roman" w:cs="Times New Roman"/>
                <w:color w:val="auto"/>
                <w:sz w:val="24"/>
                <w:szCs w:val="24"/>
              </w:rPr>
              <w:t>油水分离设备将</w:t>
            </w:r>
            <w:r>
              <w:rPr>
                <w:color w:val="auto"/>
                <w:sz w:val="24"/>
                <w:szCs w:val="24"/>
              </w:rPr>
              <w:t>脂肪酸钠</w:t>
            </w:r>
            <w:r>
              <w:rPr>
                <w:rFonts w:hint="eastAsia"/>
                <w:color w:val="auto"/>
                <w:sz w:val="24"/>
                <w:szCs w:val="24"/>
                <w:lang w:eastAsia="zh-CN"/>
              </w:rPr>
              <w:t>（皂脚）</w:t>
            </w:r>
            <w:r>
              <w:rPr>
                <w:rFonts w:hint="default" w:ascii="Times New Roman" w:hAnsi="Times New Roman" w:cs="Times New Roman"/>
                <w:color w:val="auto"/>
                <w:sz w:val="24"/>
                <w:szCs w:val="24"/>
              </w:rPr>
              <w:t>出来，分离之后的</w:t>
            </w:r>
            <w:r>
              <w:rPr>
                <w:rFonts w:hint="eastAsia" w:ascii="Times New Roman" w:hAnsi="Times New Roman" w:cs="Times New Roman"/>
                <w:color w:val="auto"/>
                <w:sz w:val="24"/>
                <w:szCs w:val="24"/>
                <w:lang w:eastAsia="zh-CN"/>
              </w:rPr>
              <w:t>洗涤</w:t>
            </w:r>
            <w:r>
              <w:rPr>
                <w:rFonts w:hint="default" w:ascii="Times New Roman" w:hAnsi="Times New Roman" w:cs="Times New Roman"/>
                <w:color w:val="auto"/>
                <w:sz w:val="24"/>
                <w:szCs w:val="24"/>
              </w:rPr>
              <w:t>水</w:t>
            </w:r>
            <w:r>
              <w:rPr>
                <w:rFonts w:hint="eastAsia" w:ascii="Times New Roman" w:hAnsi="Times New Roman" w:cs="Times New Roman"/>
                <w:color w:val="auto"/>
                <w:sz w:val="24"/>
                <w:szCs w:val="24"/>
                <w:lang w:eastAsia="zh-CN"/>
              </w:rPr>
              <w:t>重新</w:t>
            </w:r>
            <w:r>
              <w:rPr>
                <w:rFonts w:hint="default" w:ascii="Times New Roman" w:hAnsi="Times New Roman" w:cs="Times New Roman"/>
                <w:color w:val="auto"/>
                <w:sz w:val="24"/>
                <w:szCs w:val="24"/>
              </w:rPr>
              <w:t>进入水洗处理流程</w:t>
            </w:r>
            <w:r>
              <w:rPr>
                <w:rFonts w:hint="eastAsia" w:ascii="Times New Roman" w:hAnsi="Times New Roman" w:cs="Times New Roman"/>
                <w:color w:val="auto"/>
                <w:sz w:val="24"/>
                <w:szCs w:val="24"/>
                <w:lang w:eastAsia="zh-CN"/>
              </w:rPr>
              <w:t>，不外排。该环节</w:t>
            </w:r>
            <w:r>
              <w:rPr>
                <w:rFonts w:hint="eastAsia"/>
                <w:color w:val="auto"/>
                <w:sz w:val="24"/>
                <w:szCs w:val="24"/>
                <w:lang w:eastAsia="zh-CN"/>
              </w:rPr>
              <w:t>循环水量为</w:t>
            </w:r>
            <w:r>
              <w:rPr>
                <w:rFonts w:hint="eastAsia"/>
                <w:color w:val="auto"/>
                <w:sz w:val="24"/>
                <w:szCs w:val="24"/>
                <w:lang w:val="en-US" w:eastAsia="zh-CN"/>
              </w:rPr>
              <w:t>18.3m</w:t>
            </w:r>
            <w:r>
              <w:rPr>
                <w:rFonts w:hint="eastAsia"/>
                <w:color w:val="auto"/>
                <w:sz w:val="24"/>
                <w:szCs w:val="24"/>
                <w:vertAlign w:val="superscript"/>
                <w:lang w:val="en-US" w:eastAsia="zh-CN"/>
              </w:rPr>
              <w:t>3</w:t>
            </w:r>
            <w:r>
              <w:rPr>
                <w:rFonts w:hint="eastAsia"/>
                <w:color w:val="auto"/>
                <w:sz w:val="24"/>
                <w:szCs w:val="24"/>
                <w:lang w:val="en-US" w:eastAsia="zh-CN"/>
              </w:rPr>
              <w:t>/d，水源来自</w:t>
            </w:r>
            <w:r>
              <w:rPr>
                <w:rFonts w:hint="eastAsia"/>
                <w:color w:val="auto"/>
                <w:sz w:val="24"/>
                <w:szCs w:val="24"/>
                <w:lang w:eastAsia="zh-CN"/>
              </w:rPr>
              <w:t>蒸汽间接加热工序产生的冷凝水，补充水量为</w:t>
            </w:r>
            <w:r>
              <w:rPr>
                <w:rFonts w:hint="eastAsia"/>
                <w:color w:val="auto"/>
                <w:sz w:val="24"/>
                <w:szCs w:val="24"/>
                <w:lang w:val="en-US" w:eastAsia="zh-CN"/>
              </w:rPr>
              <w:t>5m</w:t>
            </w:r>
            <w:r>
              <w:rPr>
                <w:rFonts w:hint="eastAsia"/>
                <w:color w:val="auto"/>
                <w:sz w:val="24"/>
                <w:szCs w:val="24"/>
                <w:vertAlign w:val="superscript"/>
                <w:lang w:val="en-US" w:eastAsia="zh-CN"/>
              </w:rPr>
              <w:t>3</w:t>
            </w:r>
            <w:r>
              <w:rPr>
                <w:rFonts w:hint="eastAsia"/>
                <w:color w:val="auto"/>
                <w:sz w:val="24"/>
                <w:szCs w:val="24"/>
                <w:lang w:val="en-US" w:eastAsia="zh-CN"/>
              </w:rPr>
              <w:t>/d，</w:t>
            </w:r>
            <w:r>
              <w:rPr>
                <w:rFonts w:hint="eastAsia"/>
                <w:color w:val="auto"/>
                <w:sz w:val="24"/>
                <w:szCs w:val="24"/>
                <w:lang w:eastAsia="zh-CN"/>
              </w:rPr>
              <w:t>此环节将产生皂脚</w:t>
            </w:r>
            <w:r>
              <w:rPr>
                <w:rFonts w:hint="eastAsia" w:eastAsia="宋体"/>
                <w:color w:val="auto"/>
                <w:sz w:val="24"/>
                <w:szCs w:val="24"/>
                <w:lang w:val="en-US" w:eastAsia="zh-CN"/>
              </w:rPr>
              <w:t>S2</w:t>
            </w:r>
            <w:r>
              <w:rPr>
                <w:color w:val="auto"/>
                <w:sz w:val="24"/>
                <w:szCs w:val="24"/>
              </w:rPr>
              <w:t>。</w:t>
            </w:r>
          </w:p>
          <w:p w14:paraId="58F0B96D">
            <w:pPr>
              <w:pStyle w:val="8"/>
              <w:spacing w:after="0" w:line="360" w:lineRule="auto"/>
              <w:ind w:firstLine="480"/>
              <w:rPr>
                <w:rFonts w:hint="eastAsia" w:eastAsia="宋体"/>
                <w:color w:val="auto"/>
                <w:sz w:val="24"/>
                <w:szCs w:val="24"/>
                <w:lang w:eastAsia="zh-CN"/>
              </w:rPr>
            </w:pPr>
            <w:r>
              <w:rPr>
                <w:rFonts w:hint="eastAsia" w:eastAsia="宋体"/>
                <w:color w:val="auto"/>
                <w:sz w:val="24"/>
                <w:szCs w:val="24"/>
                <w:lang w:eastAsia="zh-CN"/>
              </w:rPr>
              <w:t>真空干燥：水洗后的</w:t>
            </w:r>
            <w:r>
              <w:rPr>
                <w:rFonts w:hint="eastAsia"/>
                <w:color w:val="auto"/>
                <w:sz w:val="24"/>
                <w:szCs w:val="24"/>
              </w:rPr>
              <w:t>脱酸油</w:t>
            </w:r>
            <w:r>
              <w:rPr>
                <w:rFonts w:hint="eastAsia" w:eastAsia="宋体"/>
                <w:color w:val="auto"/>
                <w:sz w:val="24"/>
                <w:szCs w:val="24"/>
                <w:lang w:eastAsia="zh-CN"/>
              </w:rPr>
              <w:t>进入真空干燥器中，</w:t>
            </w:r>
            <w:r>
              <w:rPr>
                <w:rFonts w:hint="eastAsia"/>
                <w:color w:val="auto"/>
                <w:sz w:val="24"/>
                <w:szCs w:val="24"/>
              </w:rPr>
              <w:t>脱酸油</w:t>
            </w:r>
            <w:r>
              <w:rPr>
                <w:rFonts w:hint="eastAsia" w:eastAsia="宋体"/>
                <w:color w:val="auto"/>
                <w:sz w:val="24"/>
                <w:szCs w:val="24"/>
                <w:lang w:eastAsia="zh-CN"/>
              </w:rPr>
              <w:t>在真空系统的作用下，蒸气压下降，同时使用电能对真空干燥器进行加热，从而使油料中的水分快速蒸发，达到干燥的目的。</w:t>
            </w:r>
          </w:p>
          <w:p w14:paraId="07FF5008">
            <w:pPr>
              <w:pStyle w:val="8"/>
              <w:keepNext w:val="0"/>
              <w:keepLines w:val="0"/>
              <w:pageBreakBefore w:val="0"/>
              <w:widowControl w:val="0"/>
              <w:kinsoku/>
              <w:wordWrap/>
              <w:overflowPunct/>
              <w:topLinePunct w:val="0"/>
              <w:autoSpaceDE/>
              <w:autoSpaceDN/>
              <w:bidi w:val="0"/>
              <w:adjustRightInd w:val="0"/>
              <w:snapToGrid w:val="0"/>
              <w:spacing w:after="0" w:line="360" w:lineRule="auto"/>
              <w:ind w:firstLine="482"/>
              <w:textAlignment w:val="auto"/>
              <w:rPr>
                <w:rFonts w:hint="default" w:ascii="Times New Roman" w:hAnsi="Times New Roman" w:eastAsia="宋体" w:cs="Times New Roman"/>
                <w:color w:val="auto"/>
                <w:sz w:val="24"/>
                <w:szCs w:val="24"/>
              </w:rPr>
            </w:pPr>
            <w:r>
              <w:rPr>
                <w:rFonts w:hint="eastAsia" w:eastAsia="宋体"/>
                <w:color w:val="auto"/>
                <w:sz w:val="24"/>
                <w:szCs w:val="24"/>
                <w:lang w:eastAsia="zh-CN"/>
              </w:rPr>
              <w:t>吸附</w:t>
            </w:r>
            <w:r>
              <w:rPr>
                <w:rFonts w:hint="eastAsia"/>
                <w:color w:val="auto"/>
                <w:sz w:val="24"/>
                <w:szCs w:val="24"/>
              </w:rPr>
              <w:t>脱色：脱酸油</w:t>
            </w:r>
            <w:r>
              <w:rPr>
                <w:rFonts w:hint="eastAsia" w:eastAsia="宋体"/>
                <w:color w:val="auto"/>
                <w:sz w:val="24"/>
                <w:szCs w:val="24"/>
                <w:lang w:eastAsia="zh-CN"/>
              </w:rPr>
              <w:t>经真空干燥后进入混合罐，同时在混合罐中添加白土，使脱酸油与白土充分混合，再将物料送至脱色塔中进行脱色。该工序是利用白土的吸附性去除</w:t>
            </w:r>
            <w:r>
              <w:rPr>
                <w:rFonts w:hint="eastAsia"/>
                <w:color w:val="auto"/>
                <w:sz w:val="24"/>
                <w:szCs w:val="24"/>
              </w:rPr>
              <w:t>脱酸油中的色素，同时除去脱酸油中微量的金属元素和残留的微量皂粒、磷脂等胶质及一些臭味物质。</w:t>
            </w:r>
            <w:r>
              <w:rPr>
                <w:rFonts w:hint="eastAsia" w:cs="Times New Roman"/>
                <w:color w:val="auto"/>
                <w:sz w:val="24"/>
                <w:szCs w:val="24"/>
                <w:lang w:eastAsia="zh-CN"/>
              </w:rPr>
              <w:t>白土投加比例为</w:t>
            </w:r>
            <w:r>
              <w:rPr>
                <w:rFonts w:hint="eastAsia" w:cs="Times New Roman"/>
                <w:color w:val="auto"/>
                <w:sz w:val="24"/>
                <w:szCs w:val="24"/>
                <w:lang w:val="en-US" w:eastAsia="zh-CN"/>
              </w:rPr>
              <w:t>7kg/t-原料</w:t>
            </w:r>
            <w:r>
              <w:rPr>
                <w:rFonts w:hint="default" w:ascii="Times New Roman" w:hAnsi="Times New Roman" w:eastAsia="宋体" w:cs="Times New Roman"/>
                <w:color w:val="auto"/>
                <w:sz w:val="24"/>
                <w:szCs w:val="24"/>
              </w:rPr>
              <w:t>。脱色过程中</w:t>
            </w:r>
            <w:r>
              <w:rPr>
                <w:rFonts w:hint="default" w:ascii="Times New Roman" w:hAnsi="Times New Roman" w:eastAsia="宋体" w:cs="Times New Roman"/>
                <w:color w:val="auto"/>
                <w:sz w:val="24"/>
                <w:szCs w:val="24"/>
                <w:lang w:eastAsia="zh-CN"/>
              </w:rPr>
              <w:t>干燥</w:t>
            </w:r>
            <w:r>
              <w:rPr>
                <w:rFonts w:hint="default" w:ascii="Times New Roman" w:hAnsi="Times New Roman" w:eastAsia="宋体" w:cs="Times New Roman"/>
                <w:color w:val="auto"/>
                <w:sz w:val="24"/>
                <w:szCs w:val="24"/>
              </w:rPr>
              <w:t>油</w:t>
            </w:r>
            <w:r>
              <w:rPr>
                <w:rFonts w:hint="default" w:ascii="Times New Roman" w:hAnsi="Times New Roman" w:eastAsia="宋体" w:cs="Times New Roman"/>
                <w:color w:val="auto"/>
                <w:sz w:val="24"/>
                <w:szCs w:val="24"/>
                <w:lang w:eastAsia="zh-CN"/>
              </w:rPr>
              <w:t>挥发</w:t>
            </w:r>
            <w:r>
              <w:rPr>
                <w:rFonts w:hint="default" w:ascii="Times New Roman" w:hAnsi="Times New Roman" w:eastAsia="宋体" w:cs="Times New Roman"/>
                <w:color w:val="auto"/>
                <w:sz w:val="24"/>
                <w:szCs w:val="24"/>
              </w:rPr>
              <w:t>的水分、空气</w:t>
            </w:r>
            <w:r>
              <w:rPr>
                <w:rFonts w:hint="default" w:ascii="Times New Roman" w:hAnsi="Times New Roman" w:eastAsia="宋体" w:cs="Times New Roman"/>
                <w:color w:val="auto"/>
                <w:sz w:val="24"/>
                <w:szCs w:val="24"/>
                <w:lang w:eastAsia="zh-CN"/>
              </w:rPr>
              <w:t>及</w:t>
            </w:r>
            <w:r>
              <w:rPr>
                <w:rFonts w:hint="default" w:ascii="Times New Roman" w:hAnsi="Times New Roman" w:eastAsia="宋体" w:cs="Times New Roman"/>
                <w:color w:val="auto"/>
                <w:sz w:val="24"/>
                <w:szCs w:val="24"/>
                <w:highlight w:val="none"/>
              </w:rPr>
              <w:t>少量油脂</w:t>
            </w:r>
            <w:r>
              <w:rPr>
                <w:rFonts w:hint="default" w:ascii="Times New Roman" w:hAnsi="Times New Roman" w:eastAsia="宋体" w:cs="Times New Roman"/>
                <w:color w:val="auto"/>
                <w:sz w:val="24"/>
                <w:szCs w:val="24"/>
                <w:highlight w:val="none"/>
                <w:lang w:eastAsia="zh-CN"/>
              </w:rPr>
              <w:t>类</w:t>
            </w:r>
            <w:r>
              <w:rPr>
                <w:rFonts w:hint="default" w:ascii="Times New Roman" w:hAnsi="Times New Roman" w:eastAsia="宋体" w:cs="Times New Roman"/>
                <w:color w:val="auto"/>
                <w:sz w:val="24"/>
                <w:szCs w:val="24"/>
                <w:highlight w:val="none"/>
              </w:rPr>
              <w:t>组分被真空系统抽出，</w:t>
            </w:r>
            <w:r>
              <w:rPr>
                <w:rFonts w:hint="eastAsia" w:ascii="Times New Roman" w:hAnsi="Times New Roman" w:eastAsia="宋体" w:cs="Times New Roman"/>
                <w:color w:val="auto"/>
                <w:sz w:val="24"/>
                <w:szCs w:val="24"/>
                <w:highlight w:val="none"/>
                <w:lang w:eastAsia="zh-CN"/>
              </w:rPr>
              <w:t>经冷凝器冷凝后</w:t>
            </w:r>
            <w:r>
              <w:rPr>
                <w:rFonts w:hint="eastAsia" w:eastAsia="宋体" w:cs="Times New Roman"/>
                <w:color w:val="auto"/>
                <w:sz w:val="24"/>
                <w:szCs w:val="24"/>
                <w:highlight w:val="none"/>
                <w:lang w:eastAsia="zh-CN"/>
              </w:rPr>
              <w:t>排出，此环节将产生非甲烷总烃、臭气浓度</w:t>
            </w:r>
            <w:r>
              <w:rPr>
                <w:rFonts w:hint="default" w:ascii="Times New Roman" w:hAnsi="Times New Roman" w:eastAsia="宋体" w:cs="Times New Roman"/>
                <w:color w:val="auto"/>
                <w:sz w:val="24"/>
                <w:szCs w:val="24"/>
                <w:highlight w:val="none"/>
                <w:lang w:val="en-US" w:eastAsia="zh-CN"/>
              </w:rPr>
              <w:t>G17</w:t>
            </w:r>
            <w:r>
              <w:rPr>
                <w:rFonts w:hint="eastAsia" w:ascii="Times New Roman" w:hAnsi="Times New Roman" w:eastAsia="宋体" w:cs="Times New Roman"/>
                <w:color w:val="auto"/>
                <w:sz w:val="24"/>
                <w:szCs w:val="24"/>
                <w:highlight w:val="none"/>
                <w:lang w:val="en-US" w:eastAsia="zh-CN"/>
              </w:rPr>
              <w:t>、冷凝废水W</w:t>
            </w:r>
            <w:r>
              <w:rPr>
                <w:rFonts w:hint="eastAsia"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白土在白土房中投加，通过管道经气力作用输送至精炼车间的白土进料罐内，白土在</w:t>
            </w:r>
            <w:r>
              <w:rPr>
                <w:rFonts w:hint="default" w:ascii="Times New Roman" w:hAnsi="Times New Roman" w:eastAsia="宋体" w:cs="Times New Roman"/>
                <w:color w:val="auto"/>
                <w:sz w:val="24"/>
                <w:szCs w:val="24"/>
              </w:rPr>
              <w:t>进料罐底部通过密闭管道进入白土暂存罐</w:t>
            </w:r>
            <w:r>
              <w:rPr>
                <w:rFonts w:hint="eastAsia" w:eastAsia="宋体" w:cs="Times New Roman"/>
                <w:color w:val="auto"/>
                <w:sz w:val="24"/>
                <w:szCs w:val="24"/>
                <w:lang w:eastAsia="zh-CN"/>
              </w:rPr>
              <w:t>，白土在投料过程中将产生</w:t>
            </w:r>
            <w:r>
              <w:rPr>
                <w:rFonts w:hint="default" w:ascii="Times New Roman" w:hAnsi="Times New Roman" w:eastAsia="宋体" w:cs="Times New Roman"/>
                <w:color w:val="auto"/>
                <w:sz w:val="24"/>
                <w:szCs w:val="24"/>
                <w:lang w:val="en-US" w:eastAsia="zh-CN"/>
              </w:rPr>
              <w:t>颗粒物G18</w:t>
            </w:r>
            <w:r>
              <w:rPr>
                <w:rFonts w:hint="default" w:ascii="Times New Roman" w:hAnsi="Times New Roman" w:eastAsia="宋体" w:cs="Times New Roman"/>
                <w:color w:val="auto"/>
                <w:sz w:val="24"/>
                <w:szCs w:val="24"/>
              </w:rPr>
              <w:t>。</w:t>
            </w:r>
          </w:p>
          <w:p w14:paraId="20039E60">
            <w:pPr>
              <w:pStyle w:val="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color w:val="auto"/>
                <w:sz w:val="24"/>
                <w:szCs w:val="24"/>
              </w:rPr>
            </w:pPr>
            <w:r>
              <w:rPr>
                <w:rFonts w:hint="default" w:ascii="Times New Roman" w:hAnsi="Times New Roman" w:cs="Times New Roman"/>
                <w:color w:val="auto"/>
                <w:sz w:val="24"/>
                <w:szCs w:val="24"/>
                <w:lang w:eastAsia="zh-CN"/>
              </w:rPr>
              <w:t>白土过滤：</w:t>
            </w:r>
            <w:r>
              <w:rPr>
                <w:rFonts w:hint="eastAsia" w:cs="Times New Roman"/>
                <w:color w:val="auto"/>
                <w:sz w:val="24"/>
                <w:szCs w:val="24"/>
                <w:lang w:eastAsia="zh-CN"/>
              </w:rPr>
              <w:t>油料</w:t>
            </w:r>
            <w:r>
              <w:rPr>
                <w:rFonts w:hint="default" w:ascii="Times New Roman" w:hAnsi="Times New Roman" w:cs="Times New Roman"/>
                <w:color w:val="auto"/>
                <w:sz w:val="24"/>
                <w:szCs w:val="24"/>
                <w:lang w:eastAsia="zh-CN"/>
              </w:rPr>
              <w:t>经吸附脱色后再使用过滤机</w:t>
            </w:r>
            <w:r>
              <w:rPr>
                <w:rFonts w:hint="default" w:ascii="Times New Roman" w:hAnsi="Times New Roman" w:cs="Times New Roman"/>
                <w:color w:val="auto"/>
                <w:sz w:val="24"/>
                <w:szCs w:val="24"/>
              </w:rPr>
              <w:t>过滤掉油中的白土，过滤后的脱色油泵入脱色油罐暂存</w:t>
            </w:r>
            <w:r>
              <w:rPr>
                <w:rFonts w:hint="default" w:ascii="Times New Roman" w:hAnsi="Times New Roman" w:cs="Times New Roman"/>
                <w:color w:val="auto"/>
                <w:sz w:val="24"/>
                <w:szCs w:val="24"/>
                <w:lang w:eastAsia="zh-CN"/>
              </w:rPr>
              <w:t>，此环节将产生废白土</w:t>
            </w:r>
            <w:r>
              <w:rPr>
                <w:rFonts w:hint="eastAsia" w:eastAsia="宋体"/>
                <w:color w:val="auto"/>
                <w:sz w:val="24"/>
                <w:szCs w:val="24"/>
                <w:lang w:val="en-US" w:eastAsia="zh-CN"/>
              </w:rPr>
              <w:t>S3</w:t>
            </w:r>
            <w:r>
              <w:rPr>
                <w:rFonts w:hint="default" w:ascii="Times New Roman" w:hAnsi="Times New Roman" w:cs="Times New Roman"/>
                <w:color w:val="auto"/>
                <w:sz w:val="24"/>
                <w:szCs w:val="24"/>
              </w:rPr>
              <w:t>。</w:t>
            </w:r>
          </w:p>
          <w:p w14:paraId="0D97A722">
            <w:pPr>
              <w:pStyle w:val="8"/>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油油换热：脱色油进入脱臭工序前需要进入加热升温，其加热方法是将真空脱臭工序中的高温</w:t>
            </w:r>
            <w:r>
              <w:rPr>
                <w:rFonts w:hint="eastAsia" w:cs="Times New Roman"/>
                <w:color w:val="auto"/>
                <w:sz w:val="24"/>
                <w:szCs w:val="24"/>
                <w:lang w:val="en-US" w:eastAsia="zh-CN"/>
              </w:rPr>
              <w:t>油</w:t>
            </w:r>
            <w:r>
              <w:rPr>
                <w:rFonts w:hint="eastAsia" w:ascii="Times New Roman" w:hAnsi="Times New Roman" w:cs="Times New Roman"/>
                <w:color w:val="auto"/>
                <w:sz w:val="24"/>
                <w:szCs w:val="24"/>
                <w:lang w:val="en-US" w:eastAsia="zh-CN"/>
              </w:rPr>
              <w:t>抽回至油油换热工序，通过油油换热</w:t>
            </w:r>
            <w:r>
              <w:rPr>
                <w:rFonts w:hint="eastAsia" w:cs="Times New Roman"/>
                <w:color w:val="auto"/>
                <w:sz w:val="24"/>
                <w:szCs w:val="24"/>
                <w:lang w:val="en-US" w:eastAsia="zh-CN"/>
              </w:rPr>
              <w:t>器对脱色油进行热交换升温，再经中温加热器加热至工艺要求温度后进入脱臭工序。</w:t>
            </w:r>
          </w:p>
          <w:p w14:paraId="0F99F161">
            <w:pPr>
              <w:pStyle w:val="8"/>
              <w:spacing w:after="0" w:line="360" w:lineRule="auto"/>
              <w:ind w:firstLine="480"/>
              <w:rPr>
                <w:rFonts w:hint="eastAsia" w:cs="Times New Roman"/>
                <w:color w:val="auto"/>
                <w:sz w:val="24"/>
                <w:szCs w:val="24"/>
                <w:lang w:val="en-US" w:eastAsia="zh-CN"/>
              </w:rPr>
            </w:pPr>
            <w:r>
              <w:rPr>
                <w:rFonts w:hint="default" w:ascii="Times New Roman" w:hAnsi="Times New Roman" w:cs="Times New Roman"/>
                <w:color w:val="auto"/>
                <w:sz w:val="24"/>
                <w:szCs w:val="24"/>
                <w:lang w:val="en-US" w:eastAsia="zh-CN"/>
              </w:rPr>
              <w:t>真空脱臭：</w:t>
            </w:r>
            <w:r>
              <w:rPr>
                <w:rFonts w:hint="eastAsia"/>
                <w:color w:val="auto"/>
                <w:sz w:val="24"/>
                <w:szCs w:val="24"/>
              </w:rPr>
              <w:t>脱色后的</w:t>
            </w:r>
            <w:r>
              <w:rPr>
                <w:rFonts w:hint="eastAsia" w:eastAsia="宋体"/>
                <w:color w:val="auto"/>
                <w:sz w:val="24"/>
                <w:szCs w:val="24"/>
                <w:lang w:eastAsia="zh-CN"/>
              </w:rPr>
              <w:t>油料</w:t>
            </w:r>
            <w:r>
              <w:rPr>
                <w:rFonts w:hint="eastAsia"/>
                <w:color w:val="auto"/>
                <w:sz w:val="24"/>
                <w:szCs w:val="24"/>
              </w:rPr>
              <w:t>含</w:t>
            </w:r>
            <w:r>
              <w:rPr>
                <w:rFonts w:hint="eastAsia" w:eastAsia="宋体"/>
                <w:color w:val="auto"/>
                <w:sz w:val="24"/>
                <w:szCs w:val="24"/>
                <w:lang w:eastAsia="zh-CN"/>
              </w:rPr>
              <w:t>有</w:t>
            </w:r>
            <w:r>
              <w:rPr>
                <w:rFonts w:hint="eastAsia"/>
                <w:color w:val="auto"/>
                <w:sz w:val="24"/>
                <w:szCs w:val="24"/>
              </w:rPr>
              <w:t>少许土腥味，</w:t>
            </w:r>
            <w:r>
              <w:rPr>
                <w:rFonts w:hint="default" w:ascii="Times New Roman" w:hAnsi="Times New Roman" w:cs="Times New Roman"/>
                <w:color w:val="auto"/>
                <w:spacing w:val="5"/>
                <w:sz w:val="24"/>
                <w:szCs w:val="24"/>
              </w:rPr>
              <w:t>脱色油</w:t>
            </w:r>
            <w:r>
              <w:rPr>
                <w:rFonts w:hint="default" w:ascii="Times New Roman" w:hAnsi="Times New Roman" w:cs="Times New Roman"/>
                <w:color w:val="auto"/>
                <w:spacing w:val="5"/>
                <w:sz w:val="24"/>
                <w:szCs w:val="24"/>
                <w:lang w:eastAsia="zh-CN"/>
              </w:rPr>
              <w:t>经油泵加入到</w:t>
            </w:r>
            <w:r>
              <w:rPr>
                <w:rFonts w:hint="default" w:ascii="Times New Roman" w:hAnsi="Times New Roman" w:cs="Times New Roman"/>
                <w:color w:val="auto"/>
                <w:spacing w:val="5"/>
                <w:sz w:val="24"/>
                <w:szCs w:val="24"/>
              </w:rPr>
              <w:t>脱臭塔</w:t>
            </w:r>
            <w:r>
              <w:rPr>
                <w:rFonts w:hint="default" w:ascii="Times New Roman" w:hAnsi="Times New Roman" w:cs="Times New Roman"/>
                <w:color w:val="auto"/>
                <w:spacing w:val="5"/>
                <w:sz w:val="24"/>
                <w:szCs w:val="24"/>
                <w:lang w:eastAsia="zh-CN"/>
              </w:rPr>
              <w:t>内，</w:t>
            </w:r>
            <w:r>
              <w:rPr>
                <w:rFonts w:hint="eastAsia" w:ascii="Times New Roman" w:hAnsi="Times New Roman" w:cs="Times New Roman"/>
                <w:color w:val="auto"/>
                <w:spacing w:val="5"/>
                <w:sz w:val="24"/>
                <w:szCs w:val="24"/>
                <w:lang w:eastAsia="zh-CN"/>
              </w:rPr>
              <w:t>在高温、真空条件下，</w:t>
            </w:r>
            <w:r>
              <w:rPr>
                <w:rFonts w:hint="default" w:ascii="Times New Roman" w:hAnsi="Times New Roman" w:cs="Times New Roman"/>
                <w:color w:val="auto"/>
                <w:sz w:val="24"/>
                <w:szCs w:val="24"/>
              </w:rPr>
              <w:t>利用水蒸气蒸馏的原理</w:t>
            </w:r>
            <w:r>
              <w:rPr>
                <w:rFonts w:hint="eastAsia" w:ascii="Times New Roman" w:hAnsi="Times New Roman" w:cs="Times New Roman"/>
                <w:color w:val="auto"/>
                <w:sz w:val="24"/>
                <w:szCs w:val="24"/>
                <w:lang w:eastAsia="zh-CN"/>
              </w:rPr>
              <w:t>将水蒸气通入脱色油中，脱色油中的</w:t>
            </w:r>
            <w:r>
              <w:rPr>
                <w:rFonts w:hint="default" w:ascii="Times New Roman" w:hAnsi="Times New Roman" w:cs="Times New Roman"/>
                <w:color w:val="auto"/>
                <w:sz w:val="24"/>
                <w:szCs w:val="24"/>
              </w:rPr>
              <w:t>脂肪酸等挥发性物质</w:t>
            </w:r>
            <w:r>
              <w:rPr>
                <w:rFonts w:hint="eastAsia" w:ascii="Times New Roman" w:hAnsi="Times New Roman" w:cs="Times New Roman"/>
                <w:color w:val="auto"/>
                <w:sz w:val="24"/>
                <w:szCs w:val="24"/>
                <w:lang w:eastAsia="zh-CN"/>
              </w:rPr>
              <w:t>受热随水蒸气</w:t>
            </w:r>
            <w:r>
              <w:rPr>
                <w:rFonts w:hint="default" w:ascii="Times New Roman" w:hAnsi="Times New Roman" w:cs="Times New Roman"/>
                <w:color w:val="auto"/>
                <w:sz w:val="24"/>
                <w:szCs w:val="24"/>
              </w:rPr>
              <w:t>逸出，挥发性物质</w:t>
            </w:r>
            <w:r>
              <w:rPr>
                <w:rFonts w:hint="eastAsia" w:ascii="Times New Roman" w:hAnsi="Times New Roman" w:cs="Times New Roman"/>
                <w:color w:val="auto"/>
                <w:sz w:val="24"/>
                <w:szCs w:val="24"/>
                <w:lang w:eastAsia="zh-CN"/>
              </w:rPr>
              <w:t>随后采</w:t>
            </w:r>
            <w:r>
              <w:rPr>
                <w:rFonts w:hint="default" w:ascii="Times New Roman" w:hAnsi="Times New Roman" w:cs="Times New Roman"/>
                <w:color w:val="auto"/>
                <w:sz w:val="24"/>
                <w:szCs w:val="24"/>
              </w:rPr>
              <w:t>用脂肪酸喷淋装置捕集</w:t>
            </w:r>
            <w:r>
              <w:rPr>
                <w:rFonts w:hint="eastAsia" w:ascii="Times New Roman" w:hAnsi="Times New Roman" w:cs="Times New Roman"/>
                <w:color w:val="auto"/>
                <w:sz w:val="24"/>
                <w:szCs w:val="24"/>
                <w:lang w:eastAsia="zh-CN"/>
              </w:rPr>
              <w:t>，挥发气体中的</w:t>
            </w:r>
            <w:r>
              <w:rPr>
                <w:rFonts w:hint="default" w:ascii="Times New Roman" w:hAnsi="Times New Roman" w:cs="Times New Roman"/>
                <w:color w:val="auto"/>
                <w:sz w:val="24"/>
                <w:szCs w:val="24"/>
              </w:rPr>
              <w:t>脂肪酸</w:t>
            </w:r>
            <w:r>
              <w:rPr>
                <w:rFonts w:hint="eastAsia" w:cs="Times New Roman"/>
                <w:color w:val="auto"/>
                <w:sz w:val="24"/>
                <w:szCs w:val="24"/>
                <w:lang w:eastAsia="zh-CN"/>
              </w:rPr>
              <w:t>在通过</w:t>
            </w:r>
            <w:r>
              <w:rPr>
                <w:rFonts w:hint="default" w:ascii="Times New Roman" w:hAnsi="Times New Roman" w:cs="Times New Roman"/>
                <w:color w:val="auto"/>
                <w:sz w:val="24"/>
                <w:szCs w:val="24"/>
              </w:rPr>
              <w:t>喷淋装置捕集</w:t>
            </w:r>
            <w:r>
              <w:rPr>
                <w:rFonts w:hint="eastAsia" w:cs="Times New Roman"/>
                <w:color w:val="auto"/>
                <w:sz w:val="24"/>
                <w:szCs w:val="24"/>
                <w:lang w:eastAsia="zh-CN"/>
              </w:rPr>
              <w:t>时被冷却，冷凝出的脂肪酸被回收在脂肪酸储罐中，</w:t>
            </w:r>
            <w:r>
              <w:rPr>
                <w:rFonts w:hint="default" w:ascii="Times New Roman" w:hAnsi="Times New Roman" w:cs="Times New Roman"/>
                <w:color w:val="auto"/>
                <w:sz w:val="24"/>
                <w:szCs w:val="24"/>
              </w:rPr>
              <w:t>尾气</w:t>
            </w:r>
            <w:r>
              <w:rPr>
                <w:rFonts w:hint="eastAsia" w:ascii="Times New Roman" w:hAnsi="Times New Roman" w:cs="Times New Roman"/>
                <w:color w:val="auto"/>
                <w:sz w:val="24"/>
                <w:szCs w:val="24"/>
                <w:lang w:eastAsia="zh-CN"/>
              </w:rPr>
              <w:t>再经气体</w:t>
            </w:r>
            <w:r>
              <w:rPr>
                <w:rFonts w:hint="default" w:ascii="Times New Roman" w:hAnsi="Times New Roman" w:cs="Times New Roman"/>
                <w:color w:val="auto"/>
                <w:sz w:val="24"/>
                <w:szCs w:val="24"/>
              </w:rPr>
              <w:t>冷凝器冷凝后通过真空泵</w:t>
            </w:r>
            <w:r>
              <w:rPr>
                <w:rFonts w:hint="eastAsia" w:ascii="Times New Roman" w:hAnsi="Times New Roman" w:cs="Times New Roman"/>
                <w:color w:val="auto"/>
                <w:sz w:val="24"/>
                <w:szCs w:val="24"/>
                <w:lang w:val="en-US" w:eastAsia="zh-CN"/>
              </w:rPr>
              <w:t>排放，此环节将产生非甲烷总烃</w:t>
            </w:r>
            <w:r>
              <w:rPr>
                <w:rFonts w:hint="eastAsia" w:eastAsia="宋体" w:cs="Times New Roman"/>
                <w:color w:val="auto"/>
                <w:sz w:val="24"/>
                <w:szCs w:val="24"/>
                <w:lang w:eastAsia="zh-CN"/>
              </w:rPr>
              <w:t>、臭气浓度</w:t>
            </w:r>
            <w:r>
              <w:rPr>
                <w:rFonts w:hint="eastAsia" w:ascii="Times New Roman" w:hAnsi="Times New Roman" w:cs="Times New Roman"/>
                <w:color w:val="auto"/>
                <w:sz w:val="24"/>
                <w:szCs w:val="24"/>
                <w:lang w:val="en-US" w:eastAsia="zh-CN"/>
              </w:rPr>
              <w:t>G19、</w:t>
            </w:r>
            <w:r>
              <w:rPr>
                <w:rFonts w:hint="eastAsia" w:ascii="Times New Roman" w:hAnsi="Times New Roman" w:eastAsia="宋体" w:cs="Times New Roman"/>
                <w:color w:val="auto"/>
                <w:sz w:val="24"/>
                <w:szCs w:val="24"/>
                <w:lang w:val="en-US" w:eastAsia="zh-CN"/>
              </w:rPr>
              <w:t>冷凝废水W</w:t>
            </w:r>
            <w:r>
              <w:rPr>
                <w:rFonts w:hint="eastAsia" w:cs="Times New Roman"/>
                <w:color w:val="auto"/>
                <w:sz w:val="24"/>
                <w:szCs w:val="24"/>
                <w:lang w:val="en-US" w:eastAsia="zh-CN"/>
              </w:rPr>
              <w:t>2以及脂肪酸</w:t>
            </w:r>
            <w:r>
              <w:rPr>
                <w:rFonts w:hint="eastAsia" w:eastAsia="宋体"/>
                <w:color w:val="auto"/>
                <w:sz w:val="24"/>
                <w:szCs w:val="24"/>
                <w:lang w:val="en-US" w:eastAsia="zh-CN"/>
              </w:rPr>
              <w:t>S4</w:t>
            </w:r>
            <w:r>
              <w:rPr>
                <w:rFonts w:hint="eastAsia" w:cs="Times New Roman"/>
                <w:color w:val="auto"/>
                <w:sz w:val="24"/>
                <w:szCs w:val="24"/>
                <w:lang w:val="en-US" w:eastAsia="zh-CN"/>
              </w:rPr>
              <w:t>。</w:t>
            </w:r>
          </w:p>
          <w:p w14:paraId="14C8A268">
            <w:pPr>
              <w:bidi w:val="0"/>
              <w:rPr>
                <w:color w:val="auto"/>
              </w:rPr>
            </w:pPr>
            <w:r>
              <w:rPr>
                <w:rFonts w:hint="eastAsia"/>
                <w:color w:val="auto"/>
                <w:lang w:val="en-US" w:eastAsia="zh-CN"/>
              </w:rPr>
              <w:t>精滤：油料</w:t>
            </w:r>
            <w:r>
              <w:rPr>
                <w:rFonts w:hint="eastAsia"/>
                <w:color w:val="auto"/>
                <w:lang w:eastAsia="zh-CN"/>
              </w:rPr>
              <w:t>经脱臭处理后通过</w:t>
            </w:r>
            <w:r>
              <w:rPr>
                <w:color w:val="auto"/>
              </w:rPr>
              <w:t>精滤器进行过滤，精滤器</w:t>
            </w:r>
            <w:r>
              <w:rPr>
                <w:rFonts w:hint="eastAsia"/>
                <w:color w:val="auto"/>
                <w:lang w:eastAsia="zh-CN"/>
              </w:rPr>
              <w:t>经配备有滤袋，脱色油经滤袋</w:t>
            </w:r>
            <w:r>
              <w:rPr>
                <w:color w:val="auto"/>
              </w:rPr>
              <w:t>进一步</w:t>
            </w:r>
            <w:r>
              <w:rPr>
                <w:rFonts w:hint="eastAsia"/>
                <w:color w:val="auto"/>
              </w:rPr>
              <w:t>去除</w:t>
            </w:r>
            <w:r>
              <w:rPr>
                <w:color w:val="auto"/>
              </w:rPr>
              <w:t>杂质</w:t>
            </w:r>
            <w:r>
              <w:rPr>
                <w:rFonts w:hint="eastAsia"/>
                <w:color w:val="auto"/>
                <w:lang w:eastAsia="zh-CN"/>
              </w:rPr>
              <w:t>，此环节将产生废滤袋</w:t>
            </w:r>
            <w:r>
              <w:rPr>
                <w:rFonts w:hint="eastAsia"/>
                <w:color w:val="auto"/>
                <w:lang w:val="en-US" w:eastAsia="zh-CN"/>
              </w:rPr>
              <w:t>S5</w:t>
            </w:r>
            <w:r>
              <w:rPr>
                <w:color w:val="auto"/>
              </w:rPr>
              <w:t>。</w:t>
            </w:r>
          </w:p>
          <w:p w14:paraId="7D38C81C">
            <w:pPr>
              <w:bidi w:val="0"/>
              <w:rPr>
                <w:color w:val="auto"/>
              </w:rPr>
            </w:pPr>
          </w:p>
          <w:p w14:paraId="1409A443">
            <w:pPr>
              <w:pStyle w:val="2"/>
              <w:rPr>
                <w:color w:val="auto"/>
              </w:rPr>
            </w:pPr>
          </w:p>
          <w:p w14:paraId="0AF54B69">
            <w:pPr>
              <w:rPr>
                <w:color w:val="auto"/>
              </w:rPr>
            </w:pPr>
          </w:p>
          <w:p w14:paraId="3D66F53E">
            <w:pPr>
              <w:pStyle w:val="2"/>
              <w:rPr>
                <w:color w:val="auto"/>
              </w:rPr>
            </w:pPr>
          </w:p>
          <w:p w14:paraId="4B1B1495">
            <w:pPr>
              <w:rPr>
                <w:color w:val="auto"/>
              </w:rPr>
            </w:pPr>
          </w:p>
          <w:p w14:paraId="4222CC70">
            <w:pPr>
              <w:pStyle w:val="2"/>
              <w:rPr>
                <w:color w:val="auto"/>
              </w:rPr>
            </w:pPr>
          </w:p>
          <w:p w14:paraId="465EB1DF">
            <w:pPr>
              <w:rPr>
                <w:color w:val="auto"/>
              </w:rPr>
            </w:pPr>
          </w:p>
          <w:p w14:paraId="0B747956">
            <w:pPr>
              <w:pStyle w:val="2"/>
              <w:rPr>
                <w:color w:val="auto"/>
              </w:rPr>
            </w:pPr>
          </w:p>
          <w:p w14:paraId="431AEBAA">
            <w:pPr>
              <w:rPr>
                <w:color w:val="auto"/>
              </w:rPr>
            </w:pPr>
          </w:p>
          <w:p w14:paraId="49501245">
            <w:pPr>
              <w:pStyle w:val="2"/>
              <w:rPr>
                <w:color w:val="auto"/>
              </w:rPr>
            </w:pPr>
          </w:p>
          <w:p w14:paraId="04D204C2">
            <w:pPr>
              <w:rPr>
                <w:color w:val="auto"/>
              </w:rPr>
            </w:pPr>
          </w:p>
          <w:p w14:paraId="3F14BD6F">
            <w:pPr>
              <w:pStyle w:val="2"/>
              <w:rPr>
                <w:color w:val="auto"/>
              </w:rPr>
            </w:pPr>
          </w:p>
          <w:p w14:paraId="447E2861">
            <w:pPr>
              <w:rPr>
                <w:color w:val="auto"/>
              </w:rPr>
            </w:pPr>
          </w:p>
          <w:p w14:paraId="7C3A11BC">
            <w:pPr>
              <w:pStyle w:val="2"/>
              <w:rPr>
                <w:color w:val="auto"/>
              </w:rPr>
            </w:pPr>
          </w:p>
          <w:p w14:paraId="19DFCF1D">
            <w:pPr>
              <w:rPr>
                <w:color w:val="auto"/>
              </w:rPr>
            </w:pPr>
          </w:p>
          <w:p w14:paraId="59C87BCA">
            <w:pPr>
              <w:pStyle w:val="2"/>
              <w:rPr>
                <w:color w:val="auto"/>
              </w:rPr>
            </w:pPr>
          </w:p>
          <w:p w14:paraId="6CAD42C3">
            <w:pPr>
              <w:pStyle w:val="8"/>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0" w:firstLineChars="0"/>
              <w:textAlignment w:val="auto"/>
              <w:rPr>
                <w:rFonts w:hint="default"/>
                <w:color w:val="auto"/>
                <w:sz w:val="24"/>
                <w:szCs w:val="24"/>
                <w:lang w:val="en-US" w:eastAsia="zh-CN"/>
              </w:rPr>
            </w:pPr>
          </w:p>
        </w:tc>
      </w:tr>
      <w:tr w14:paraId="0769559E">
        <w:tblPrEx>
          <w:tblBorders>
            <w:top w:val="single" w:color="auto" w:sz="8" w:space="0"/>
            <w:left w:val="single" w:color="auto" w:sz="8" w:space="0"/>
            <w:bottom w:val="single" w:color="auto" w:sz="8" w:space="0"/>
            <w:right w:val="single" w:color="auto" w:sz="8" w:space="0"/>
            <w:insideH w:val="single" w:color="auto" w:sz="8" w:space="0"/>
            <w:insideV w:val="single" w:color="auto" w:sz="4" w:space="0"/>
          </w:tblBorders>
          <w:tblCellMar>
            <w:top w:w="0" w:type="dxa"/>
            <w:left w:w="108" w:type="dxa"/>
            <w:bottom w:w="0" w:type="dxa"/>
            <w:right w:w="108" w:type="dxa"/>
          </w:tblCellMar>
        </w:tblPrEx>
        <w:trPr>
          <w:trHeight w:val="12017" w:hRule="atLeast"/>
          <w:jc w:val="center"/>
        </w:trPr>
        <w:tc>
          <w:tcPr>
            <w:tcW w:w="731" w:type="dxa"/>
            <w:tcBorders>
              <w:tl2br w:val="nil"/>
              <w:tr2bl w:val="nil"/>
            </w:tcBorders>
            <w:vAlign w:val="center"/>
          </w:tcPr>
          <w:p w14:paraId="59BA6D6A">
            <w:pPr>
              <w:pStyle w:val="3"/>
              <w:bidi w:val="0"/>
              <w:rPr>
                <w:rFonts w:cs="宋体"/>
                <w:color w:val="auto"/>
                <w:szCs w:val="21"/>
              </w:rPr>
            </w:pPr>
            <w:r>
              <w:rPr>
                <w:rFonts w:hint="eastAsia"/>
                <w:b w:val="0"/>
                <w:bCs/>
                <w:color w:val="auto"/>
              </w:rPr>
              <w:t>与项目有关的原有环境污染问题</w:t>
            </w:r>
          </w:p>
        </w:tc>
        <w:tc>
          <w:tcPr>
            <w:tcW w:w="8329" w:type="dxa"/>
            <w:tcBorders>
              <w:tl2br w:val="nil"/>
              <w:tr2bl w:val="nil"/>
            </w:tcBorders>
          </w:tcPr>
          <w:p w14:paraId="0B195721">
            <w:pPr>
              <w:adjustRightInd w:val="0"/>
              <w:snapToGrid w:val="0"/>
              <w:spacing w:line="360" w:lineRule="auto"/>
              <w:ind w:left="0" w:leftChars="0" w:firstLine="0" w:firstLineChars="0"/>
              <w:rPr>
                <w:rFonts w:hint="default" w:ascii="Times New Roman" w:hAnsi="Times New Roman" w:cs="Times New Roman"/>
                <w:b/>
                <w:bCs w:val="0"/>
                <w:color w:val="auto"/>
                <w:sz w:val="24"/>
                <w:szCs w:val="24"/>
              </w:rPr>
            </w:pPr>
            <w:r>
              <w:rPr>
                <w:rFonts w:hint="eastAsia" w:eastAsia="宋体"/>
                <w:b/>
                <w:bCs w:val="0"/>
                <w:color w:val="auto"/>
                <w:sz w:val="24"/>
                <w:szCs w:val="24"/>
                <w:lang w:val="en-US" w:eastAsia="zh-CN"/>
              </w:rPr>
              <w:t>7.</w:t>
            </w:r>
            <w:r>
              <w:rPr>
                <w:rFonts w:hint="eastAsia"/>
                <w:b/>
                <w:bCs w:val="0"/>
                <w:color w:val="auto"/>
                <w:sz w:val="24"/>
                <w:szCs w:val="24"/>
              </w:rPr>
              <w:t>与本</w:t>
            </w:r>
            <w:r>
              <w:rPr>
                <w:rFonts w:hint="default" w:ascii="Times New Roman" w:hAnsi="Times New Roman" w:cs="Times New Roman"/>
                <w:b/>
                <w:bCs w:val="0"/>
                <w:color w:val="auto"/>
                <w:sz w:val="24"/>
                <w:szCs w:val="24"/>
              </w:rPr>
              <w:t>项目有关的原有污染情况及主要环境问题</w:t>
            </w:r>
          </w:p>
          <w:p w14:paraId="0CED5EE2">
            <w:pPr>
              <w:spacing w:line="360" w:lineRule="auto"/>
              <w:ind w:left="0" w:leftChars="0" w:firstLine="0" w:firstLineChars="0"/>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7.1现有</w:t>
            </w:r>
            <w:r>
              <w:rPr>
                <w:rFonts w:hint="default" w:ascii="Times New Roman" w:hAnsi="Times New Roman" w:cs="Times New Roman"/>
                <w:b/>
                <w:bCs/>
                <w:color w:val="auto"/>
                <w:sz w:val="24"/>
                <w:szCs w:val="24"/>
              </w:rPr>
              <w:t>工程环保审批情况</w:t>
            </w:r>
          </w:p>
          <w:p w14:paraId="220E95B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2004年4月</w:t>
            </w:r>
            <w:r>
              <w:rPr>
                <w:rFonts w:hint="eastAsia" w:cs="Times New Roman"/>
                <w:color w:val="auto"/>
                <w:kern w:val="2"/>
                <w:sz w:val="24"/>
                <w:szCs w:val="24"/>
                <w:lang w:val="en-US" w:eastAsia="zh-CN" w:bidi="ar-SA"/>
              </w:rPr>
              <w:t>企业</w:t>
            </w:r>
            <w:r>
              <w:rPr>
                <w:rFonts w:hint="default" w:ascii="Times New Roman" w:hAnsi="Times New Roman" w:eastAsia="宋体" w:cs="Times New Roman"/>
                <w:color w:val="auto"/>
                <w:kern w:val="2"/>
                <w:sz w:val="24"/>
                <w:szCs w:val="24"/>
                <w:lang w:val="en-US" w:eastAsia="zh-CN" w:bidi="ar-SA"/>
              </w:rPr>
              <w:t>委托重庆市涪陵区环境科研所编制《重庆新涪食品有限公司日榨大豆（菜籽）6000吨及深加工项目环境报告书》，并取得重庆市涪陵区环保局</w:t>
            </w:r>
            <w:r>
              <w:rPr>
                <w:rFonts w:hint="eastAsia" w:cs="Times New Roman"/>
                <w:color w:val="auto"/>
                <w:kern w:val="2"/>
                <w:sz w:val="24"/>
                <w:szCs w:val="24"/>
                <w:lang w:val="en-US" w:eastAsia="zh-CN" w:bidi="ar-SA"/>
              </w:rPr>
              <w:t>下达的</w:t>
            </w:r>
            <w:r>
              <w:rPr>
                <w:rFonts w:hint="default" w:ascii="Times New Roman" w:hAnsi="Times New Roman" w:cs="Times New Roman"/>
                <w:color w:val="auto"/>
                <w:sz w:val="24"/>
                <w:szCs w:val="24"/>
              </w:rPr>
              <w:t>《重庆市建设项目环境影响评价文件批准书》</w:t>
            </w:r>
            <w:r>
              <w:rPr>
                <w:rFonts w:hint="default" w:ascii="Times New Roman" w:hAnsi="Times New Roman" w:eastAsia="宋体" w:cs="Times New Roman"/>
                <w:color w:val="auto"/>
                <w:kern w:val="2"/>
                <w:sz w:val="24"/>
                <w:szCs w:val="24"/>
                <w:lang w:val="en-US" w:eastAsia="zh-CN" w:bidi="ar-SA"/>
              </w:rPr>
              <w:t>渝（涪）环评审[2004]29号，</w:t>
            </w:r>
            <w:r>
              <w:rPr>
                <w:rFonts w:hint="eastAsia" w:cs="Times New Roman"/>
                <w:color w:val="auto"/>
                <w:kern w:val="2"/>
                <w:sz w:val="24"/>
                <w:szCs w:val="24"/>
                <w:lang w:val="en-US" w:eastAsia="zh-CN" w:bidi="ar-SA"/>
              </w:rPr>
              <w:t>并</w:t>
            </w:r>
            <w:r>
              <w:rPr>
                <w:rFonts w:hint="default" w:ascii="Times New Roman" w:hAnsi="Times New Roman" w:eastAsia="宋体" w:cs="Times New Roman"/>
                <w:color w:val="auto"/>
                <w:kern w:val="2"/>
                <w:sz w:val="24"/>
                <w:szCs w:val="24"/>
                <w:lang w:val="en-US" w:eastAsia="zh-CN" w:bidi="ar-SA"/>
              </w:rPr>
              <w:t>于2005年1月完成了竣工环境保护验收，批复文号“渝（涪）环验[2005]4号”</w:t>
            </w:r>
            <w:r>
              <w:rPr>
                <w:rFonts w:hint="default" w:ascii="Times New Roman" w:hAnsi="Times New Roman" w:cs="Times New Roman"/>
                <w:color w:val="auto"/>
                <w:kern w:val="2"/>
                <w:sz w:val="24"/>
                <w:szCs w:val="24"/>
                <w:lang w:val="en-US" w:eastAsia="zh-CN" w:bidi="ar-SA"/>
              </w:rPr>
              <w:t>；</w:t>
            </w:r>
          </w:p>
          <w:p w14:paraId="22BE23F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2015年1月</w:t>
            </w:r>
            <w:r>
              <w:rPr>
                <w:rFonts w:hint="default" w:ascii="Times New Roman" w:hAnsi="Times New Roman" w:cs="Times New Roman"/>
                <w:color w:val="auto"/>
                <w:kern w:val="2"/>
                <w:sz w:val="24"/>
                <w:szCs w:val="24"/>
                <w:lang w:val="en-US" w:eastAsia="zh-CN" w:bidi="ar-SA"/>
              </w:rPr>
              <w:t>该企业</w:t>
            </w:r>
            <w:r>
              <w:rPr>
                <w:rFonts w:hint="default" w:ascii="Times New Roman" w:hAnsi="Times New Roman" w:eastAsia="宋体" w:cs="Times New Roman"/>
                <w:color w:val="auto"/>
                <w:kern w:val="2"/>
                <w:sz w:val="24"/>
                <w:szCs w:val="24"/>
                <w:lang w:val="en-US" w:eastAsia="zh-CN" w:bidi="ar-SA"/>
              </w:rPr>
              <w:t>委托中煤科工集团重庆设计研究院有限公司编制《新涪食品二期扩建工程环境报告表》，并取得</w:t>
            </w:r>
            <w:r>
              <w:rPr>
                <w:rFonts w:hint="default" w:ascii="Times New Roman" w:hAnsi="Times New Roman" w:cs="Times New Roman"/>
                <w:color w:val="auto"/>
                <w:sz w:val="24"/>
                <w:szCs w:val="24"/>
              </w:rPr>
              <w:t>《重庆市建设项目环境影响评价文件批准书》</w:t>
            </w:r>
            <w:r>
              <w:rPr>
                <w:rFonts w:hint="default" w:ascii="Times New Roman" w:hAnsi="Times New Roman" w:eastAsia="宋体" w:cs="Times New Roman"/>
                <w:color w:val="auto"/>
                <w:kern w:val="2"/>
                <w:sz w:val="24"/>
                <w:szCs w:val="24"/>
                <w:lang w:val="en-US" w:eastAsia="zh-CN" w:bidi="ar-SA"/>
              </w:rPr>
              <w:t>渝（涪）环准[2015]57号，于2016年5月完成了二期扩建工程竣工环境保护验收，批复文号“渝（涪）环验[2016]38号”</w:t>
            </w:r>
            <w:r>
              <w:rPr>
                <w:rFonts w:hint="default" w:ascii="Times New Roman" w:hAnsi="Times New Roman" w:cs="Times New Roman"/>
                <w:color w:val="auto"/>
                <w:kern w:val="2"/>
                <w:sz w:val="24"/>
                <w:szCs w:val="24"/>
                <w:lang w:val="en-US" w:eastAsia="zh-CN" w:bidi="ar-SA"/>
              </w:rPr>
              <w:t>；</w:t>
            </w:r>
          </w:p>
          <w:p w14:paraId="1749217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color w:val="auto"/>
                <w:kern w:val="2"/>
                <w:sz w:val="24"/>
                <w:szCs w:val="24"/>
                <w:lang w:val="en-US" w:eastAsia="zh-CN" w:bidi="ar-SA"/>
              </w:rPr>
            </w:pPr>
            <w:r>
              <w:rPr>
                <w:rFonts w:hint="eastAsia" w:eastAsia="宋体" w:cs="Times New Roman"/>
                <w:b w:val="0"/>
                <w:bCs/>
                <w:color w:val="auto"/>
                <w:kern w:val="2"/>
                <w:sz w:val="24"/>
                <w:szCs w:val="24"/>
                <w:lang w:val="en-US" w:eastAsia="zh-CN" w:bidi="ar-SA"/>
              </w:rPr>
              <w:t>2019年5月企业登记完成《新建2*3000T油罐项目环境影响登记表》（备案号：201950010200000076）</w:t>
            </w:r>
            <w:r>
              <w:rPr>
                <w:rFonts w:hint="default" w:ascii="Times New Roman" w:hAnsi="Times New Roman" w:eastAsia="宋体" w:cs="Times New Roman"/>
                <w:b w:val="0"/>
                <w:bCs/>
                <w:color w:val="auto"/>
                <w:kern w:val="2"/>
                <w:sz w:val="24"/>
                <w:szCs w:val="24"/>
                <w:lang w:val="en-US" w:eastAsia="zh-CN" w:bidi="ar-SA"/>
              </w:rPr>
              <w:t>。</w:t>
            </w:r>
          </w:p>
          <w:p w14:paraId="15168BF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cs="Times New Roman"/>
                <w:color w:val="auto"/>
                <w:kern w:val="2"/>
                <w:sz w:val="24"/>
                <w:szCs w:val="24"/>
                <w:lang w:val="en-US" w:eastAsia="zh-CN" w:bidi="ar-SA"/>
              </w:rPr>
            </w:pPr>
            <w:r>
              <w:rPr>
                <w:rFonts w:hint="eastAsia" w:eastAsia="宋体" w:cs="Times New Roman"/>
                <w:b w:val="0"/>
                <w:bCs/>
                <w:color w:val="auto"/>
                <w:kern w:val="2"/>
                <w:sz w:val="24"/>
                <w:szCs w:val="24"/>
                <w:lang w:val="en-US" w:eastAsia="zh-CN" w:bidi="ar-SA"/>
              </w:rPr>
              <w:t>2020年10月企业登记完成《扩建10个3000T油罐、1个2000T油罐、4个300T油罐、4个15000T大豆筒仓、2个5000吨散粕仓、3200平方米办公楼环境影响登记表》（备案号：202050010200000159）</w:t>
            </w:r>
            <w:r>
              <w:rPr>
                <w:rFonts w:hint="default" w:ascii="Times New Roman" w:hAnsi="Times New Roman" w:eastAsia="宋体" w:cs="Times New Roman"/>
                <w:b w:val="0"/>
                <w:bCs/>
                <w:color w:val="auto"/>
                <w:kern w:val="2"/>
                <w:sz w:val="24"/>
                <w:szCs w:val="24"/>
                <w:lang w:val="en-US" w:eastAsia="zh-CN" w:bidi="ar-SA"/>
              </w:rPr>
              <w:t>。</w:t>
            </w:r>
          </w:p>
          <w:p w14:paraId="74EBD3F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eastAsia="宋体" w:cs="Times New Roman"/>
                <w:b w:val="0"/>
                <w:bCs/>
                <w:color w:val="auto"/>
                <w:kern w:val="2"/>
                <w:sz w:val="24"/>
                <w:szCs w:val="24"/>
                <w:lang w:val="en-US" w:eastAsia="zh-CN" w:bidi="ar-SA"/>
              </w:rPr>
            </w:pPr>
            <w:r>
              <w:rPr>
                <w:rFonts w:hint="default" w:ascii="Times New Roman" w:hAnsi="Times New Roman" w:cs="Times New Roman"/>
                <w:color w:val="auto"/>
                <w:kern w:val="2"/>
                <w:sz w:val="24"/>
                <w:szCs w:val="24"/>
                <w:lang w:val="en-US" w:eastAsia="zh-CN" w:bidi="ar-SA"/>
              </w:rPr>
              <w:t>2021年6月企业委托重庆市</w:t>
            </w:r>
            <w:r>
              <w:rPr>
                <w:rFonts w:hint="eastAsia" w:cs="Times New Roman"/>
                <w:color w:val="auto"/>
                <w:kern w:val="2"/>
                <w:sz w:val="24"/>
                <w:szCs w:val="24"/>
                <w:lang w:val="en-US" w:eastAsia="zh-CN" w:bidi="ar-SA"/>
              </w:rPr>
              <w:t>久久</w:t>
            </w:r>
            <w:r>
              <w:rPr>
                <w:rFonts w:hint="default" w:ascii="Times New Roman" w:hAnsi="Times New Roman" w:cs="Times New Roman"/>
                <w:color w:val="auto"/>
                <w:kern w:val="2"/>
                <w:sz w:val="24"/>
                <w:szCs w:val="24"/>
                <w:lang w:val="en-US" w:eastAsia="zh-CN" w:bidi="ar-SA"/>
              </w:rPr>
              <w:t>环境影响评价有限公司编制《</w:t>
            </w:r>
            <w:r>
              <w:rPr>
                <w:rFonts w:hint="default" w:ascii="Times New Roman" w:hAnsi="Times New Roman" w:cs="Times New Roman"/>
                <w:bCs/>
                <w:color w:val="auto"/>
                <w:sz w:val="24"/>
                <w:szCs w:val="24"/>
              </w:rPr>
              <w:t>重庆市涪陵区龙桥镇中粮油脂项目（重庆）有限公司2020年技</w:t>
            </w:r>
            <w:r>
              <w:rPr>
                <w:rFonts w:hint="default" w:ascii="Times New Roman" w:hAnsi="Times New Roman" w:eastAsia="宋体" w:cs="Times New Roman"/>
                <w:b w:val="0"/>
                <w:bCs/>
                <w:color w:val="auto"/>
                <w:sz w:val="24"/>
                <w:szCs w:val="24"/>
              </w:rPr>
              <w:t>改项目</w:t>
            </w:r>
            <w:r>
              <w:rPr>
                <w:rFonts w:hint="default" w:ascii="Times New Roman" w:hAnsi="Times New Roman" w:eastAsia="宋体" w:cs="Times New Roman"/>
                <w:b w:val="0"/>
                <w:bCs/>
                <w:color w:val="auto"/>
                <w:sz w:val="24"/>
                <w:szCs w:val="24"/>
                <w:lang w:eastAsia="zh-CN"/>
              </w:rPr>
              <w:t>环境影响报告表</w:t>
            </w:r>
            <w:r>
              <w:rPr>
                <w:rFonts w:hint="default" w:ascii="Times New Roman" w:hAnsi="Times New Roman" w:eastAsia="宋体" w:cs="Times New Roman"/>
                <w:b w:val="0"/>
                <w:bCs/>
                <w:color w:val="auto"/>
                <w:kern w:val="2"/>
                <w:sz w:val="24"/>
                <w:szCs w:val="24"/>
                <w:lang w:val="en-US" w:eastAsia="zh-CN" w:bidi="ar-SA"/>
              </w:rPr>
              <w:t>》，并取得重庆市涪陵区生态环境局下达的</w:t>
            </w:r>
            <w:r>
              <w:rPr>
                <w:rFonts w:hint="default" w:ascii="Times New Roman" w:hAnsi="Times New Roman" w:eastAsia="宋体" w:cs="Times New Roman"/>
                <w:b w:val="0"/>
                <w:bCs/>
                <w:color w:val="auto"/>
                <w:sz w:val="24"/>
                <w:szCs w:val="24"/>
              </w:rPr>
              <w:t>《重庆市建设项目环境影响评价文件批准书》</w:t>
            </w:r>
            <w:r>
              <w:rPr>
                <w:rFonts w:hint="default" w:ascii="Times New Roman" w:hAnsi="Times New Roman" w:eastAsia="宋体" w:cs="Times New Roman"/>
                <w:b w:val="0"/>
                <w:bCs/>
                <w:color w:val="auto"/>
                <w:kern w:val="2"/>
                <w:sz w:val="24"/>
                <w:szCs w:val="24"/>
                <w:lang w:val="en-US" w:eastAsia="zh-CN" w:bidi="ar-SA"/>
              </w:rPr>
              <w:t>渝（涪）环评审[2021]048号，并于2021年9月编制完成了《</w:t>
            </w:r>
            <w:r>
              <w:rPr>
                <w:rFonts w:hint="default" w:ascii="Times New Roman" w:hAnsi="Times New Roman" w:eastAsia="宋体" w:cs="Times New Roman"/>
                <w:b w:val="0"/>
                <w:bCs/>
                <w:color w:val="auto"/>
                <w:sz w:val="24"/>
                <w:szCs w:val="24"/>
              </w:rPr>
              <w:t>重庆市涪陵区龙桥镇中粮油脂（重庆）有限公司2020年技改项目竣工环境保护验收监测报告表</w:t>
            </w:r>
            <w:r>
              <w:rPr>
                <w:rFonts w:hint="default" w:ascii="Times New Roman" w:hAnsi="Times New Roman" w:eastAsia="宋体" w:cs="Times New Roman"/>
                <w:b w:val="0"/>
                <w:bCs/>
                <w:color w:val="auto"/>
                <w:kern w:val="2"/>
                <w:sz w:val="24"/>
                <w:szCs w:val="24"/>
                <w:lang w:val="en-US" w:eastAsia="zh-CN" w:bidi="ar-SA"/>
              </w:rPr>
              <w:t>》</w:t>
            </w:r>
            <w:r>
              <w:rPr>
                <w:rFonts w:hint="eastAsia" w:ascii="Times New Roman" w:hAnsi="Times New Roman" w:eastAsia="宋体" w:cs="Times New Roman"/>
                <w:b w:val="0"/>
                <w:bCs/>
                <w:color w:val="auto"/>
                <w:kern w:val="2"/>
                <w:sz w:val="24"/>
                <w:szCs w:val="24"/>
                <w:lang w:val="en-US" w:eastAsia="zh-CN" w:bidi="ar-SA"/>
              </w:rPr>
              <w:t>，通过了</w:t>
            </w:r>
            <w:r>
              <w:rPr>
                <w:rFonts w:hint="default" w:ascii="Times New Roman" w:hAnsi="Times New Roman" w:eastAsia="宋体" w:cs="Times New Roman"/>
                <w:b w:val="0"/>
                <w:bCs/>
                <w:color w:val="auto"/>
                <w:kern w:val="2"/>
                <w:sz w:val="24"/>
                <w:szCs w:val="24"/>
                <w:lang w:val="en-US" w:eastAsia="zh-CN" w:bidi="ar-SA"/>
              </w:rPr>
              <w:t>竣工环境保护验收</w:t>
            </w:r>
            <w:r>
              <w:rPr>
                <w:rFonts w:hint="eastAsia" w:eastAsia="宋体" w:cs="Times New Roman"/>
                <w:b w:val="0"/>
                <w:bCs/>
                <w:color w:val="auto"/>
                <w:kern w:val="2"/>
                <w:sz w:val="24"/>
                <w:szCs w:val="24"/>
                <w:lang w:val="en-US" w:eastAsia="zh-CN" w:bidi="ar-SA"/>
              </w:rPr>
              <w:t>；</w:t>
            </w:r>
          </w:p>
          <w:p w14:paraId="14E4A74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ascii="Times New Roman" w:hAnsi="Times New Roman" w:eastAsia="宋体" w:cs="Times New Roman"/>
                <w:b w:val="0"/>
                <w:bCs/>
                <w:color w:val="auto"/>
                <w:kern w:val="2"/>
                <w:sz w:val="24"/>
                <w:szCs w:val="24"/>
                <w:lang w:val="en-US" w:eastAsia="zh-CN" w:bidi="ar-SA"/>
              </w:rPr>
            </w:pPr>
            <w:r>
              <w:rPr>
                <w:rFonts w:hint="eastAsia" w:eastAsia="宋体" w:cs="Times New Roman"/>
                <w:b w:val="0"/>
                <w:bCs/>
                <w:color w:val="auto"/>
                <w:kern w:val="2"/>
                <w:sz w:val="24"/>
                <w:szCs w:val="24"/>
                <w:lang w:val="en-US" w:eastAsia="zh-CN" w:bidi="ar-SA"/>
              </w:rPr>
              <w:t>2021年8月企业登记完成《污水处理异味治理环境影响登记表》（备案号：202150010200000089）</w:t>
            </w:r>
            <w:r>
              <w:rPr>
                <w:rFonts w:hint="default" w:ascii="Times New Roman" w:hAnsi="Times New Roman" w:eastAsia="宋体" w:cs="Times New Roman"/>
                <w:b w:val="0"/>
                <w:bCs/>
                <w:color w:val="auto"/>
                <w:kern w:val="2"/>
                <w:sz w:val="24"/>
                <w:szCs w:val="24"/>
                <w:lang w:val="en-US" w:eastAsia="zh-CN" w:bidi="ar-SA"/>
              </w:rPr>
              <w:t>。</w:t>
            </w:r>
          </w:p>
          <w:p w14:paraId="56DE3ED8">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default"/>
                <w:color w:val="auto"/>
                <w:lang w:val="en-US" w:eastAsia="zh-CN"/>
              </w:rPr>
            </w:pPr>
            <w:r>
              <w:rPr>
                <w:rFonts w:hint="eastAsia" w:eastAsia="宋体" w:cs="Times New Roman"/>
                <w:b w:val="0"/>
                <w:bCs/>
                <w:color w:val="auto"/>
                <w:kern w:val="2"/>
                <w:sz w:val="24"/>
                <w:szCs w:val="24"/>
                <w:lang w:val="en-US" w:eastAsia="zh-CN" w:bidi="ar-SA"/>
              </w:rPr>
              <w:t>2023年4月企业登记完成《预处理车间含尘废气深度治理、浸出车间异味治理项目环境影响登记表》（备案号：202350010200000039）</w:t>
            </w:r>
          </w:p>
          <w:p w14:paraId="2F6F7E75">
            <w:pPr>
              <w:bidi w:val="0"/>
              <w:rPr>
                <w:rFonts w:hint="default"/>
                <w:color w:val="auto"/>
                <w:lang w:val="en-US" w:eastAsia="zh-CN"/>
              </w:rPr>
            </w:pPr>
            <w:r>
              <w:rPr>
                <w:rFonts w:hint="eastAsia"/>
                <w:color w:val="auto"/>
                <w:lang w:val="en-US" w:eastAsia="zh-CN"/>
              </w:rPr>
              <w:t>2024年8月30日，企业重新申领了《排污许可证》（证书编号：91500012742895659W001U）。</w:t>
            </w:r>
          </w:p>
          <w:p w14:paraId="4D9045AB">
            <w:pPr>
              <w:spacing w:line="360" w:lineRule="auto"/>
              <w:ind w:left="0" w:leftChars="0" w:firstLine="0" w:firstLineChars="0"/>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7.2</w:t>
            </w:r>
            <w:r>
              <w:rPr>
                <w:rFonts w:hint="default" w:ascii="Times New Roman" w:hAnsi="Times New Roman" w:cs="Times New Roman"/>
                <w:b/>
                <w:bCs/>
                <w:color w:val="auto"/>
                <w:sz w:val="24"/>
                <w:szCs w:val="24"/>
                <w:lang w:eastAsia="zh-CN"/>
              </w:rPr>
              <w:t>现有</w:t>
            </w:r>
            <w:r>
              <w:rPr>
                <w:rFonts w:hint="default" w:ascii="Times New Roman" w:hAnsi="Times New Roman" w:cs="Times New Roman"/>
                <w:b/>
                <w:bCs/>
                <w:color w:val="auto"/>
                <w:sz w:val="24"/>
                <w:szCs w:val="24"/>
              </w:rPr>
              <w:t>工程概况</w:t>
            </w:r>
          </w:p>
          <w:p w14:paraId="14814679">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lang w:eastAsia="zh-CN"/>
              </w:rPr>
              <w:t>现有</w:t>
            </w:r>
            <w:r>
              <w:rPr>
                <w:rFonts w:hint="eastAsia" w:ascii="宋体" w:hAnsi="宋体" w:cs="宋体"/>
                <w:color w:val="auto"/>
                <w:sz w:val="24"/>
                <w:szCs w:val="24"/>
              </w:rPr>
              <w:t>工程基本情况</w:t>
            </w:r>
          </w:p>
          <w:p w14:paraId="57306748">
            <w:pPr>
              <w:spacing w:line="360" w:lineRule="auto"/>
              <w:ind w:firstLine="481"/>
              <w:rPr>
                <w:rFonts w:hint="default" w:ascii="Times New Roman" w:hAnsi="Times New Roman" w:cs="Times New Roman"/>
                <w:bCs/>
                <w:color w:val="auto"/>
                <w:sz w:val="24"/>
                <w:szCs w:val="24"/>
              </w:rPr>
            </w:pPr>
            <w:r>
              <w:rPr>
                <w:rFonts w:hint="eastAsia" w:ascii="宋体" w:hAnsi="宋体" w:cs="宋体"/>
                <w:color w:val="auto"/>
                <w:sz w:val="24"/>
                <w:szCs w:val="24"/>
              </w:rPr>
              <w:t>建设单位：</w:t>
            </w:r>
            <w:r>
              <w:rPr>
                <w:rFonts w:hint="default" w:ascii="Times New Roman" w:hAnsi="Times New Roman" w:cs="Times New Roman"/>
                <w:bCs/>
                <w:color w:val="auto"/>
                <w:sz w:val="24"/>
                <w:szCs w:val="24"/>
              </w:rPr>
              <w:t>中粮油脂项目（重庆）有限公司</w:t>
            </w:r>
          </w:p>
          <w:p w14:paraId="7DEB3829">
            <w:pPr>
              <w:spacing w:line="360" w:lineRule="auto"/>
              <w:ind w:firstLine="481"/>
              <w:rPr>
                <w:rFonts w:hint="eastAsia" w:ascii="宋体" w:hAnsi="宋体" w:cs="宋体"/>
                <w:color w:val="auto"/>
                <w:sz w:val="24"/>
                <w:szCs w:val="24"/>
              </w:rPr>
            </w:pPr>
            <w:r>
              <w:rPr>
                <w:rFonts w:hint="eastAsia" w:ascii="宋体" w:hAnsi="宋体" w:cs="宋体"/>
                <w:color w:val="auto"/>
                <w:sz w:val="24"/>
                <w:szCs w:val="24"/>
              </w:rPr>
              <w:t>建设地点：</w:t>
            </w:r>
            <w:r>
              <w:rPr>
                <w:rFonts w:hint="default" w:ascii="Times New Roman" w:hAnsi="Times New Roman" w:cs="Times New Roman"/>
                <w:color w:val="auto"/>
                <w:sz w:val="24"/>
                <w:szCs w:val="24"/>
              </w:rPr>
              <w:t>重庆市涪陵区龙桥街道龙兴东路</w:t>
            </w:r>
            <w:r>
              <w:rPr>
                <w:rFonts w:hint="default" w:ascii="Times New Roman" w:hAnsi="Times New Roman" w:eastAsia="Times New Roman" w:cs="Times New Roman"/>
                <w:color w:val="auto"/>
                <w:sz w:val="24"/>
                <w:szCs w:val="24"/>
              </w:rPr>
              <w:t>88</w:t>
            </w:r>
            <w:r>
              <w:rPr>
                <w:rFonts w:hint="default" w:ascii="Times New Roman" w:hAnsi="Times New Roman" w:cs="Times New Roman"/>
                <w:color w:val="auto"/>
                <w:sz w:val="24"/>
                <w:szCs w:val="24"/>
              </w:rPr>
              <w:t>号</w:t>
            </w:r>
          </w:p>
          <w:p w14:paraId="30E26382">
            <w:pPr>
              <w:adjustRightInd w:val="0"/>
              <w:snapToGrid w:val="0"/>
              <w:spacing w:line="360" w:lineRule="auto"/>
              <w:ind w:firstLine="480" w:firstLineChars="200"/>
              <w:rPr>
                <w:rFonts w:hint="default" w:ascii="Times New Roman" w:hAnsi="Times New Roman" w:cs="Times New Roman"/>
                <w:color w:val="auto"/>
                <w:kern w:val="0"/>
                <w:sz w:val="24"/>
                <w:szCs w:val="24"/>
              </w:rPr>
            </w:pPr>
            <w:r>
              <w:rPr>
                <w:color w:val="auto"/>
                <w:sz w:val="24"/>
                <w:szCs w:val="24"/>
              </w:rPr>
              <w:t>劳动定员及工作制度：根</w:t>
            </w:r>
            <w:r>
              <w:rPr>
                <w:color w:val="auto"/>
                <w:kern w:val="0"/>
                <w:sz w:val="24"/>
                <w:szCs w:val="24"/>
              </w:rPr>
              <w:t>据业主提供的资料，</w:t>
            </w:r>
            <w:r>
              <w:rPr>
                <w:rFonts w:hint="eastAsia"/>
                <w:color w:val="auto"/>
                <w:kern w:val="0"/>
                <w:sz w:val="24"/>
                <w:szCs w:val="24"/>
                <w:lang w:eastAsia="zh-CN"/>
              </w:rPr>
              <w:t>现有工程</w:t>
            </w:r>
            <w:r>
              <w:rPr>
                <w:color w:val="auto"/>
                <w:kern w:val="0"/>
                <w:sz w:val="24"/>
                <w:szCs w:val="24"/>
              </w:rPr>
              <w:t>实行</w:t>
            </w:r>
            <w:r>
              <w:rPr>
                <w:rFonts w:hint="eastAsia"/>
                <w:color w:val="auto"/>
                <w:kern w:val="0"/>
                <w:sz w:val="24"/>
                <w:szCs w:val="24"/>
                <w:lang w:val="en-US" w:eastAsia="zh-CN"/>
              </w:rPr>
              <w:t>2</w:t>
            </w:r>
            <w:r>
              <w:rPr>
                <w:color w:val="auto"/>
                <w:kern w:val="0"/>
                <w:sz w:val="24"/>
                <w:szCs w:val="24"/>
              </w:rPr>
              <w:t>班制，每班工作时间为</w:t>
            </w:r>
            <w:r>
              <w:rPr>
                <w:rFonts w:hint="eastAsia" w:eastAsia="宋体"/>
                <w:color w:val="auto"/>
                <w:kern w:val="0"/>
                <w:sz w:val="24"/>
                <w:szCs w:val="24"/>
                <w:lang w:val="en-US" w:eastAsia="zh-CN"/>
              </w:rPr>
              <w:t>12</w:t>
            </w:r>
            <w:r>
              <w:rPr>
                <w:color w:val="auto"/>
                <w:kern w:val="0"/>
                <w:sz w:val="24"/>
                <w:szCs w:val="24"/>
              </w:rPr>
              <w:t>小</w:t>
            </w:r>
            <w:r>
              <w:rPr>
                <w:rFonts w:hint="default" w:ascii="Times New Roman" w:hAnsi="Times New Roman" w:cs="Times New Roman"/>
                <w:color w:val="auto"/>
                <w:kern w:val="0"/>
                <w:sz w:val="24"/>
                <w:szCs w:val="24"/>
              </w:rPr>
              <w:t>时，全年工作天数为300天</w:t>
            </w:r>
            <w:r>
              <w:rPr>
                <w:rFonts w:hint="eastAsia" w:cs="Times New Roman"/>
                <w:color w:val="auto"/>
                <w:kern w:val="0"/>
                <w:sz w:val="24"/>
                <w:szCs w:val="24"/>
                <w:lang w:eastAsia="zh-CN"/>
              </w:rPr>
              <w:t>，配备员工</w:t>
            </w:r>
            <w:r>
              <w:rPr>
                <w:rFonts w:hint="eastAsia" w:cs="Times New Roman"/>
                <w:color w:val="auto"/>
                <w:kern w:val="0"/>
                <w:sz w:val="24"/>
                <w:szCs w:val="24"/>
                <w:lang w:val="en-US" w:eastAsia="zh-CN"/>
              </w:rPr>
              <w:t>218人</w:t>
            </w:r>
            <w:r>
              <w:rPr>
                <w:rFonts w:hint="default" w:ascii="Times New Roman" w:hAnsi="Times New Roman" w:cs="Times New Roman"/>
                <w:color w:val="auto"/>
                <w:kern w:val="0"/>
                <w:sz w:val="24"/>
                <w:szCs w:val="24"/>
              </w:rPr>
              <w:t>。</w:t>
            </w:r>
          </w:p>
          <w:p w14:paraId="5604B5A2">
            <w:pPr>
              <w:spacing w:line="360" w:lineRule="auto"/>
              <w:ind w:firstLine="480" w:firstLineChars="200"/>
              <w:rPr>
                <w:rFonts w:hint="eastAsia"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rPr>
              <w:t>生产规模：</w:t>
            </w:r>
            <w:r>
              <w:rPr>
                <w:rFonts w:hint="eastAsia" w:cs="Times New Roman"/>
                <w:color w:val="auto"/>
                <w:sz w:val="24"/>
                <w:szCs w:val="24"/>
                <w:lang w:eastAsia="zh-CN"/>
              </w:rPr>
              <w:t>大豆油</w:t>
            </w:r>
            <w:r>
              <w:rPr>
                <w:rFonts w:hint="eastAsia" w:cs="Times New Roman"/>
                <w:color w:val="auto"/>
                <w:sz w:val="24"/>
                <w:szCs w:val="24"/>
                <w:lang w:val="en-US" w:eastAsia="zh-CN"/>
              </w:rPr>
              <w:t>31万t/a</w:t>
            </w:r>
            <w:r>
              <w:rPr>
                <w:rFonts w:hint="eastAsia" w:cs="Times New Roman"/>
                <w:color w:val="auto"/>
                <w:sz w:val="24"/>
                <w:szCs w:val="24"/>
                <w:lang w:eastAsia="zh-CN"/>
              </w:rPr>
              <w:t>、豆粕</w:t>
            </w:r>
            <w:r>
              <w:rPr>
                <w:rFonts w:hint="eastAsia" w:cs="Times New Roman"/>
                <w:color w:val="auto"/>
                <w:sz w:val="24"/>
                <w:szCs w:val="24"/>
                <w:lang w:val="en-US" w:eastAsia="zh-CN"/>
              </w:rPr>
              <w:t>144万t/a</w:t>
            </w:r>
            <w:r>
              <w:rPr>
                <w:rFonts w:hint="default" w:ascii="Times New Roman" w:hAnsi="Times New Roman" w:cs="Times New Roman"/>
                <w:color w:val="auto"/>
                <w:sz w:val="24"/>
                <w:szCs w:val="24"/>
              </w:rPr>
              <w:t>。</w:t>
            </w:r>
          </w:p>
          <w:p w14:paraId="73B80A59">
            <w:pPr>
              <w:spacing w:line="360" w:lineRule="auto"/>
              <w:ind w:firstLine="481"/>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cs="Times New Roman"/>
                <w:color w:val="auto"/>
                <w:sz w:val="24"/>
                <w:szCs w:val="24"/>
              </w:rPr>
              <w:t>建设内容：占地面积18000m</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vertAlign w:val="baseline"/>
                <w:lang w:eastAsia="zh-CN"/>
              </w:rPr>
              <w:t>，主体工程包括：预处理车间、浸出车间、精炼车间、豆粕打包车间、包装车间；储运工程包括：货运码头、大豆</w:t>
            </w:r>
            <w:r>
              <w:rPr>
                <w:rFonts w:hint="eastAsia" w:cs="Times New Roman"/>
                <w:color w:val="auto"/>
                <w:sz w:val="24"/>
                <w:szCs w:val="24"/>
                <w:vertAlign w:val="baseline"/>
                <w:lang w:eastAsia="zh-CN"/>
              </w:rPr>
              <w:t>筒仓</w:t>
            </w:r>
            <w:r>
              <w:rPr>
                <w:rFonts w:hint="default" w:ascii="Times New Roman" w:hAnsi="Times New Roman" w:cs="Times New Roman"/>
                <w:color w:val="auto"/>
                <w:sz w:val="24"/>
                <w:szCs w:val="24"/>
                <w:vertAlign w:val="baseline"/>
                <w:lang w:eastAsia="zh-CN"/>
              </w:rPr>
              <w:t>、散粕库房、豆皮库房、白土库房、成品库房、</w:t>
            </w:r>
            <w:r>
              <w:rPr>
                <w:rFonts w:hint="default" w:ascii="Times New Roman" w:hAnsi="Times New Roman" w:cs="Times New Roman"/>
                <w:color w:val="auto"/>
                <w:sz w:val="24"/>
                <w:szCs w:val="24"/>
                <w:vertAlign w:val="baseline"/>
                <w:lang w:val="en-US" w:eastAsia="zh-CN"/>
              </w:rPr>
              <w:t>1#~</w:t>
            </w:r>
            <w:r>
              <w:rPr>
                <w:rFonts w:hint="eastAsia" w:cs="Times New Roman"/>
                <w:color w:val="auto"/>
                <w:sz w:val="24"/>
                <w:szCs w:val="24"/>
                <w:vertAlign w:val="baseline"/>
                <w:lang w:val="en-US" w:eastAsia="zh-CN"/>
              </w:rPr>
              <w:t>8#罐区；辅助工程包括：办公楼、综合楼，现有工程组成见表2.7-1。</w:t>
            </w:r>
          </w:p>
          <w:p w14:paraId="70F4BB94">
            <w:pPr>
              <w:pStyle w:val="3"/>
              <w:bidi w:val="0"/>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7-1</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现有</w:t>
            </w:r>
            <w:r>
              <w:rPr>
                <w:rFonts w:hint="default" w:ascii="Times New Roman" w:hAnsi="Times New Roman" w:cs="Times New Roman"/>
                <w:color w:val="auto"/>
              </w:rPr>
              <w:t>工程组成一览表</w:t>
            </w:r>
          </w:p>
          <w:tbl>
            <w:tblPr>
              <w:tblStyle w:val="17"/>
              <w:tblW w:w="5000"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83"/>
              <w:gridCol w:w="747"/>
              <w:gridCol w:w="168"/>
              <w:gridCol w:w="760"/>
              <w:gridCol w:w="5531"/>
            </w:tblGrid>
            <w:tr w14:paraId="0B3B68D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jc w:val="center"/>
              </w:trPr>
              <w:tc>
                <w:tcPr>
                  <w:tcW w:w="705" w:type="pct"/>
                  <w:tcBorders>
                    <w:top w:val="single" w:color="auto" w:sz="6" w:space="0"/>
                    <w:left w:val="nil"/>
                    <w:bottom w:val="single" w:color="auto" w:sz="6" w:space="0"/>
                    <w:right w:val="single" w:color="auto" w:sz="6" w:space="0"/>
                  </w:tcBorders>
                  <w:noWrap w:val="0"/>
                  <w:vAlign w:val="center"/>
                </w:tcPr>
                <w:p w14:paraId="49EDCCE4">
                  <w:pPr>
                    <w:pStyle w:val="3"/>
                    <w:bidi w:val="0"/>
                    <w:rPr>
                      <w:rFonts w:hint="default" w:ascii="Times New Roman" w:hAnsi="Times New Roman" w:cs="Times New Roman"/>
                      <w:color w:val="auto"/>
                    </w:rPr>
                  </w:pPr>
                  <w:r>
                    <w:rPr>
                      <w:rFonts w:hint="default" w:ascii="Times New Roman" w:hAnsi="Times New Roman" w:cs="Times New Roman"/>
                      <w:color w:val="auto"/>
                    </w:rPr>
                    <w:t>工程类别</w:t>
                  </w: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3FD14D56">
                  <w:pPr>
                    <w:pStyle w:val="3"/>
                    <w:bidi w:val="0"/>
                    <w:rPr>
                      <w:rFonts w:hint="default" w:ascii="Times New Roman" w:hAnsi="Times New Roman" w:cs="Times New Roman"/>
                      <w:color w:val="auto"/>
                    </w:rPr>
                  </w:pPr>
                  <w:r>
                    <w:rPr>
                      <w:rFonts w:hint="default" w:ascii="Times New Roman" w:hAnsi="Times New Roman" w:cs="Times New Roman"/>
                      <w:color w:val="auto"/>
                    </w:rPr>
                    <w:t>项目</w:t>
                  </w:r>
                </w:p>
              </w:tc>
              <w:tc>
                <w:tcPr>
                  <w:tcW w:w="3296" w:type="pct"/>
                  <w:tcBorders>
                    <w:top w:val="single" w:color="auto" w:sz="6" w:space="0"/>
                    <w:left w:val="single" w:color="auto" w:sz="6" w:space="0"/>
                    <w:bottom w:val="single" w:color="auto" w:sz="6" w:space="0"/>
                    <w:right w:val="nil"/>
                  </w:tcBorders>
                  <w:noWrap w:val="0"/>
                  <w:vAlign w:val="center"/>
                </w:tcPr>
                <w:p w14:paraId="14A8E6DA">
                  <w:pPr>
                    <w:pStyle w:val="3"/>
                    <w:bidi w:val="0"/>
                    <w:rPr>
                      <w:rFonts w:hint="default" w:ascii="Times New Roman" w:hAnsi="Times New Roman" w:cs="Times New Roman"/>
                      <w:color w:val="auto"/>
                    </w:rPr>
                  </w:pPr>
                  <w:r>
                    <w:rPr>
                      <w:rFonts w:hint="default" w:ascii="Times New Roman" w:hAnsi="Times New Roman" w:cs="Times New Roman"/>
                      <w:color w:val="auto"/>
                    </w:rPr>
                    <w:t>内容及规模</w:t>
                  </w:r>
                </w:p>
              </w:tc>
            </w:tr>
            <w:tr w14:paraId="4799066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restart"/>
                  <w:tcBorders>
                    <w:top w:val="single" w:color="auto" w:sz="6" w:space="0"/>
                    <w:left w:val="nil"/>
                    <w:right w:val="single" w:color="auto" w:sz="6" w:space="0"/>
                  </w:tcBorders>
                  <w:noWrap w:val="0"/>
                  <w:vAlign w:val="center"/>
                </w:tcPr>
                <w:p w14:paraId="0ED7BBEA">
                  <w:pPr>
                    <w:pStyle w:val="3"/>
                    <w:bidi w:val="0"/>
                    <w:rPr>
                      <w:rFonts w:hint="default" w:ascii="Times New Roman" w:hAnsi="Times New Roman" w:cs="Times New Roman"/>
                      <w:color w:val="auto"/>
                    </w:rPr>
                  </w:pPr>
                  <w:r>
                    <w:rPr>
                      <w:rFonts w:hint="default" w:ascii="Times New Roman" w:hAnsi="Times New Roman" w:cs="Times New Roman"/>
                      <w:color w:val="auto"/>
                    </w:rPr>
                    <w:t>主体工程</w:t>
                  </w: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4991F27">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预</w:t>
                  </w:r>
                  <w:r>
                    <w:rPr>
                      <w:rFonts w:hint="default" w:ascii="Times New Roman" w:hAnsi="Times New Roman" w:cs="Times New Roman"/>
                      <w:color w:val="auto"/>
                      <w:lang w:eastAsia="zh-CN"/>
                    </w:rPr>
                    <w:t>处理车间</w:t>
                  </w:r>
                </w:p>
              </w:tc>
              <w:tc>
                <w:tcPr>
                  <w:tcW w:w="3296" w:type="pct"/>
                  <w:tcBorders>
                    <w:top w:val="single" w:color="auto" w:sz="6" w:space="0"/>
                    <w:left w:val="single" w:color="auto" w:sz="6" w:space="0"/>
                    <w:bottom w:val="single" w:color="auto" w:sz="6" w:space="0"/>
                    <w:right w:val="nil"/>
                  </w:tcBorders>
                  <w:noWrap w:val="0"/>
                  <w:vAlign w:val="center"/>
                </w:tcPr>
                <w:p w14:paraId="06A9560A">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主要布置</w:t>
                  </w:r>
                  <w:r>
                    <w:rPr>
                      <w:rFonts w:hint="default" w:ascii="Times New Roman" w:hAnsi="Times New Roman" w:cs="Times New Roman"/>
                      <w:color w:val="auto"/>
                      <w:lang w:val="en-US" w:eastAsia="zh-CN"/>
                    </w:rPr>
                    <w:t>1条大豆预处理生产线，大豆加工量180万t/a,主要工序包括：称量、振动清理，调质、蜕皮、破碎、轧胚等。</w:t>
                  </w:r>
                </w:p>
              </w:tc>
            </w:tr>
            <w:tr w14:paraId="7E074B6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F3E5E65">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7EE67B1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浸出车间</w:t>
                  </w:r>
                </w:p>
              </w:tc>
              <w:tc>
                <w:tcPr>
                  <w:tcW w:w="3296" w:type="pct"/>
                  <w:tcBorders>
                    <w:top w:val="single" w:color="auto" w:sz="6" w:space="0"/>
                    <w:left w:val="single" w:color="auto" w:sz="6" w:space="0"/>
                    <w:bottom w:val="single" w:color="auto" w:sz="6" w:space="0"/>
                    <w:right w:val="nil"/>
                  </w:tcBorders>
                  <w:noWrap w:val="0"/>
                  <w:vAlign w:val="center"/>
                </w:tcPr>
                <w:p w14:paraId="605BAF48">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主要布置</w:t>
                  </w:r>
                  <w:r>
                    <w:rPr>
                      <w:rFonts w:hint="default" w:ascii="Times New Roman" w:hAnsi="Times New Roman" w:cs="Times New Roman"/>
                      <w:color w:val="auto"/>
                      <w:lang w:val="en-US" w:eastAsia="zh-CN"/>
                    </w:rPr>
                    <w:t>1条浸出生产线，大豆毛油生产能力</w:t>
                  </w:r>
                  <w:r>
                    <w:rPr>
                      <w:rFonts w:hint="eastAsia" w:ascii="Times New Roman" w:hAnsi="Times New Roman" w:cs="Times New Roman"/>
                      <w:color w:val="auto"/>
                      <w:lang w:val="en-US" w:eastAsia="zh-CN"/>
                    </w:rPr>
                    <w:t>31.68</w:t>
                  </w:r>
                  <w:r>
                    <w:rPr>
                      <w:rFonts w:hint="default" w:ascii="Times New Roman" w:hAnsi="Times New Roman" w:cs="Times New Roman"/>
                      <w:color w:val="auto"/>
                      <w:lang w:val="en-US" w:eastAsia="zh-CN"/>
                    </w:rPr>
                    <w:t>万t/a,主要工序包括：浸出、蒸发、预脱溶、蒸脱、汽提等。</w:t>
                  </w:r>
                </w:p>
              </w:tc>
            </w:tr>
            <w:tr w14:paraId="4322A89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C59B0DF">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3A67CB4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精炼车间</w:t>
                  </w:r>
                </w:p>
              </w:tc>
              <w:tc>
                <w:tcPr>
                  <w:tcW w:w="3296" w:type="pct"/>
                  <w:tcBorders>
                    <w:top w:val="single" w:color="auto" w:sz="6" w:space="0"/>
                    <w:left w:val="single" w:color="auto" w:sz="6" w:space="0"/>
                    <w:bottom w:val="single" w:color="auto" w:sz="6" w:space="0"/>
                    <w:right w:val="nil"/>
                  </w:tcBorders>
                  <w:noWrap w:val="0"/>
                  <w:vAlign w:val="center"/>
                </w:tcPr>
                <w:p w14:paraId="1E42E66A">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主要布置</w:t>
                  </w:r>
                  <w:r>
                    <w:rPr>
                      <w:rFonts w:hint="default" w:ascii="Times New Roman" w:hAnsi="Times New Roman" w:cs="Times New Roman"/>
                      <w:color w:val="auto"/>
                      <w:lang w:val="en-US" w:eastAsia="zh-CN"/>
                    </w:rPr>
                    <w:t>1条精炼生产线，大豆油生产能力31万t/a,主要工序包括：酸化、碱炼脱酸、离心分离、水洗、干燥、脱色、过滤、脱臭、精滤等。</w:t>
                  </w:r>
                </w:p>
              </w:tc>
            </w:tr>
            <w:tr w14:paraId="0330A6D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1AAD273">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A0C96B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豆粕打包车间</w:t>
                  </w:r>
                </w:p>
              </w:tc>
              <w:tc>
                <w:tcPr>
                  <w:tcW w:w="3296" w:type="pct"/>
                  <w:tcBorders>
                    <w:top w:val="single" w:color="auto" w:sz="6" w:space="0"/>
                    <w:left w:val="single" w:color="auto" w:sz="6" w:space="0"/>
                    <w:bottom w:val="single" w:color="auto" w:sz="6" w:space="0"/>
                    <w:right w:val="nil"/>
                  </w:tcBorders>
                  <w:noWrap w:val="0"/>
                  <w:vAlign w:val="center"/>
                </w:tcPr>
                <w:p w14:paraId="56CE2D9F">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主要布置</w:t>
                  </w:r>
                  <w:r>
                    <w:rPr>
                      <w:rFonts w:hint="default" w:ascii="Times New Roman" w:hAnsi="Times New Roman" w:cs="Times New Roman"/>
                      <w:color w:val="auto"/>
                      <w:lang w:val="en-US" w:eastAsia="zh-CN"/>
                    </w:rPr>
                    <w:t>2条豆粕打包生产线主要从事豆粕的装袋</w:t>
                  </w:r>
                </w:p>
              </w:tc>
            </w:tr>
            <w:tr w14:paraId="4E77190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0D6D3F9">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BD02C9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包装车间</w:t>
                  </w:r>
                </w:p>
              </w:tc>
              <w:tc>
                <w:tcPr>
                  <w:tcW w:w="3296" w:type="pct"/>
                  <w:tcBorders>
                    <w:top w:val="single" w:color="auto" w:sz="6" w:space="0"/>
                    <w:left w:val="single" w:color="auto" w:sz="6" w:space="0"/>
                    <w:bottom w:val="single" w:color="auto" w:sz="6" w:space="0"/>
                    <w:right w:val="nil"/>
                  </w:tcBorders>
                  <w:noWrap w:val="0"/>
                  <w:vAlign w:val="center"/>
                </w:tcPr>
                <w:p w14:paraId="77B76DB1">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主要布置</w:t>
                  </w:r>
                  <w:r>
                    <w:rPr>
                      <w:rFonts w:hint="default" w:ascii="Times New Roman" w:hAnsi="Times New Roman" w:cs="Times New Roman"/>
                      <w:color w:val="auto"/>
                      <w:lang w:val="en-US" w:eastAsia="zh-CN"/>
                    </w:rPr>
                    <w:t>1条成品油罐装生产线，罐装能力220t/d，主要工序包括：吹瓶、罐装、压盖、装箱等。</w:t>
                  </w:r>
                </w:p>
              </w:tc>
            </w:tr>
            <w:tr w14:paraId="21D9A7D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restart"/>
                  <w:tcBorders>
                    <w:top w:val="single" w:color="auto" w:sz="6" w:space="0"/>
                    <w:left w:val="nil"/>
                    <w:right w:val="single" w:color="auto" w:sz="6" w:space="0"/>
                  </w:tcBorders>
                  <w:noWrap w:val="0"/>
                  <w:vAlign w:val="center"/>
                </w:tcPr>
                <w:p w14:paraId="44F6D3C1">
                  <w:pPr>
                    <w:pStyle w:val="3"/>
                    <w:bidi w:val="0"/>
                    <w:rPr>
                      <w:rFonts w:hint="default" w:ascii="Times New Roman" w:hAnsi="Times New Roman" w:cs="Times New Roman"/>
                      <w:color w:val="auto"/>
                    </w:rPr>
                  </w:pPr>
                  <w:r>
                    <w:rPr>
                      <w:rFonts w:hint="default" w:ascii="Times New Roman" w:hAnsi="Times New Roman" w:cs="Times New Roman"/>
                      <w:color w:val="auto"/>
                    </w:rPr>
                    <w:t>储运工程</w:t>
                  </w: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41F23A36">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大豆筒仓</w:t>
                  </w:r>
                </w:p>
              </w:tc>
              <w:tc>
                <w:tcPr>
                  <w:tcW w:w="3296" w:type="pct"/>
                  <w:tcBorders>
                    <w:top w:val="single" w:color="auto" w:sz="6" w:space="0"/>
                    <w:left w:val="single" w:color="auto" w:sz="6" w:space="0"/>
                    <w:bottom w:val="single" w:color="auto" w:sz="6" w:space="0"/>
                    <w:right w:val="nil"/>
                  </w:tcBorders>
                  <w:noWrap w:val="0"/>
                  <w:vAlign w:val="center"/>
                </w:tcPr>
                <w:p w14:paraId="769E427C">
                  <w:pPr>
                    <w:pStyle w:val="3"/>
                    <w:bidi w:val="0"/>
                    <w:jc w:val="both"/>
                    <w:rPr>
                      <w:rFonts w:hint="default" w:ascii="Times New Roman" w:hAnsi="Times New Roman" w:cs="Times New Roman"/>
                      <w:color w:val="auto"/>
                    </w:rPr>
                  </w:pPr>
                  <w:r>
                    <w:rPr>
                      <w:rFonts w:hint="eastAsia" w:ascii="Times New Roman" w:hAnsi="Times New Roman" w:cs="Times New Roman"/>
                      <w:color w:val="auto"/>
                      <w:lang w:val="en-US" w:eastAsia="zh-CN"/>
                    </w:rPr>
                    <w:t>10</w:t>
                  </w:r>
                  <w:r>
                    <w:rPr>
                      <w:rFonts w:hint="default" w:ascii="Times New Roman" w:hAnsi="Times New Roman" w:cs="Times New Roman"/>
                      <w:color w:val="auto"/>
                      <w:lang w:val="en-US" w:eastAsia="zh-CN"/>
                    </w:rPr>
                    <w:t>个</w:t>
                  </w:r>
                  <w:r>
                    <w:rPr>
                      <w:rFonts w:hint="default" w:ascii="Times New Roman" w:hAnsi="Times New Roman" w:cs="Times New Roman"/>
                      <w:color w:val="auto"/>
                    </w:rPr>
                    <w:t>，</w:t>
                  </w:r>
                  <w:r>
                    <w:rPr>
                      <w:rFonts w:hint="default" w:ascii="Times New Roman" w:hAnsi="Times New Roman" w:cs="Times New Roman"/>
                      <w:color w:val="auto"/>
                      <w:lang w:eastAsia="zh-CN"/>
                    </w:rPr>
                    <w:t>其中</w:t>
                  </w:r>
                  <w:r>
                    <w:rPr>
                      <w:rFonts w:hint="default" w:ascii="Times New Roman" w:hAnsi="Times New Roman" w:cs="Times New Roman"/>
                      <w:color w:val="auto"/>
                    </w:rPr>
                    <w:t>6000t容量</w:t>
                  </w:r>
                  <w:r>
                    <w:rPr>
                      <w:rFonts w:hint="default" w:ascii="Times New Roman" w:hAnsi="Times New Roman" w:cs="Times New Roman"/>
                      <w:color w:val="auto"/>
                      <w:lang w:eastAsia="zh-CN"/>
                    </w:rPr>
                    <w:t>的</w:t>
                  </w:r>
                  <w:r>
                    <w:rPr>
                      <w:rFonts w:hint="default" w:ascii="Times New Roman" w:hAnsi="Times New Roman" w:cs="Times New Roman"/>
                      <w:color w:val="auto"/>
                    </w:rPr>
                    <w:t>大豆筒仓4个，15000t容量</w:t>
                  </w:r>
                  <w:r>
                    <w:rPr>
                      <w:rFonts w:hint="default" w:ascii="Times New Roman" w:hAnsi="Times New Roman" w:cs="Times New Roman"/>
                      <w:color w:val="auto"/>
                      <w:lang w:eastAsia="zh-CN"/>
                    </w:rPr>
                    <w:t>的</w:t>
                  </w:r>
                  <w:r>
                    <w:rPr>
                      <w:rFonts w:hint="default" w:ascii="Times New Roman" w:hAnsi="Times New Roman" w:cs="Times New Roman"/>
                      <w:color w:val="auto"/>
                    </w:rPr>
                    <w:t>大豆筒仓</w:t>
                  </w: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个</w:t>
                  </w:r>
                </w:p>
              </w:tc>
            </w:tr>
            <w:tr w14:paraId="59C294E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6D394894">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795A1E40">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散粕筒仓</w:t>
                  </w:r>
                </w:p>
              </w:tc>
              <w:tc>
                <w:tcPr>
                  <w:tcW w:w="3296" w:type="pct"/>
                  <w:tcBorders>
                    <w:top w:val="single" w:color="auto" w:sz="6" w:space="0"/>
                    <w:left w:val="single" w:color="auto" w:sz="6" w:space="0"/>
                    <w:bottom w:val="single" w:color="auto" w:sz="6" w:space="0"/>
                    <w:right w:val="nil"/>
                  </w:tcBorders>
                  <w:noWrap w:val="0"/>
                  <w:vAlign w:val="center"/>
                </w:tcPr>
                <w:p w14:paraId="25FC26F4">
                  <w:pPr>
                    <w:pStyle w:val="3"/>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2个，容量为5000t，布置在豆粕打包车间东侧。</w:t>
                  </w:r>
                </w:p>
              </w:tc>
            </w:tr>
            <w:tr w14:paraId="4466004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FC0A383">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3439ECBD">
                  <w:pPr>
                    <w:pStyle w:val="3"/>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豆皮仓</w:t>
                  </w:r>
                </w:p>
              </w:tc>
              <w:tc>
                <w:tcPr>
                  <w:tcW w:w="3296" w:type="pct"/>
                  <w:tcBorders>
                    <w:top w:val="single" w:color="auto" w:sz="6" w:space="0"/>
                    <w:left w:val="single" w:color="auto" w:sz="6" w:space="0"/>
                    <w:bottom w:val="single" w:color="auto" w:sz="6" w:space="0"/>
                    <w:right w:val="nil"/>
                  </w:tcBorders>
                  <w:noWrap w:val="0"/>
                  <w:vAlign w:val="center"/>
                </w:tcPr>
                <w:p w14:paraId="39B8FE2A">
                  <w:pPr>
                    <w:pStyle w:val="3"/>
                    <w:bidi w:val="0"/>
                    <w:jc w:val="both"/>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2个，容量为500t，布置在豆粕打包车间东侧。</w:t>
                  </w:r>
                </w:p>
              </w:tc>
            </w:tr>
            <w:tr w14:paraId="7AD1575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65EA1D75">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77653117">
                  <w:pPr>
                    <w:pStyle w:val="3"/>
                    <w:bidi w:val="0"/>
                    <w:rPr>
                      <w:rFonts w:hint="default" w:ascii="Times New Roman" w:hAnsi="Times New Roman" w:cs="Times New Roman"/>
                      <w:color w:val="auto"/>
                    </w:rPr>
                  </w:pPr>
                  <w:r>
                    <w:rPr>
                      <w:rFonts w:hint="default" w:ascii="Times New Roman" w:hAnsi="Times New Roman" w:cs="Times New Roman"/>
                      <w:color w:val="auto"/>
                    </w:rPr>
                    <w:t>散粕库房</w:t>
                  </w:r>
                </w:p>
              </w:tc>
              <w:tc>
                <w:tcPr>
                  <w:tcW w:w="3296" w:type="pct"/>
                  <w:tcBorders>
                    <w:top w:val="single" w:color="auto" w:sz="6" w:space="0"/>
                    <w:left w:val="single" w:color="auto" w:sz="6" w:space="0"/>
                    <w:bottom w:val="single" w:color="auto" w:sz="6" w:space="0"/>
                    <w:right w:val="nil"/>
                  </w:tcBorders>
                  <w:noWrap w:val="0"/>
                  <w:vAlign w:val="center"/>
                </w:tcPr>
                <w:p w14:paraId="6CBB1411">
                  <w:pPr>
                    <w:pStyle w:val="3"/>
                    <w:bidi w:val="0"/>
                    <w:jc w:val="both"/>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建筑面积</w:t>
                  </w:r>
                  <w:r>
                    <w:rPr>
                      <w:rFonts w:hint="default" w:ascii="Times New Roman" w:hAnsi="Times New Roman" w:cs="Times New Roman"/>
                      <w:color w:val="auto"/>
                      <w:highlight w:val="none"/>
                      <w:lang w:eastAsia="zh-CN"/>
                    </w:rPr>
                    <w:t>为</w:t>
                  </w:r>
                  <w:r>
                    <w:rPr>
                      <w:rFonts w:hint="default" w:ascii="Times New Roman" w:hAnsi="Times New Roman" w:cs="Times New Roman"/>
                      <w:color w:val="auto"/>
                      <w:highlight w:val="none"/>
                    </w:rPr>
                    <w:t>3036m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，位于浸出车间东侧</w:t>
                  </w:r>
                  <w:r>
                    <w:rPr>
                      <w:rFonts w:hint="eastAsia" w:ascii="Times New Roman" w:hAnsi="Times New Roman" w:eastAsia="宋体" w:cs="Times New Roman"/>
                      <w:color w:val="auto"/>
                      <w:highlight w:val="none"/>
                      <w:lang w:eastAsia="zh-CN"/>
                    </w:rPr>
                    <w:t>，由于散粕筒仓的建成投入使用，</w:t>
                  </w:r>
                  <w:r>
                    <w:rPr>
                      <w:rFonts w:hint="default" w:ascii="Times New Roman" w:hAnsi="Times New Roman" w:cs="Times New Roman"/>
                      <w:color w:val="auto"/>
                    </w:rPr>
                    <w:t>散粕库房</w:t>
                  </w:r>
                  <w:r>
                    <w:rPr>
                      <w:rFonts w:hint="eastAsia" w:ascii="Times New Roman" w:hAnsi="Times New Roman" w:eastAsia="宋体" w:cs="Times New Roman"/>
                      <w:color w:val="auto"/>
                      <w:highlight w:val="none"/>
                      <w:lang w:eastAsia="zh-CN"/>
                    </w:rPr>
                    <w:t>目前已暂停使用。</w:t>
                  </w:r>
                </w:p>
              </w:tc>
            </w:tr>
            <w:tr w14:paraId="570C3BE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8123A50">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7622A7DD">
                  <w:pPr>
                    <w:pStyle w:val="3"/>
                    <w:bidi w:val="0"/>
                    <w:rPr>
                      <w:rFonts w:hint="default" w:ascii="Times New Roman" w:hAnsi="Times New Roman" w:cs="Times New Roman"/>
                      <w:color w:val="auto"/>
                    </w:rPr>
                  </w:pPr>
                  <w:r>
                    <w:rPr>
                      <w:rFonts w:hint="default" w:ascii="Times New Roman" w:hAnsi="Times New Roman" w:cs="Times New Roman"/>
                      <w:color w:val="auto"/>
                    </w:rPr>
                    <w:t>豆皮库</w:t>
                  </w:r>
                </w:p>
              </w:tc>
              <w:tc>
                <w:tcPr>
                  <w:tcW w:w="3296" w:type="pct"/>
                  <w:tcBorders>
                    <w:top w:val="single" w:color="auto" w:sz="6" w:space="0"/>
                    <w:left w:val="single" w:color="auto" w:sz="6" w:space="0"/>
                    <w:bottom w:val="single" w:color="auto" w:sz="6" w:space="0"/>
                    <w:right w:val="nil"/>
                  </w:tcBorders>
                  <w:noWrap w:val="0"/>
                  <w:vAlign w:val="center"/>
                </w:tcPr>
                <w:p w14:paraId="1604684E">
                  <w:pPr>
                    <w:pStyle w:val="3"/>
                    <w:bidi w:val="0"/>
                    <w:jc w:val="both"/>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建筑面积</w:t>
                  </w:r>
                  <w:r>
                    <w:rPr>
                      <w:rFonts w:hint="default" w:ascii="Times New Roman" w:hAnsi="Times New Roman" w:cs="Times New Roman"/>
                      <w:color w:val="auto"/>
                      <w:highlight w:val="none"/>
                      <w:lang w:eastAsia="zh-CN"/>
                    </w:rPr>
                    <w:t>为</w:t>
                  </w:r>
                  <w:r>
                    <w:rPr>
                      <w:rFonts w:hint="default" w:ascii="Times New Roman" w:hAnsi="Times New Roman" w:cs="Times New Roman"/>
                      <w:color w:val="auto"/>
                      <w:highlight w:val="none"/>
                    </w:rPr>
                    <w:t>2000m</w:t>
                  </w:r>
                  <w:r>
                    <w:rPr>
                      <w:rFonts w:hint="default" w:ascii="Times New Roman" w:hAnsi="Times New Roman" w:cs="Times New Roman"/>
                      <w:color w:val="auto"/>
                      <w:highlight w:val="none"/>
                      <w:vertAlign w:val="superscript"/>
                    </w:rPr>
                    <w:t>2</w:t>
                  </w:r>
                  <w:r>
                    <w:rPr>
                      <w:rFonts w:hint="default" w:ascii="Times New Roman" w:hAnsi="Times New Roman" w:cs="Times New Roman"/>
                      <w:color w:val="auto"/>
                      <w:highlight w:val="none"/>
                    </w:rPr>
                    <w:t>，位于厂区西北角</w:t>
                  </w:r>
                  <w:r>
                    <w:rPr>
                      <w:rFonts w:hint="eastAsia" w:ascii="Times New Roman" w:hAnsi="Times New Roman" w:eastAsia="宋体" w:cs="Times New Roman"/>
                      <w:color w:val="auto"/>
                      <w:highlight w:val="none"/>
                      <w:lang w:eastAsia="zh-CN"/>
                    </w:rPr>
                    <w:t>，由于豆皮仓的建成投入使用，</w:t>
                  </w:r>
                  <w:r>
                    <w:rPr>
                      <w:rFonts w:hint="default" w:ascii="Times New Roman" w:hAnsi="Times New Roman" w:cs="Times New Roman"/>
                      <w:color w:val="auto"/>
                    </w:rPr>
                    <w:t>豆皮库</w:t>
                  </w:r>
                  <w:r>
                    <w:rPr>
                      <w:rFonts w:hint="eastAsia" w:ascii="Times New Roman" w:hAnsi="Times New Roman" w:eastAsia="宋体" w:cs="Times New Roman"/>
                      <w:color w:val="auto"/>
                      <w:highlight w:val="none"/>
                      <w:lang w:eastAsia="zh-CN"/>
                    </w:rPr>
                    <w:t>目前已暂停使用。</w:t>
                  </w:r>
                </w:p>
              </w:tc>
            </w:tr>
            <w:tr w14:paraId="34F4F56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261D15A">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1159F7A2">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白土罐</w:t>
                  </w:r>
                </w:p>
              </w:tc>
              <w:tc>
                <w:tcPr>
                  <w:tcW w:w="3296" w:type="pct"/>
                  <w:tcBorders>
                    <w:top w:val="single" w:color="auto" w:sz="6" w:space="0"/>
                    <w:left w:val="single" w:color="auto" w:sz="6" w:space="0"/>
                    <w:bottom w:val="single" w:color="auto" w:sz="6" w:space="0"/>
                    <w:right w:val="nil"/>
                  </w:tcBorders>
                  <w:noWrap w:val="0"/>
                  <w:vAlign w:val="center"/>
                </w:tcPr>
                <w:p w14:paraId="188C55A5">
                  <w:pPr>
                    <w:pStyle w:val="3"/>
                    <w:bidi w:val="0"/>
                    <w:jc w:val="both"/>
                    <w:rPr>
                      <w:rFonts w:hint="eastAsia" w:ascii="Times New Roman" w:hAnsi="Times New Roman" w:eastAsia="宋体" w:cs="Times New Roman"/>
                      <w:color w:val="auto"/>
                      <w:lang w:val="en-US" w:eastAsia="zh-CN"/>
                    </w:rPr>
                  </w:pPr>
                  <w:r>
                    <w:rPr>
                      <w:rFonts w:hint="eastAsia" w:ascii="Times New Roman" w:hAnsi="Times New Roman" w:cs="Times New Roman"/>
                      <w:color w:val="auto"/>
                      <w:lang w:eastAsia="zh-CN"/>
                    </w:rPr>
                    <w:t>设有</w:t>
                  </w:r>
                  <w:r>
                    <w:rPr>
                      <w:rFonts w:hint="eastAsia" w:ascii="Times New Roman" w:hAnsi="Times New Roman" w:cs="Times New Roman"/>
                      <w:color w:val="auto"/>
                      <w:lang w:val="en-US" w:eastAsia="zh-CN"/>
                    </w:rPr>
                    <w:t>4个白土罐，</w:t>
                  </w:r>
                  <w:r>
                    <w:rPr>
                      <w:rFonts w:hint="default" w:ascii="Times New Roman" w:hAnsi="Times New Roman" w:cs="Times New Roman"/>
                      <w:color w:val="auto"/>
                    </w:rPr>
                    <w:t>规格为</w:t>
                  </w:r>
                  <w:r>
                    <w:rPr>
                      <w:rFonts w:hint="eastAsia" w:ascii="Times New Roman" w:hAnsi="Times New Roman" w:eastAsia="宋体" w:cs="Times New Roman"/>
                      <w:color w:val="auto"/>
                      <w:lang w:val="en-US" w:eastAsia="zh-CN"/>
                    </w:rPr>
                    <w:t>3</w:t>
                  </w:r>
                  <w:r>
                    <w:rPr>
                      <w:rFonts w:hint="default" w:ascii="Times New Roman" w:hAnsi="Times New Roman" w:cs="Times New Roman"/>
                      <w:color w:val="auto"/>
                    </w:rPr>
                    <w:t>0t/罐，</w:t>
                  </w:r>
                  <w:r>
                    <w:rPr>
                      <w:rFonts w:hint="eastAsia" w:ascii="Times New Roman" w:hAnsi="Times New Roman" w:eastAsia="宋体" w:cs="Times New Roman"/>
                      <w:color w:val="auto"/>
                      <w:lang w:eastAsia="zh-CN"/>
                    </w:rPr>
                    <w:t>位于精炼车间南侧。</w:t>
                  </w:r>
                </w:p>
              </w:tc>
            </w:tr>
            <w:tr w14:paraId="5583AF1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3D510BD">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37EDD816">
                  <w:pPr>
                    <w:pStyle w:val="3"/>
                    <w:bidi w:val="0"/>
                    <w:rPr>
                      <w:rFonts w:hint="default" w:ascii="Times New Roman" w:hAnsi="Times New Roman" w:cs="Times New Roman"/>
                      <w:color w:val="auto"/>
                    </w:rPr>
                  </w:pPr>
                  <w:r>
                    <w:rPr>
                      <w:rFonts w:hint="default" w:ascii="Times New Roman" w:hAnsi="Times New Roman" w:cs="Times New Roman"/>
                      <w:color w:val="auto"/>
                    </w:rPr>
                    <w:t>白油存放处</w:t>
                  </w:r>
                </w:p>
              </w:tc>
              <w:tc>
                <w:tcPr>
                  <w:tcW w:w="3296" w:type="pct"/>
                  <w:tcBorders>
                    <w:top w:val="single" w:color="auto" w:sz="6" w:space="0"/>
                    <w:left w:val="single" w:color="auto" w:sz="6" w:space="0"/>
                    <w:bottom w:val="single" w:color="auto" w:sz="6" w:space="0"/>
                    <w:right w:val="nil"/>
                  </w:tcBorders>
                  <w:noWrap w:val="0"/>
                  <w:vAlign w:val="center"/>
                </w:tcPr>
                <w:p w14:paraId="3B3D5EE4">
                  <w:pPr>
                    <w:pStyle w:val="3"/>
                    <w:bidi w:val="0"/>
                    <w:jc w:val="both"/>
                    <w:rPr>
                      <w:rFonts w:hint="default" w:ascii="Times New Roman" w:hAnsi="Times New Roman" w:cs="Times New Roman"/>
                      <w:color w:val="auto"/>
                    </w:rPr>
                  </w:pPr>
                  <w:r>
                    <w:rPr>
                      <w:rFonts w:hint="default" w:ascii="Times New Roman" w:hAnsi="Times New Roman" w:cs="Times New Roman"/>
                      <w:color w:val="auto"/>
                    </w:rPr>
                    <w:t>位于厂区西南角</w:t>
                  </w:r>
                  <w:r>
                    <w:rPr>
                      <w:rFonts w:hint="default" w:ascii="Times New Roman" w:hAnsi="Times New Roman" w:cs="Times New Roman"/>
                      <w:color w:val="auto"/>
                      <w:highlight w:val="none"/>
                    </w:rPr>
                    <w:t>，建</w:t>
                  </w:r>
                  <w:r>
                    <w:rPr>
                      <w:rFonts w:hint="default" w:ascii="Times New Roman" w:hAnsi="Times New Roman" w:cs="Times New Roman"/>
                      <w:color w:val="auto"/>
                    </w:rPr>
                    <w:t>筑面积约15m</w:t>
                  </w:r>
                  <w:r>
                    <w:rPr>
                      <w:rFonts w:hint="default" w:ascii="Times New Roman" w:hAnsi="Times New Roman" w:cs="Times New Roman"/>
                      <w:color w:val="auto"/>
                      <w:vertAlign w:val="superscript"/>
                    </w:rPr>
                    <w:t>2</w:t>
                  </w:r>
                </w:p>
              </w:tc>
            </w:tr>
            <w:tr w14:paraId="5CB3DE0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D6D4F71">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506E2A83">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1</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564478D4">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设有8个</w:t>
                  </w:r>
                  <w:r>
                    <w:rPr>
                      <w:rFonts w:hint="eastAsia" w:ascii="Times New Roman" w:hAnsi="Times New Roman" w:eastAsia="宋体" w:cs="Times New Roman"/>
                      <w:color w:val="auto"/>
                      <w:lang w:eastAsia="zh-CN"/>
                    </w:rPr>
                    <w:t>大豆</w:t>
                  </w:r>
                  <w:r>
                    <w:rPr>
                      <w:rFonts w:hint="default" w:ascii="Times New Roman" w:hAnsi="Times New Roman" w:cs="Times New Roman"/>
                      <w:color w:val="auto"/>
                    </w:rPr>
                    <w:t>油罐，规格为3个3000t立式固定油罐，2个2200t立式固定油罐，1个500t立式固定油罐，2个300t立式固定油罐，</w:t>
                  </w:r>
                  <w:r>
                    <w:rPr>
                      <w:rFonts w:hint="eastAsia" w:ascii="Times New Roman" w:hAnsi="Times New Roman" w:eastAsia="宋体" w:cs="Times New Roman"/>
                      <w:color w:val="auto"/>
                      <w:highlight w:val="none"/>
                      <w:lang w:val="en-US" w:eastAsia="zh-CN"/>
                    </w:rPr>
                    <w:t>1个700t的应急罐，</w:t>
                  </w:r>
                  <w:r>
                    <w:rPr>
                      <w:rFonts w:hint="eastAsia" w:ascii="Times New Roman" w:hAnsi="Times New Roman" w:eastAsia="宋体" w:cs="Times New Roman"/>
                      <w:color w:val="auto"/>
                      <w:lang w:val="en-US" w:eastAsia="zh-CN"/>
                    </w:rPr>
                    <w:t>布置在</w:t>
                  </w:r>
                  <w:r>
                    <w:rPr>
                      <w:rFonts w:hint="default" w:ascii="Times New Roman" w:hAnsi="Times New Roman" w:cs="Times New Roman"/>
                      <w:color w:val="auto"/>
                    </w:rPr>
                    <w:t>厂区西南</w:t>
                  </w:r>
                  <w:r>
                    <w:rPr>
                      <w:rFonts w:hint="eastAsia" w:ascii="Times New Roman" w:hAnsi="Times New Roman" w:eastAsia="宋体" w:cs="Times New Roman"/>
                      <w:color w:val="auto"/>
                      <w:lang w:eastAsia="zh-CN"/>
                    </w:rPr>
                    <w:t>部</w:t>
                  </w:r>
                  <w:r>
                    <w:rPr>
                      <w:rFonts w:hint="default" w:ascii="Times New Roman" w:hAnsi="Times New Roman" w:cs="Times New Roman"/>
                      <w:color w:val="auto"/>
                    </w:rPr>
                    <w:t>。</w:t>
                  </w:r>
                </w:p>
              </w:tc>
            </w:tr>
            <w:tr w14:paraId="6EE909D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3A75B46">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7EE52EB0">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2</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618B29B2">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设有8个</w:t>
                  </w:r>
                  <w:r>
                    <w:rPr>
                      <w:rFonts w:hint="eastAsia" w:ascii="Times New Roman" w:hAnsi="Times New Roman" w:eastAsia="宋体" w:cs="Times New Roman"/>
                      <w:color w:val="auto"/>
                      <w:lang w:eastAsia="zh-CN"/>
                    </w:rPr>
                    <w:t>大豆</w:t>
                  </w:r>
                  <w:r>
                    <w:rPr>
                      <w:rFonts w:hint="default" w:ascii="Times New Roman" w:hAnsi="Times New Roman" w:cs="Times New Roman"/>
                      <w:color w:val="auto"/>
                    </w:rPr>
                    <w:t>油罐，规格为4个2200t立式固定油罐，4个1100吨立式固定油罐，1个70</w:t>
                  </w:r>
                  <w:r>
                    <w:rPr>
                      <w:rFonts w:hint="eastAsia" w:ascii="Times New Roman" w:hAnsi="Times New Roman" w:eastAsia="宋体" w:cs="Times New Roman"/>
                      <w:color w:val="auto"/>
                      <w:lang w:val="en-US" w:eastAsia="zh-CN"/>
                    </w:rPr>
                    <w:t>0m</w:t>
                  </w:r>
                  <w:r>
                    <w:rPr>
                      <w:rFonts w:hint="eastAsia" w:ascii="Times New Roman" w:hAnsi="Times New Roman" w:eastAsia="宋体" w:cs="Times New Roman"/>
                      <w:color w:val="auto"/>
                      <w:vertAlign w:val="superscript"/>
                      <w:lang w:val="en-US" w:eastAsia="zh-CN"/>
                    </w:rPr>
                    <w:t>3</w:t>
                  </w:r>
                  <w:r>
                    <w:rPr>
                      <w:rFonts w:hint="eastAsia" w:ascii="Times New Roman" w:hAnsi="Times New Roman" w:eastAsia="宋体" w:cs="Times New Roman"/>
                      <w:color w:val="auto"/>
                      <w:lang w:val="en-US" w:eastAsia="zh-CN"/>
                    </w:rPr>
                    <w:t>应急处置罐</w:t>
                  </w:r>
                  <w:r>
                    <w:rPr>
                      <w:rFonts w:hint="default" w:ascii="Times New Roman" w:hAnsi="Times New Roman" w:cs="Times New Roman"/>
                      <w:color w:val="auto"/>
                    </w:rPr>
                    <w:t>，位于精炼车间南侧</w:t>
                  </w:r>
                  <w:r>
                    <w:rPr>
                      <w:rFonts w:hint="eastAsia" w:ascii="Times New Roman" w:hAnsi="Times New Roman" w:eastAsia="宋体" w:cs="Times New Roman"/>
                      <w:color w:val="auto"/>
                      <w:lang w:eastAsia="zh-CN"/>
                    </w:rPr>
                    <w:t>。</w:t>
                  </w:r>
                </w:p>
              </w:tc>
            </w:tr>
            <w:tr w14:paraId="2DA12DC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0CFB0CBD">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6B21A41D">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3</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068CC97B">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设有</w:t>
                  </w:r>
                  <w:r>
                    <w:rPr>
                      <w:rFonts w:hint="eastAsia" w:ascii="Times New Roman" w:hAnsi="Times New Roman" w:eastAsia="宋体" w:cs="Times New Roman"/>
                      <w:color w:val="auto"/>
                      <w:lang w:val="en-US" w:eastAsia="zh-CN"/>
                    </w:rPr>
                    <w:t>8</w:t>
                  </w:r>
                  <w:r>
                    <w:rPr>
                      <w:rFonts w:hint="default" w:ascii="Times New Roman" w:hAnsi="Times New Roman" w:cs="Times New Roman"/>
                      <w:color w:val="auto"/>
                    </w:rPr>
                    <w:t>个</w:t>
                  </w:r>
                  <w:r>
                    <w:rPr>
                      <w:rFonts w:hint="default" w:ascii="Times New Roman" w:hAnsi="Times New Roman" w:cs="Times New Roman"/>
                      <w:color w:val="auto"/>
                      <w:lang w:eastAsia="zh-CN"/>
                    </w:rPr>
                    <w:t>大豆油罐</w:t>
                  </w:r>
                  <w:r>
                    <w:rPr>
                      <w:rFonts w:hint="default" w:ascii="Times New Roman" w:hAnsi="Times New Roman" w:cs="Times New Roman"/>
                      <w:color w:val="auto"/>
                    </w:rPr>
                    <w:t>，</w:t>
                  </w:r>
                  <w:r>
                    <w:rPr>
                      <w:rFonts w:hint="eastAsia" w:ascii="Times New Roman" w:hAnsi="Times New Roman" w:eastAsia="宋体" w:cs="Times New Roman"/>
                      <w:color w:val="auto"/>
                      <w:lang w:eastAsia="zh-CN"/>
                    </w:rPr>
                    <w:t>规格为</w:t>
                  </w:r>
                  <w:r>
                    <w:rPr>
                      <w:rFonts w:hint="eastAsia" w:ascii="Times New Roman" w:hAnsi="Times New Roman" w:eastAsia="宋体" w:cs="Times New Roman"/>
                      <w:color w:val="auto"/>
                      <w:lang w:val="en-US" w:eastAsia="zh-CN"/>
                    </w:rPr>
                    <w:t>4个3000吨/罐，4个300吨/罐，布置在厂区西部。</w:t>
                  </w:r>
                </w:p>
              </w:tc>
            </w:tr>
            <w:tr w14:paraId="6E80299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5139CDE">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5801F180">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4</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661B95F2">
                  <w:pPr>
                    <w:pStyle w:val="3"/>
                    <w:bidi w:val="0"/>
                    <w:ind w:firstLine="0" w:firstLineChars="0"/>
                    <w:jc w:val="both"/>
                    <w:rPr>
                      <w:rFonts w:hint="default" w:ascii="Times New Roman" w:hAnsi="Times New Roman" w:cs="Times New Roman"/>
                      <w:color w:val="auto"/>
                    </w:rPr>
                  </w:pPr>
                  <w:r>
                    <w:rPr>
                      <w:rFonts w:hint="eastAsia" w:ascii="Times New Roman" w:hAnsi="Times New Roman" w:eastAsia="宋体" w:cs="Times New Roman"/>
                      <w:color w:val="auto"/>
                      <w:lang w:val="en-US" w:eastAsia="zh-CN"/>
                    </w:rPr>
                    <w:t>设有9</w:t>
                  </w:r>
                  <w:r>
                    <w:rPr>
                      <w:rFonts w:hint="default" w:ascii="Times New Roman" w:hAnsi="Times New Roman" w:cs="Times New Roman"/>
                      <w:color w:val="auto"/>
                    </w:rPr>
                    <w:t>个</w:t>
                  </w:r>
                  <w:r>
                    <w:rPr>
                      <w:rFonts w:hint="default" w:ascii="Times New Roman" w:hAnsi="Times New Roman" w:cs="Times New Roman"/>
                      <w:color w:val="auto"/>
                      <w:lang w:eastAsia="zh-CN"/>
                    </w:rPr>
                    <w:t>大豆油罐</w:t>
                  </w:r>
                  <w:r>
                    <w:rPr>
                      <w:rFonts w:hint="default" w:ascii="Times New Roman" w:hAnsi="Times New Roman" w:cs="Times New Roman"/>
                      <w:color w:val="auto"/>
                    </w:rPr>
                    <w:t>，</w:t>
                  </w:r>
                  <w:r>
                    <w:rPr>
                      <w:rFonts w:hint="eastAsia" w:ascii="Times New Roman" w:hAnsi="Times New Roman" w:eastAsia="宋体" w:cs="Times New Roman"/>
                      <w:color w:val="auto"/>
                      <w:lang w:eastAsia="zh-CN"/>
                    </w:rPr>
                    <w:t>规格为</w:t>
                  </w:r>
                  <w:r>
                    <w:rPr>
                      <w:rFonts w:hint="eastAsia" w:ascii="Times New Roman" w:hAnsi="Times New Roman" w:eastAsia="宋体" w:cs="Times New Roman"/>
                      <w:color w:val="auto"/>
                      <w:lang w:val="en-US" w:eastAsia="zh-CN"/>
                    </w:rPr>
                    <w:t>6个3000吨/罐，3个500吨/罐，布置在厂区东南部。</w:t>
                  </w:r>
                </w:p>
              </w:tc>
            </w:tr>
            <w:tr w14:paraId="7F534BB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05C18B84">
                  <w:pPr>
                    <w:pStyle w:val="3"/>
                    <w:bidi w:val="0"/>
                    <w:rPr>
                      <w:rFonts w:hint="default" w:ascii="Times New Roman" w:hAnsi="Times New Roman" w:cs="Times New Roman"/>
                      <w:color w:val="auto"/>
                    </w:rPr>
                  </w:pPr>
                </w:p>
              </w:tc>
              <w:tc>
                <w:tcPr>
                  <w:tcW w:w="445" w:type="pct"/>
                  <w:vMerge w:val="restart"/>
                  <w:tcBorders>
                    <w:top w:val="single" w:color="auto" w:sz="6" w:space="0"/>
                    <w:left w:val="single" w:color="auto" w:sz="6" w:space="0"/>
                    <w:right w:val="single" w:color="auto" w:sz="4" w:space="0"/>
                  </w:tcBorders>
                  <w:noWrap w:val="0"/>
                  <w:vAlign w:val="center"/>
                </w:tcPr>
                <w:p w14:paraId="0E672CBD">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#罐区</w:t>
                  </w: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56865424">
                  <w:pPr>
                    <w:pStyle w:val="3"/>
                    <w:bidi w:val="0"/>
                    <w:rPr>
                      <w:rFonts w:hint="default" w:ascii="Times New Roman" w:hAnsi="Times New Roman" w:cs="Times New Roman"/>
                      <w:color w:val="auto"/>
                    </w:rPr>
                  </w:pPr>
                  <w:r>
                    <w:rPr>
                      <w:rFonts w:hint="default" w:ascii="Times New Roman" w:hAnsi="Times New Roman" w:cs="Times New Roman"/>
                      <w:color w:val="auto"/>
                    </w:rPr>
                    <w:t>柴油罐</w:t>
                  </w:r>
                </w:p>
              </w:tc>
              <w:tc>
                <w:tcPr>
                  <w:tcW w:w="3296" w:type="pct"/>
                  <w:tcBorders>
                    <w:top w:val="single" w:color="auto" w:sz="6" w:space="0"/>
                    <w:left w:val="single" w:color="auto" w:sz="6" w:space="0"/>
                    <w:bottom w:val="single" w:color="auto" w:sz="6" w:space="0"/>
                    <w:right w:val="nil"/>
                  </w:tcBorders>
                  <w:noWrap w:val="0"/>
                  <w:vAlign w:val="center"/>
                </w:tcPr>
                <w:p w14:paraId="2EAB7AF3">
                  <w:pPr>
                    <w:pStyle w:val="3"/>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设有1个柴油储罐，规格</w:t>
                  </w:r>
                  <w:r>
                    <w:rPr>
                      <w:rFonts w:hint="default" w:ascii="Times New Roman" w:hAnsi="Times New Roman" w:cs="Times New Roman"/>
                      <w:color w:val="auto"/>
                      <w:lang w:eastAsia="zh-CN"/>
                    </w:rPr>
                    <w:t>为</w:t>
                  </w:r>
                  <w:r>
                    <w:rPr>
                      <w:rFonts w:hint="default" w:ascii="Times New Roman" w:hAnsi="Times New Roman" w:cs="Times New Roman"/>
                      <w:color w:val="auto"/>
                    </w:rPr>
                    <w:t>18t/罐，位于精炼车间西侧</w:t>
                  </w:r>
                  <w:r>
                    <w:rPr>
                      <w:rFonts w:hint="eastAsia" w:ascii="Times New Roman" w:hAnsi="Times New Roman" w:eastAsia="宋体" w:cs="Times New Roman"/>
                      <w:color w:val="auto"/>
                      <w:lang w:eastAsia="zh-CN"/>
                    </w:rPr>
                    <w:t>。</w:t>
                  </w:r>
                </w:p>
              </w:tc>
            </w:tr>
            <w:tr w14:paraId="3599196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9EAF5CC">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60181D13">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63A61A93">
                  <w:pPr>
                    <w:pStyle w:val="3"/>
                    <w:bidi w:val="0"/>
                    <w:rPr>
                      <w:rFonts w:hint="default" w:ascii="Times New Roman" w:hAnsi="Times New Roman" w:cs="Times New Roman"/>
                      <w:color w:val="auto"/>
                    </w:rPr>
                  </w:pPr>
                  <w:r>
                    <w:rPr>
                      <w:rFonts w:hint="default" w:ascii="Times New Roman" w:hAnsi="Times New Roman" w:cs="Times New Roman"/>
                      <w:color w:val="auto"/>
                    </w:rPr>
                    <w:t>磷酸罐</w:t>
                  </w:r>
                </w:p>
              </w:tc>
              <w:tc>
                <w:tcPr>
                  <w:tcW w:w="3296" w:type="pct"/>
                  <w:tcBorders>
                    <w:top w:val="single" w:color="auto" w:sz="6" w:space="0"/>
                    <w:left w:val="single" w:color="auto" w:sz="6" w:space="0"/>
                    <w:bottom w:val="single" w:color="auto" w:sz="6" w:space="0"/>
                    <w:right w:val="nil"/>
                  </w:tcBorders>
                  <w:noWrap w:val="0"/>
                  <w:vAlign w:val="center"/>
                </w:tcPr>
                <w:p w14:paraId="549A6C1C">
                  <w:pPr>
                    <w:pStyle w:val="3"/>
                    <w:bidi w:val="0"/>
                    <w:rPr>
                      <w:rFonts w:hint="eastAsia" w:ascii="Times New Roman" w:hAnsi="Times New Roman" w:eastAsia="宋体" w:cs="Times New Roman"/>
                      <w:color w:val="auto"/>
                      <w:lang w:eastAsia="zh-CN"/>
                    </w:rPr>
                  </w:pPr>
                  <w:r>
                    <w:rPr>
                      <w:rFonts w:hint="default" w:ascii="Times New Roman" w:hAnsi="Times New Roman" w:cs="Times New Roman"/>
                      <w:color w:val="auto"/>
                    </w:rPr>
                    <w:t>设有1个磷酸储罐，规格为30t/罐，位于精炼车间西侧</w:t>
                  </w:r>
                  <w:r>
                    <w:rPr>
                      <w:rFonts w:hint="eastAsia" w:ascii="Times New Roman" w:hAnsi="Times New Roman" w:eastAsia="宋体" w:cs="Times New Roman"/>
                      <w:color w:val="auto"/>
                      <w:lang w:eastAsia="zh-CN"/>
                    </w:rPr>
                    <w:t>。</w:t>
                  </w:r>
                </w:p>
              </w:tc>
            </w:tr>
            <w:tr w14:paraId="368CD84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2416FAC">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6E506ECF">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5F703803">
                  <w:pPr>
                    <w:pStyle w:val="3"/>
                    <w:bidi w:val="0"/>
                    <w:rPr>
                      <w:rFonts w:hint="default" w:ascii="Times New Roman" w:hAnsi="Times New Roman" w:cs="Times New Roman"/>
                      <w:color w:val="auto"/>
                    </w:rPr>
                  </w:pPr>
                  <w:r>
                    <w:rPr>
                      <w:rFonts w:hint="default" w:ascii="Times New Roman" w:hAnsi="Times New Roman" w:cs="Times New Roman"/>
                      <w:color w:val="auto"/>
                    </w:rPr>
                    <w:t>脂肪酸罐</w:t>
                  </w:r>
                </w:p>
              </w:tc>
              <w:tc>
                <w:tcPr>
                  <w:tcW w:w="3296" w:type="pct"/>
                  <w:tcBorders>
                    <w:top w:val="single" w:color="auto" w:sz="6" w:space="0"/>
                    <w:left w:val="single" w:color="auto" w:sz="6" w:space="0"/>
                    <w:bottom w:val="single" w:color="auto" w:sz="6" w:space="0"/>
                    <w:right w:val="nil"/>
                  </w:tcBorders>
                  <w:noWrap w:val="0"/>
                  <w:vAlign w:val="center"/>
                </w:tcPr>
                <w:p w14:paraId="6CBDFAEA">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设有1个脂肪酸储罐，规格为90t/罐，位于精炼车间西侧</w:t>
                  </w:r>
                  <w:r>
                    <w:rPr>
                      <w:rFonts w:hint="eastAsia" w:ascii="Times New Roman" w:hAnsi="Times New Roman" w:eastAsia="宋体" w:cs="Times New Roman"/>
                      <w:color w:val="auto"/>
                      <w:lang w:eastAsia="zh-CN"/>
                    </w:rPr>
                    <w:t>。</w:t>
                  </w:r>
                </w:p>
              </w:tc>
            </w:tr>
            <w:tr w14:paraId="74EDD9B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91CAB69">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58A0AD72">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160FA063">
                  <w:pPr>
                    <w:pStyle w:val="3"/>
                    <w:bidi w:val="0"/>
                    <w:rPr>
                      <w:rFonts w:hint="default" w:ascii="Times New Roman" w:hAnsi="Times New Roman" w:cs="Times New Roman"/>
                      <w:color w:val="auto"/>
                    </w:rPr>
                  </w:pPr>
                  <w:r>
                    <w:rPr>
                      <w:rFonts w:hint="default" w:ascii="Times New Roman" w:hAnsi="Times New Roman" w:cs="Times New Roman"/>
                      <w:color w:val="auto"/>
                    </w:rPr>
                    <w:t>液碱罐</w:t>
                  </w:r>
                </w:p>
              </w:tc>
              <w:tc>
                <w:tcPr>
                  <w:tcW w:w="3296" w:type="pct"/>
                  <w:tcBorders>
                    <w:top w:val="single" w:color="auto" w:sz="6" w:space="0"/>
                    <w:left w:val="single" w:color="auto" w:sz="6" w:space="0"/>
                    <w:bottom w:val="single" w:color="auto" w:sz="6" w:space="0"/>
                    <w:right w:val="nil"/>
                  </w:tcBorders>
                  <w:noWrap w:val="0"/>
                  <w:vAlign w:val="center"/>
                </w:tcPr>
                <w:p w14:paraId="2DC65FEB">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设有2个液碱储罐，规格为1个</w:t>
                  </w: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0t/罐和1个100t/罐，位于精炼车间西侧</w:t>
                  </w:r>
                  <w:r>
                    <w:rPr>
                      <w:rFonts w:hint="eastAsia" w:ascii="Times New Roman" w:hAnsi="Times New Roman" w:eastAsia="宋体" w:cs="Times New Roman"/>
                      <w:color w:val="auto"/>
                      <w:lang w:eastAsia="zh-CN"/>
                    </w:rPr>
                    <w:t>。</w:t>
                  </w:r>
                </w:p>
              </w:tc>
            </w:tr>
            <w:tr w14:paraId="1D5DB4C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80C39F4">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1359DD4C">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7D5D833C">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皂脚罐</w:t>
                  </w:r>
                </w:p>
              </w:tc>
              <w:tc>
                <w:tcPr>
                  <w:tcW w:w="3296" w:type="pct"/>
                  <w:tcBorders>
                    <w:top w:val="single" w:color="auto" w:sz="6" w:space="0"/>
                    <w:left w:val="single" w:color="auto" w:sz="6" w:space="0"/>
                    <w:bottom w:val="single" w:color="auto" w:sz="6" w:space="0"/>
                    <w:right w:val="nil"/>
                  </w:tcBorders>
                  <w:noWrap w:val="0"/>
                  <w:vAlign w:val="center"/>
                </w:tcPr>
                <w:p w14:paraId="266F2AA4">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设有2个</w:t>
                  </w:r>
                  <w:r>
                    <w:rPr>
                      <w:rFonts w:hint="eastAsia" w:ascii="Times New Roman" w:hAnsi="Times New Roman" w:eastAsia="宋体" w:cs="Times New Roman"/>
                      <w:color w:val="auto"/>
                      <w:lang w:eastAsia="zh-CN"/>
                    </w:rPr>
                    <w:t>皂脚</w:t>
                  </w:r>
                  <w:r>
                    <w:rPr>
                      <w:rFonts w:hint="default" w:ascii="Times New Roman" w:hAnsi="Times New Roman" w:cs="Times New Roman"/>
                      <w:color w:val="auto"/>
                    </w:rPr>
                    <w:t>储罐，规格</w:t>
                  </w:r>
                  <w:r>
                    <w:rPr>
                      <w:rFonts w:hint="eastAsia" w:ascii="Times New Roman" w:hAnsi="Times New Roman" w:eastAsia="宋体" w:cs="Times New Roman"/>
                      <w:color w:val="auto"/>
                      <w:lang w:eastAsia="zh-CN"/>
                    </w:rPr>
                    <w:t>均</w:t>
                  </w:r>
                  <w:r>
                    <w:rPr>
                      <w:rFonts w:hint="default" w:ascii="Times New Roman" w:hAnsi="Times New Roman" w:cs="Times New Roman"/>
                      <w:color w:val="auto"/>
                    </w:rPr>
                    <w:t>为2</w:t>
                  </w:r>
                  <w:r>
                    <w:rPr>
                      <w:rFonts w:hint="eastAsia" w:ascii="Times New Roman" w:hAnsi="Times New Roman" w:eastAsia="宋体" w:cs="Times New Roman"/>
                      <w:color w:val="auto"/>
                      <w:lang w:val="en-US" w:eastAsia="zh-CN"/>
                    </w:rPr>
                    <w:t>0</w:t>
                  </w:r>
                  <w:r>
                    <w:rPr>
                      <w:rFonts w:hint="default" w:ascii="Times New Roman" w:hAnsi="Times New Roman" w:cs="Times New Roman"/>
                      <w:color w:val="auto"/>
                    </w:rPr>
                    <w:t>0t/罐，位于精炼车间西侧</w:t>
                  </w:r>
                  <w:r>
                    <w:rPr>
                      <w:rFonts w:hint="eastAsia" w:ascii="Times New Roman" w:hAnsi="Times New Roman" w:eastAsia="宋体" w:cs="Times New Roman"/>
                      <w:color w:val="auto"/>
                      <w:lang w:eastAsia="zh-CN"/>
                    </w:rPr>
                    <w:t>。</w:t>
                  </w:r>
                </w:p>
              </w:tc>
            </w:tr>
            <w:tr w14:paraId="37FD7AB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672AB4D">
                  <w:pPr>
                    <w:pStyle w:val="3"/>
                    <w:bidi w:val="0"/>
                    <w:rPr>
                      <w:rFonts w:hint="default" w:ascii="Times New Roman" w:hAnsi="Times New Roman" w:cs="Times New Roman"/>
                      <w:color w:val="auto"/>
                    </w:rPr>
                  </w:pPr>
                </w:p>
              </w:tc>
              <w:tc>
                <w:tcPr>
                  <w:tcW w:w="445" w:type="pct"/>
                  <w:vMerge w:val="continue"/>
                  <w:tcBorders>
                    <w:left w:val="single" w:color="auto" w:sz="6" w:space="0"/>
                    <w:bottom w:val="single" w:color="auto" w:sz="6" w:space="0"/>
                    <w:right w:val="single" w:color="auto" w:sz="4" w:space="0"/>
                  </w:tcBorders>
                  <w:noWrap w:val="0"/>
                  <w:vAlign w:val="center"/>
                </w:tcPr>
                <w:p w14:paraId="0E83B8B2">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544DFDF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毛油罐</w:t>
                  </w:r>
                </w:p>
              </w:tc>
              <w:tc>
                <w:tcPr>
                  <w:tcW w:w="3296" w:type="pct"/>
                  <w:tcBorders>
                    <w:top w:val="single" w:color="auto" w:sz="6" w:space="0"/>
                    <w:left w:val="single" w:color="auto" w:sz="6" w:space="0"/>
                    <w:bottom w:val="single" w:color="auto" w:sz="6" w:space="0"/>
                    <w:right w:val="nil"/>
                  </w:tcBorders>
                  <w:noWrap w:val="0"/>
                  <w:vAlign w:val="center"/>
                </w:tcPr>
                <w:p w14:paraId="1BA13E07">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设有</w:t>
                  </w:r>
                  <w:r>
                    <w:rPr>
                      <w:rFonts w:hint="eastAsia" w:ascii="Times New Roman" w:hAnsi="Times New Roman" w:eastAsia="宋体" w:cs="Times New Roman"/>
                      <w:color w:val="auto"/>
                      <w:lang w:val="en-US" w:eastAsia="zh-CN"/>
                    </w:rPr>
                    <w:t>1</w:t>
                  </w:r>
                  <w:r>
                    <w:rPr>
                      <w:rFonts w:hint="default" w:ascii="Times New Roman" w:hAnsi="Times New Roman" w:cs="Times New Roman"/>
                      <w:color w:val="auto"/>
                    </w:rPr>
                    <w:t>个</w:t>
                  </w:r>
                  <w:r>
                    <w:rPr>
                      <w:rFonts w:hint="eastAsia" w:ascii="Times New Roman" w:hAnsi="Times New Roman" w:eastAsia="宋体" w:cs="Times New Roman"/>
                      <w:color w:val="auto"/>
                      <w:lang w:eastAsia="zh-CN"/>
                    </w:rPr>
                    <w:t>毛油</w:t>
                  </w:r>
                  <w:r>
                    <w:rPr>
                      <w:rFonts w:hint="default" w:ascii="Times New Roman" w:hAnsi="Times New Roman" w:cs="Times New Roman"/>
                      <w:color w:val="auto"/>
                    </w:rPr>
                    <w:t>储罐，规格为</w:t>
                  </w:r>
                  <w:r>
                    <w:rPr>
                      <w:rFonts w:hint="eastAsia" w:ascii="Times New Roman" w:hAnsi="Times New Roman" w:eastAsia="宋体" w:cs="Times New Roman"/>
                      <w:color w:val="auto"/>
                      <w:lang w:val="en-US" w:eastAsia="zh-CN"/>
                    </w:rPr>
                    <w:t>200</w:t>
                  </w:r>
                  <w:r>
                    <w:rPr>
                      <w:rFonts w:hint="default" w:ascii="Times New Roman" w:hAnsi="Times New Roman" w:cs="Times New Roman"/>
                      <w:color w:val="auto"/>
                    </w:rPr>
                    <w:t>t/罐位于精炼车间西侧</w:t>
                  </w:r>
                  <w:r>
                    <w:rPr>
                      <w:rFonts w:hint="eastAsia" w:ascii="Times New Roman" w:hAnsi="Times New Roman" w:eastAsia="宋体" w:cs="Times New Roman"/>
                      <w:color w:val="auto"/>
                      <w:lang w:eastAsia="zh-CN"/>
                    </w:rPr>
                    <w:t>。</w:t>
                  </w:r>
                </w:p>
              </w:tc>
            </w:tr>
            <w:tr w14:paraId="06FC7CE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1782F1C">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6DA0D644">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35F74FD7">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设有</w:t>
                  </w:r>
                  <w:r>
                    <w:rPr>
                      <w:rFonts w:hint="default" w:ascii="Times New Roman" w:hAnsi="Times New Roman" w:cs="Times New Roman"/>
                      <w:color w:val="auto"/>
                      <w:lang w:val="en-US" w:eastAsia="zh-CN"/>
                    </w:rPr>
                    <w:t>2</w:t>
                  </w:r>
                  <w:r>
                    <w:rPr>
                      <w:rFonts w:hint="default" w:ascii="Times New Roman" w:hAnsi="Times New Roman" w:cs="Times New Roman"/>
                      <w:color w:val="auto"/>
                    </w:rPr>
                    <w:t>个</w:t>
                  </w:r>
                  <w:r>
                    <w:rPr>
                      <w:rFonts w:hint="eastAsia" w:ascii="Times New Roman" w:hAnsi="Times New Roman" w:eastAsia="宋体" w:cs="Times New Roman"/>
                      <w:color w:val="auto"/>
                      <w:lang w:eastAsia="zh-CN"/>
                    </w:rPr>
                    <w:t>大豆</w:t>
                  </w:r>
                  <w:r>
                    <w:rPr>
                      <w:rFonts w:hint="default" w:ascii="Times New Roman" w:hAnsi="Times New Roman" w:cs="Times New Roman"/>
                      <w:color w:val="auto"/>
                    </w:rPr>
                    <w:t>油</w:t>
                  </w:r>
                  <w:r>
                    <w:rPr>
                      <w:rFonts w:hint="eastAsia" w:ascii="Times New Roman" w:hAnsi="Times New Roman" w:eastAsia="宋体" w:cs="Times New Roman"/>
                      <w:color w:val="auto"/>
                      <w:lang w:eastAsia="zh-CN"/>
                    </w:rPr>
                    <w:t>中转</w:t>
                  </w:r>
                  <w:r>
                    <w:rPr>
                      <w:rFonts w:hint="default" w:ascii="Times New Roman" w:hAnsi="Times New Roman" w:cs="Times New Roman"/>
                      <w:color w:val="auto"/>
                    </w:rPr>
                    <w:t>罐，规格为5t立式固定油罐</w:t>
                  </w:r>
                  <w:r>
                    <w:rPr>
                      <w:rFonts w:hint="default" w:ascii="Times New Roman" w:hAnsi="Times New Roman" w:cs="Times New Roman"/>
                      <w:color w:val="auto"/>
                      <w:lang w:eastAsia="zh-CN"/>
                    </w:rPr>
                    <w:t>，</w:t>
                  </w:r>
                  <w:r>
                    <w:rPr>
                      <w:rFonts w:hint="default" w:ascii="Times New Roman" w:hAnsi="Times New Roman" w:cs="Times New Roman"/>
                      <w:color w:val="auto"/>
                    </w:rPr>
                    <w:t>位于包装车间北侧</w:t>
                  </w:r>
                  <w:r>
                    <w:rPr>
                      <w:rFonts w:hint="eastAsia" w:ascii="Times New Roman" w:hAnsi="Times New Roman" w:eastAsia="宋体" w:cs="Times New Roman"/>
                      <w:color w:val="auto"/>
                      <w:lang w:eastAsia="zh-CN"/>
                    </w:rPr>
                    <w:t>。</w:t>
                  </w:r>
                </w:p>
              </w:tc>
            </w:tr>
            <w:tr w14:paraId="5A40C26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662CE141">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829EFC5">
                  <w:pPr>
                    <w:pStyle w:val="3"/>
                    <w:bidi w:val="0"/>
                    <w:rPr>
                      <w:rFonts w:hint="eastAsia" w:eastAsia="宋体"/>
                      <w:color w:val="auto"/>
                      <w:lang w:eastAsia="zh-CN"/>
                    </w:rPr>
                  </w:pPr>
                  <w:r>
                    <w:rPr>
                      <w:rFonts w:hint="eastAsia" w:ascii="Times New Roman" w:hAnsi="Times New Roman" w:eastAsia="宋体" w:cs="Times New Roman"/>
                      <w:color w:val="auto"/>
                      <w:lang w:val="en-US" w:eastAsia="zh-CN"/>
                    </w:rPr>
                    <w:t>7</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78DB0600">
                  <w:pPr>
                    <w:pStyle w:val="3"/>
                    <w:bidi w:val="0"/>
                    <w:jc w:val="both"/>
                    <w:rPr>
                      <w:rFonts w:hint="default" w:ascii="Times New Roman" w:hAnsi="Times New Roman" w:cs="Times New Roman"/>
                      <w:color w:val="auto"/>
                    </w:rPr>
                  </w:pPr>
                  <w:r>
                    <w:rPr>
                      <w:rFonts w:hint="default" w:ascii="Times New Roman" w:hAnsi="Times New Roman" w:cs="Times New Roman"/>
                      <w:color w:val="auto"/>
                    </w:rPr>
                    <w:t>设有3个</w:t>
                  </w:r>
                  <w:r>
                    <w:rPr>
                      <w:rFonts w:hint="eastAsia" w:ascii="Times New Roman" w:hAnsi="Times New Roman" w:eastAsia="宋体" w:cs="Times New Roman"/>
                      <w:color w:val="auto"/>
                      <w:lang w:eastAsia="zh-CN"/>
                    </w:rPr>
                    <w:t>大豆</w:t>
                  </w:r>
                  <w:r>
                    <w:rPr>
                      <w:rFonts w:hint="default" w:ascii="Times New Roman" w:hAnsi="Times New Roman" w:cs="Times New Roman"/>
                      <w:color w:val="auto"/>
                    </w:rPr>
                    <w:t>油</w:t>
                  </w:r>
                  <w:r>
                    <w:rPr>
                      <w:rFonts w:hint="eastAsia" w:ascii="Times New Roman" w:hAnsi="Times New Roman" w:eastAsia="宋体" w:cs="Times New Roman"/>
                      <w:color w:val="auto"/>
                      <w:lang w:eastAsia="zh-CN"/>
                    </w:rPr>
                    <w:t>中转</w:t>
                  </w:r>
                  <w:r>
                    <w:rPr>
                      <w:rFonts w:hint="default" w:ascii="Times New Roman" w:hAnsi="Times New Roman" w:cs="Times New Roman"/>
                      <w:color w:val="auto"/>
                    </w:rPr>
                    <w:t>罐，规格为10t立式固定油罐</w:t>
                  </w:r>
                </w:p>
              </w:tc>
            </w:tr>
            <w:tr w14:paraId="23FD2A2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0F61711">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6EEA69B">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r>
                    <w:rPr>
                      <w:rFonts w:hint="default" w:ascii="Times New Roman" w:hAnsi="Times New Roman" w:cs="Times New Roman"/>
                      <w:color w:val="auto"/>
                    </w:rPr>
                    <w:t>#罐区</w:t>
                  </w:r>
                </w:p>
              </w:tc>
              <w:tc>
                <w:tcPr>
                  <w:tcW w:w="3296" w:type="pct"/>
                  <w:tcBorders>
                    <w:top w:val="single" w:color="auto" w:sz="6" w:space="0"/>
                    <w:left w:val="single" w:color="auto" w:sz="6" w:space="0"/>
                    <w:bottom w:val="single" w:color="auto" w:sz="6" w:space="0"/>
                    <w:right w:val="nil"/>
                  </w:tcBorders>
                  <w:noWrap w:val="0"/>
                  <w:vAlign w:val="center"/>
                </w:tcPr>
                <w:p w14:paraId="43814DC0">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设有1个毛油储罐，规格为800t/罐，位于浸出车间东南侧</w:t>
                  </w:r>
                </w:p>
              </w:tc>
            </w:tr>
            <w:tr w14:paraId="7E02B31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6D3F544">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1619E2F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正己烷罐区</w:t>
                  </w:r>
                </w:p>
              </w:tc>
              <w:tc>
                <w:tcPr>
                  <w:tcW w:w="3296" w:type="pct"/>
                  <w:tcBorders>
                    <w:top w:val="single" w:color="auto" w:sz="6" w:space="0"/>
                    <w:left w:val="single" w:color="auto" w:sz="6" w:space="0"/>
                    <w:bottom w:val="single" w:color="auto" w:sz="6" w:space="0"/>
                    <w:right w:val="nil"/>
                  </w:tcBorders>
                  <w:noWrap w:val="0"/>
                  <w:vAlign w:val="center"/>
                </w:tcPr>
                <w:p w14:paraId="07BD9413">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rPr>
                    <w:t>设有</w:t>
                  </w:r>
                  <w:r>
                    <w:rPr>
                      <w:rFonts w:hint="default" w:ascii="Times New Roman" w:hAnsi="Times New Roman" w:cs="Times New Roman"/>
                      <w:color w:val="auto"/>
                      <w:lang w:val="en-US" w:eastAsia="zh-CN"/>
                    </w:rPr>
                    <w:t>3</w:t>
                  </w:r>
                  <w:r>
                    <w:rPr>
                      <w:rFonts w:hint="default" w:ascii="Times New Roman" w:hAnsi="Times New Roman" w:cs="Times New Roman"/>
                      <w:color w:val="auto"/>
                    </w:rPr>
                    <w:t>个</w:t>
                  </w:r>
                  <w:r>
                    <w:rPr>
                      <w:rFonts w:hint="default" w:ascii="Times New Roman" w:hAnsi="Times New Roman" w:cs="Times New Roman"/>
                      <w:color w:val="auto"/>
                      <w:lang w:eastAsia="zh-CN"/>
                    </w:rPr>
                    <w:t>正己烷</w:t>
                  </w:r>
                  <w:r>
                    <w:rPr>
                      <w:rFonts w:hint="default" w:ascii="Times New Roman" w:hAnsi="Times New Roman" w:cs="Times New Roman"/>
                      <w:color w:val="auto"/>
                    </w:rPr>
                    <w:t>暂存罐，</w:t>
                  </w:r>
                  <w:r>
                    <w:rPr>
                      <w:rFonts w:hint="default" w:ascii="Times New Roman" w:hAnsi="Times New Roman" w:cs="Times New Roman"/>
                      <w:color w:val="auto"/>
                      <w:lang w:eastAsia="zh-CN"/>
                    </w:rPr>
                    <w:t>规格为</w:t>
                  </w:r>
                  <w:r>
                    <w:rPr>
                      <w:rFonts w:hint="default" w:ascii="Times New Roman" w:hAnsi="Times New Roman" w:cs="Times New Roman"/>
                      <w:color w:val="auto"/>
                      <w:lang w:val="en-US" w:eastAsia="zh-CN"/>
                    </w:rPr>
                    <w:t>60t/罐，</w:t>
                  </w:r>
                  <w:r>
                    <w:rPr>
                      <w:rFonts w:hint="eastAsia" w:ascii="Times New Roman" w:hAnsi="Times New Roman" w:cs="Times New Roman"/>
                      <w:color w:val="auto"/>
                      <w:lang w:val="en-US" w:eastAsia="zh-CN"/>
                    </w:rPr>
                    <w:t>布置在</w:t>
                  </w:r>
                  <w:r>
                    <w:rPr>
                      <w:rFonts w:hint="default" w:ascii="Times New Roman" w:hAnsi="Times New Roman" w:cs="Times New Roman"/>
                      <w:color w:val="auto"/>
                      <w:lang w:val="en-US" w:eastAsia="zh-CN"/>
                    </w:rPr>
                    <w:t>浸出车间</w:t>
                  </w:r>
                  <w:r>
                    <w:rPr>
                      <w:rFonts w:hint="eastAsia" w:ascii="Times New Roman" w:hAnsi="Times New Roman" w:cs="Times New Roman"/>
                      <w:color w:val="auto"/>
                      <w:lang w:val="en-US" w:eastAsia="zh-CN"/>
                    </w:rPr>
                    <w:t>。</w:t>
                  </w:r>
                </w:p>
              </w:tc>
            </w:tr>
            <w:tr w14:paraId="345BA82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60490EB0">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56FF7E0E">
                  <w:pPr>
                    <w:pStyle w:val="3"/>
                    <w:bidi w:val="0"/>
                    <w:rPr>
                      <w:rFonts w:hint="default" w:ascii="Times New Roman" w:hAnsi="Times New Roman" w:cs="Times New Roman"/>
                      <w:color w:val="auto"/>
                    </w:rPr>
                  </w:pPr>
                  <w:r>
                    <w:rPr>
                      <w:rFonts w:hint="default" w:ascii="Times New Roman" w:hAnsi="Times New Roman" w:cs="Times New Roman"/>
                      <w:color w:val="auto"/>
                    </w:rPr>
                    <w:t>污水处理站硫酸储存室</w:t>
                  </w:r>
                </w:p>
              </w:tc>
              <w:tc>
                <w:tcPr>
                  <w:tcW w:w="3296" w:type="pct"/>
                  <w:tcBorders>
                    <w:top w:val="single" w:color="auto" w:sz="6" w:space="0"/>
                    <w:left w:val="single" w:color="auto" w:sz="6" w:space="0"/>
                    <w:bottom w:val="single" w:color="auto" w:sz="6" w:space="0"/>
                    <w:right w:val="nil"/>
                  </w:tcBorders>
                  <w:noWrap w:val="0"/>
                  <w:vAlign w:val="center"/>
                </w:tcPr>
                <w:p w14:paraId="0D3595F8">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设有1个硫酸储罐，规格为</w:t>
                  </w:r>
                  <w:r>
                    <w:rPr>
                      <w:rFonts w:hint="eastAsia" w:ascii="Times New Roman" w:hAnsi="Times New Roman" w:eastAsia="宋体" w:cs="Times New Roman"/>
                      <w:color w:val="auto"/>
                      <w:lang w:val="en-US" w:eastAsia="zh-CN"/>
                    </w:rPr>
                    <w:t>8</w:t>
                  </w:r>
                  <w:r>
                    <w:rPr>
                      <w:rFonts w:hint="default" w:ascii="Times New Roman" w:hAnsi="Times New Roman" w:cs="Times New Roman"/>
                      <w:color w:val="auto"/>
                    </w:rPr>
                    <w:t>t</w:t>
                  </w:r>
                  <w:r>
                    <w:rPr>
                      <w:rFonts w:hint="default" w:ascii="Times New Roman" w:hAnsi="Times New Roman" w:cs="Times New Roman"/>
                      <w:color w:val="auto"/>
                      <w:lang w:val="en-US" w:eastAsia="zh-CN"/>
                    </w:rPr>
                    <w:t>/罐</w:t>
                  </w:r>
                  <w:r>
                    <w:rPr>
                      <w:rFonts w:hint="eastAsia" w:ascii="Times New Roman" w:hAnsi="Times New Roman" w:cs="Times New Roman"/>
                      <w:color w:val="auto"/>
                      <w:lang w:val="en-US" w:eastAsia="zh-CN"/>
                    </w:rPr>
                    <w:t>，布置在污水处理站</w:t>
                  </w:r>
                  <w:r>
                    <w:rPr>
                      <w:rFonts w:hint="eastAsia" w:ascii="Times New Roman" w:hAnsi="Times New Roman" w:eastAsia="宋体" w:cs="Times New Roman"/>
                      <w:color w:val="auto"/>
                      <w:lang w:eastAsia="zh-CN"/>
                    </w:rPr>
                    <w:t>。</w:t>
                  </w:r>
                </w:p>
              </w:tc>
            </w:tr>
            <w:tr w14:paraId="1D0873E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restart"/>
                  <w:tcBorders>
                    <w:left w:val="nil"/>
                    <w:right w:val="single" w:color="auto" w:sz="6" w:space="0"/>
                  </w:tcBorders>
                  <w:noWrap w:val="0"/>
                  <w:vAlign w:val="center"/>
                </w:tcPr>
                <w:p w14:paraId="75EDE928">
                  <w:pPr>
                    <w:pStyle w:val="3"/>
                    <w:bidi w:val="0"/>
                    <w:rPr>
                      <w:rFonts w:hint="default" w:ascii="Times New Roman" w:hAnsi="Times New Roman" w:cs="Times New Roman"/>
                      <w:color w:val="auto"/>
                    </w:rPr>
                  </w:pPr>
                  <w:r>
                    <w:rPr>
                      <w:rFonts w:hint="default" w:ascii="Times New Roman" w:hAnsi="Times New Roman" w:cs="Times New Roman"/>
                      <w:color w:val="auto"/>
                    </w:rPr>
                    <w:t>辅助工程</w:t>
                  </w: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0C18D12C">
                  <w:pPr>
                    <w:pStyle w:val="3"/>
                    <w:bidi w:val="0"/>
                    <w:rPr>
                      <w:rFonts w:hint="default" w:ascii="Times New Roman" w:hAnsi="Times New Roman" w:cs="Times New Roman"/>
                      <w:color w:val="auto"/>
                    </w:rPr>
                  </w:pPr>
                  <w:r>
                    <w:rPr>
                      <w:rFonts w:hint="default" w:ascii="Times New Roman" w:hAnsi="Times New Roman" w:cs="Times New Roman"/>
                      <w:color w:val="auto"/>
                    </w:rPr>
                    <w:t>办公楼</w:t>
                  </w:r>
                </w:p>
              </w:tc>
              <w:tc>
                <w:tcPr>
                  <w:tcW w:w="3296" w:type="pct"/>
                  <w:tcBorders>
                    <w:top w:val="single" w:color="auto" w:sz="6" w:space="0"/>
                    <w:left w:val="single" w:color="auto" w:sz="6" w:space="0"/>
                    <w:bottom w:val="single" w:color="auto" w:sz="6" w:space="0"/>
                    <w:right w:val="nil"/>
                  </w:tcBorders>
                  <w:noWrap w:val="0"/>
                  <w:vAlign w:val="center"/>
                </w:tcPr>
                <w:p w14:paraId="33CDC95F">
                  <w:pPr>
                    <w:pStyle w:val="3"/>
                    <w:bidi w:val="0"/>
                    <w:jc w:val="both"/>
                    <w:rPr>
                      <w:rFonts w:hint="default" w:ascii="Times New Roman" w:hAnsi="Times New Roman" w:cs="Times New Roman"/>
                      <w:color w:val="auto"/>
                    </w:rPr>
                  </w:pPr>
                  <w:r>
                    <w:rPr>
                      <w:rFonts w:hint="default" w:ascii="Times New Roman" w:hAnsi="Times New Roman" w:cs="Times New Roman"/>
                      <w:color w:val="auto"/>
                      <w:lang w:eastAsia="zh-CN"/>
                    </w:rPr>
                    <w:t>高</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层，其中</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F设置有员工食堂，会议室，行政办公室，2F设置为行政办公室</w:t>
                  </w:r>
                  <w:r>
                    <w:rPr>
                      <w:rFonts w:hint="eastAsia" w:ascii="Times New Roman" w:hAnsi="Times New Roman" w:cs="Times New Roman"/>
                      <w:color w:val="auto"/>
                      <w:lang w:val="en-US" w:eastAsia="zh-CN"/>
                    </w:rPr>
                    <w:t>。</w:t>
                  </w:r>
                </w:p>
              </w:tc>
            </w:tr>
            <w:tr w14:paraId="2028C64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861A761">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0EADE77E">
                  <w:pPr>
                    <w:pStyle w:val="3"/>
                    <w:bidi w:val="0"/>
                    <w:rPr>
                      <w:rFonts w:hint="default" w:ascii="Times New Roman" w:hAnsi="Times New Roman" w:cs="Times New Roman"/>
                      <w:color w:val="auto"/>
                    </w:rPr>
                  </w:pPr>
                  <w:r>
                    <w:rPr>
                      <w:rFonts w:hint="default" w:ascii="Times New Roman" w:hAnsi="Times New Roman" w:cs="Times New Roman"/>
                      <w:color w:val="auto"/>
                    </w:rPr>
                    <w:t>综合楼</w:t>
                  </w:r>
                </w:p>
              </w:tc>
              <w:tc>
                <w:tcPr>
                  <w:tcW w:w="3296" w:type="pct"/>
                  <w:tcBorders>
                    <w:top w:val="single" w:color="auto" w:sz="6" w:space="0"/>
                    <w:left w:val="single" w:color="auto" w:sz="6" w:space="0"/>
                    <w:bottom w:val="single" w:color="auto" w:sz="6" w:space="0"/>
                    <w:right w:val="nil"/>
                  </w:tcBorders>
                  <w:noWrap w:val="0"/>
                  <w:vAlign w:val="center"/>
                </w:tcPr>
                <w:p w14:paraId="467B327A">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lang w:eastAsia="zh-CN"/>
                    </w:rPr>
                    <w:t>设置</w:t>
                  </w:r>
                  <w:r>
                    <w:rPr>
                      <w:rFonts w:hint="default" w:ascii="Times New Roman" w:hAnsi="Times New Roman" w:cs="Times New Roman"/>
                      <w:color w:val="auto"/>
                    </w:rPr>
                    <w:t>生产办公室、品控室、安全及应急物资储备室</w:t>
                  </w:r>
                  <w:r>
                    <w:rPr>
                      <w:rFonts w:hint="eastAsia" w:ascii="Times New Roman" w:hAnsi="Times New Roman" w:eastAsia="宋体" w:cs="Times New Roman"/>
                      <w:color w:val="auto"/>
                      <w:lang w:eastAsia="zh-CN"/>
                    </w:rPr>
                    <w:t>。</w:t>
                  </w:r>
                </w:p>
              </w:tc>
            </w:tr>
            <w:tr w14:paraId="6E6C2DB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restart"/>
                  <w:tcBorders>
                    <w:left w:val="nil"/>
                    <w:right w:val="single" w:color="auto" w:sz="6" w:space="0"/>
                  </w:tcBorders>
                  <w:noWrap w:val="0"/>
                  <w:vAlign w:val="center"/>
                </w:tcPr>
                <w:p w14:paraId="0EA95331">
                  <w:pPr>
                    <w:pStyle w:val="3"/>
                    <w:bidi w:val="0"/>
                    <w:rPr>
                      <w:rFonts w:hint="default" w:ascii="Times New Roman" w:hAnsi="Times New Roman" w:cs="Times New Roman"/>
                      <w:color w:val="auto"/>
                    </w:rPr>
                  </w:pPr>
                  <w:r>
                    <w:rPr>
                      <w:rFonts w:hint="default" w:ascii="Times New Roman" w:hAnsi="Times New Roman" w:cs="Times New Roman"/>
                      <w:color w:val="auto"/>
                    </w:rPr>
                    <w:t>公用工程</w:t>
                  </w: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D5BCBA4">
                  <w:pPr>
                    <w:pStyle w:val="3"/>
                    <w:bidi w:val="0"/>
                    <w:rPr>
                      <w:rFonts w:hint="default" w:ascii="Times New Roman" w:hAnsi="Times New Roman" w:cs="Times New Roman"/>
                      <w:color w:val="auto"/>
                    </w:rPr>
                  </w:pPr>
                  <w:r>
                    <w:rPr>
                      <w:rFonts w:hint="default" w:ascii="Times New Roman" w:hAnsi="Times New Roman" w:cs="Times New Roman"/>
                      <w:color w:val="auto"/>
                    </w:rPr>
                    <w:t>供水</w:t>
                  </w:r>
                </w:p>
              </w:tc>
              <w:tc>
                <w:tcPr>
                  <w:tcW w:w="3296" w:type="pct"/>
                  <w:tcBorders>
                    <w:top w:val="single" w:color="auto" w:sz="6" w:space="0"/>
                    <w:left w:val="single" w:color="auto" w:sz="6" w:space="0"/>
                    <w:bottom w:val="single" w:color="auto" w:sz="6" w:space="0"/>
                    <w:right w:val="nil"/>
                  </w:tcBorders>
                  <w:noWrap w:val="0"/>
                  <w:vAlign w:val="center"/>
                </w:tcPr>
                <w:p w14:paraId="2959A7D3">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lang w:eastAsia="zh-CN"/>
                    </w:rPr>
                    <w:t>本</w:t>
                  </w:r>
                  <w:r>
                    <w:rPr>
                      <w:rFonts w:hint="default" w:ascii="Times New Roman" w:hAnsi="Times New Roman" w:cs="Times New Roman"/>
                      <w:color w:val="auto"/>
                    </w:rPr>
                    <w:t>项目用水来自龙桥镇自来水厂，依托厂区</w:t>
                  </w:r>
                  <w:r>
                    <w:rPr>
                      <w:rFonts w:hint="default" w:ascii="Times New Roman" w:hAnsi="Times New Roman" w:cs="Times New Roman"/>
                      <w:color w:val="auto"/>
                      <w:lang w:eastAsia="zh-CN"/>
                    </w:rPr>
                    <w:t>现有</w:t>
                  </w:r>
                  <w:r>
                    <w:rPr>
                      <w:rFonts w:hint="default" w:ascii="Times New Roman" w:hAnsi="Times New Roman" w:cs="Times New Roman"/>
                      <w:color w:val="auto"/>
                    </w:rPr>
                    <w:t>供水系统</w:t>
                  </w:r>
                  <w:r>
                    <w:rPr>
                      <w:rFonts w:hint="eastAsia" w:ascii="Times New Roman" w:hAnsi="Times New Roman" w:eastAsia="宋体" w:cs="Times New Roman"/>
                      <w:color w:val="auto"/>
                      <w:lang w:eastAsia="zh-CN"/>
                    </w:rPr>
                    <w:t>。</w:t>
                  </w:r>
                </w:p>
              </w:tc>
            </w:tr>
            <w:tr w14:paraId="1EF4247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421FED2">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4F9C00E0">
                  <w:pPr>
                    <w:pStyle w:val="3"/>
                    <w:bidi w:val="0"/>
                    <w:rPr>
                      <w:rFonts w:hint="default" w:ascii="Times New Roman" w:hAnsi="Times New Roman" w:cs="Times New Roman"/>
                      <w:color w:val="auto"/>
                    </w:rPr>
                  </w:pPr>
                  <w:r>
                    <w:rPr>
                      <w:rFonts w:hint="default" w:ascii="Times New Roman" w:hAnsi="Times New Roman" w:cs="Times New Roman"/>
                      <w:color w:val="auto"/>
                    </w:rPr>
                    <w:t>供电</w:t>
                  </w:r>
                </w:p>
              </w:tc>
              <w:tc>
                <w:tcPr>
                  <w:tcW w:w="3296" w:type="pct"/>
                  <w:tcBorders>
                    <w:top w:val="single" w:color="auto" w:sz="6" w:space="0"/>
                    <w:left w:val="single" w:color="auto" w:sz="6" w:space="0"/>
                    <w:bottom w:val="single" w:color="auto" w:sz="6" w:space="0"/>
                    <w:right w:val="nil"/>
                  </w:tcBorders>
                  <w:noWrap w:val="0"/>
                  <w:vAlign w:val="center"/>
                </w:tcPr>
                <w:p w14:paraId="185354CB">
                  <w:pPr>
                    <w:pStyle w:val="3"/>
                    <w:bidi w:val="0"/>
                    <w:jc w:val="both"/>
                    <w:rPr>
                      <w:rFonts w:hint="default" w:ascii="Times New Roman" w:hAnsi="Times New Roman" w:cs="Times New Roman"/>
                      <w:color w:val="auto"/>
                    </w:rPr>
                  </w:pPr>
                  <w:r>
                    <w:rPr>
                      <w:rFonts w:hint="default" w:ascii="Times New Roman" w:hAnsi="Times New Roman" w:cs="Times New Roman"/>
                      <w:color w:val="auto"/>
                    </w:rPr>
                    <w:t>依托厂区供配电系统，厂区各厂房内变电所供电由厂区内10kV配变电所提供，其电源来自龙桥工业园区的110/10kV变电站供应。</w:t>
                  </w:r>
                </w:p>
              </w:tc>
            </w:tr>
            <w:tr w14:paraId="3EEBE70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4104D69">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173390E0">
                  <w:pPr>
                    <w:pStyle w:val="3"/>
                    <w:bidi w:val="0"/>
                    <w:rPr>
                      <w:rFonts w:hint="eastAsia" w:ascii="Times New Roman" w:hAnsi="Times New Roman" w:eastAsia="宋体" w:cs="Times New Roman"/>
                      <w:color w:val="auto"/>
                      <w:highlight w:val="none"/>
                      <w:lang w:eastAsia="zh-CN"/>
                    </w:rPr>
                  </w:pPr>
                  <w:r>
                    <w:rPr>
                      <w:rFonts w:hint="eastAsia"/>
                      <w:color w:val="auto"/>
                      <w:lang w:eastAsia="zh-CN"/>
                    </w:rPr>
                    <w:t>蒸汽供给</w:t>
                  </w:r>
                </w:p>
              </w:tc>
              <w:tc>
                <w:tcPr>
                  <w:tcW w:w="3296" w:type="pct"/>
                  <w:tcBorders>
                    <w:top w:val="single" w:color="auto" w:sz="6" w:space="0"/>
                    <w:left w:val="single" w:color="auto" w:sz="6" w:space="0"/>
                    <w:bottom w:val="single" w:color="auto" w:sz="6" w:space="0"/>
                    <w:right w:val="nil"/>
                  </w:tcBorders>
                  <w:noWrap w:val="0"/>
                  <w:vAlign w:val="center"/>
                </w:tcPr>
                <w:p w14:paraId="1AB99F78">
                  <w:pPr>
                    <w:pStyle w:val="3"/>
                    <w:bidi w:val="0"/>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eastAsia="zh-CN"/>
                    </w:rPr>
                    <w:t>厂区配备</w:t>
                  </w:r>
                  <w:r>
                    <w:rPr>
                      <w:rFonts w:hint="eastAsia" w:ascii="Times New Roman" w:hAnsi="Times New Roman" w:cs="Times New Roman"/>
                      <w:color w:val="auto"/>
                      <w:highlight w:val="none"/>
                      <w:lang w:val="en-US" w:eastAsia="zh-CN"/>
                    </w:rPr>
                    <w:t>1台</w:t>
                  </w:r>
                  <w:r>
                    <w:rPr>
                      <w:rFonts w:hint="default" w:ascii="Times New Roman" w:hAnsi="Times New Roman" w:cs="Times New Roman"/>
                      <w:color w:val="auto"/>
                      <w:highlight w:val="none"/>
                      <w:lang w:val="en-US" w:eastAsia="zh-CN"/>
                    </w:rPr>
                    <w:t>3.2t/h天然气锅炉</w:t>
                  </w:r>
                  <w:r>
                    <w:rPr>
                      <w:rFonts w:hint="eastAsia" w:ascii="Times New Roman" w:hAnsi="Times New Roman" w:cs="Times New Roman"/>
                      <w:color w:val="auto"/>
                      <w:highlight w:val="none"/>
                      <w:lang w:val="en-US" w:eastAsia="zh-CN"/>
                    </w:rPr>
                    <w:t>，现有工程各生产线蒸汽的供给由该燃气锅炉、园区供汽管网同时供给，其中预处理生产线、浸出生产线的蒸汽由园区供汽管网供给，精炼生产线由燃气锅炉、园区供汽管网同时供给。</w:t>
                  </w:r>
                </w:p>
              </w:tc>
            </w:tr>
            <w:tr w14:paraId="436F163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80C8C57">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28D4038B">
                  <w:pPr>
                    <w:pStyle w:val="3"/>
                    <w:bidi w:val="0"/>
                    <w:rPr>
                      <w:rFonts w:hint="default" w:ascii="Times New Roman" w:hAnsi="Times New Roman" w:cs="Times New Roman"/>
                      <w:color w:val="auto"/>
                    </w:rPr>
                  </w:pPr>
                  <w:r>
                    <w:rPr>
                      <w:rFonts w:hint="default" w:ascii="Times New Roman" w:hAnsi="Times New Roman" w:cs="Times New Roman"/>
                      <w:color w:val="auto"/>
                    </w:rPr>
                    <w:t>排水</w:t>
                  </w:r>
                </w:p>
              </w:tc>
              <w:tc>
                <w:tcPr>
                  <w:tcW w:w="3296" w:type="pct"/>
                  <w:tcBorders>
                    <w:top w:val="single" w:color="auto" w:sz="6" w:space="0"/>
                    <w:left w:val="single" w:color="auto" w:sz="6" w:space="0"/>
                    <w:bottom w:val="single" w:color="auto" w:sz="6" w:space="0"/>
                    <w:right w:val="nil"/>
                  </w:tcBorders>
                  <w:noWrap w:val="0"/>
                  <w:vAlign w:val="center"/>
                </w:tcPr>
                <w:p w14:paraId="006BD806">
                  <w:pPr>
                    <w:pStyle w:val="3"/>
                    <w:bidi w:val="0"/>
                    <w:jc w:val="both"/>
                    <w:rPr>
                      <w:rFonts w:hint="default" w:ascii="Times New Roman" w:hAnsi="Times New Roman" w:cs="Times New Roman"/>
                      <w:color w:val="auto"/>
                    </w:rPr>
                  </w:pPr>
                  <w:r>
                    <w:rPr>
                      <w:rFonts w:hint="default" w:ascii="Times New Roman" w:hAnsi="Times New Roman" w:cs="Times New Roman"/>
                      <w:color w:val="auto"/>
                      <w:lang w:eastAsia="zh-CN"/>
                    </w:rPr>
                    <w:t>采用</w:t>
                  </w:r>
                  <w:r>
                    <w:rPr>
                      <w:rFonts w:hint="default" w:ascii="Times New Roman" w:hAnsi="Times New Roman" w:cs="Times New Roman"/>
                      <w:color w:val="auto"/>
                    </w:rPr>
                    <w:t>雨污分流，厂区雨水经过雨水管网收集后经雨水沉降池排入长江。生活污水与生产废水</w:t>
                  </w:r>
                  <w:r>
                    <w:rPr>
                      <w:rFonts w:hint="default" w:ascii="Times New Roman" w:hAnsi="Times New Roman" w:cs="Times New Roman"/>
                      <w:color w:val="auto"/>
                      <w:lang w:eastAsia="zh-CN"/>
                    </w:rPr>
                    <w:t>经厂区污水处理站处理后排入市政污水管网，经龙桥污水处理厂</w:t>
                  </w:r>
                  <w:r>
                    <w:rPr>
                      <w:rFonts w:hint="default" w:ascii="Times New Roman" w:hAnsi="Times New Roman" w:cs="Times New Roman"/>
                      <w:color w:val="auto"/>
                    </w:rPr>
                    <w:t>处理后</w:t>
                  </w:r>
                  <w:r>
                    <w:rPr>
                      <w:rFonts w:hint="default" w:ascii="Times New Roman" w:hAnsi="Times New Roman" w:cs="Times New Roman"/>
                      <w:color w:val="auto"/>
                      <w:lang w:eastAsia="zh-CN"/>
                    </w:rPr>
                    <w:t>经</w:t>
                  </w:r>
                  <w:r>
                    <w:rPr>
                      <w:rFonts w:hint="default" w:ascii="Times New Roman" w:hAnsi="Times New Roman" w:cs="Times New Roman"/>
                      <w:color w:val="auto"/>
                    </w:rPr>
                    <w:t>冉家沟</w:t>
                  </w:r>
                  <w:r>
                    <w:rPr>
                      <w:rFonts w:hint="default" w:ascii="Times New Roman" w:hAnsi="Times New Roman" w:cs="Times New Roman"/>
                      <w:color w:val="auto"/>
                      <w:lang w:eastAsia="zh-CN"/>
                    </w:rPr>
                    <w:t>排入</w:t>
                  </w:r>
                  <w:r>
                    <w:rPr>
                      <w:rFonts w:hint="default" w:ascii="Times New Roman" w:hAnsi="Times New Roman" w:cs="Times New Roman"/>
                      <w:color w:val="auto"/>
                    </w:rPr>
                    <w:t>长江。</w:t>
                  </w:r>
                </w:p>
              </w:tc>
            </w:tr>
            <w:tr w14:paraId="182FFDD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restart"/>
                  <w:tcBorders>
                    <w:left w:val="nil"/>
                    <w:right w:val="single" w:color="auto" w:sz="6" w:space="0"/>
                  </w:tcBorders>
                  <w:noWrap w:val="0"/>
                  <w:vAlign w:val="center"/>
                </w:tcPr>
                <w:p w14:paraId="2485157E">
                  <w:pPr>
                    <w:pStyle w:val="3"/>
                    <w:bidi w:val="0"/>
                    <w:rPr>
                      <w:rFonts w:hint="default" w:ascii="Times New Roman" w:hAnsi="Times New Roman" w:cs="Times New Roman"/>
                      <w:color w:val="auto"/>
                    </w:rPr>
                  </w:pPr>
                  <w:r>
                    <w:rPr>
                      <w:rFonts w:hint="default" w:ascii="Times New Roman" w:hAnsi="Times New Roman" w:cs="Times New Roman"/>
                      <w:color w:val="auto"/>
                    </w:rPr>
                    <w:t>环保工程</w:t>
                  </w:r>
                </w:p>
              </w:tc>
              <w:tc>
                <w:tcPr>
                  <w:tcW w:w="545" w:type="pct"/>
                  <w:gridSpan w:val="2"/>
                  <w:vMerge w:val="restart"/>
                  <w:tcBorders>
                    <w:top w:val="single" w:color="auto" w:sz="6" w:space="0"/>
                    <w:left w:val="single" w:color="auto" w:sz="6" w:space="0"/>
                    <w:right w:val="single" w:color="auto" w:sz="4" w:space="0"/>
                  </w:tcBorders>
                  <w:noWrap w:val="0"/>
                  <w:vAlign w:val="center"/>
                </w:tcPr>
                <w:p w14:paraId="47FD9A0B">
                  <w:pPr>
                    <w:pStyle w:val="3"/>
                    <w:bidi w:val="0"/>
                    <w:rPr>
                      <w:rFonts w:hint="default" w:ascii="Times New Roman" w:hAnsi="Times New Roman" w:cs="Times New Roman"/>
                      <w:color w:val="auto"/>
                    </w:rPr>
                  </w:pPr>
                  <w:r>
                    <w:rPr>
                      <w:rFonts w:hint="default" w:ascii="Times New Roman" w:hAnsi="Times New Roman" w:cs="Times New Roman"/>
                      <w:color w:val="auto"/>
                    </w:rPr>
                    <w:t>废气</w:t>
                  </w:r>
                </w:p>
                <w:p w14:paraId="4B5F621D">
                  <w:pPr>
                    <w:pStyle w:val="3"/>
                    <w:bidi w:val="0"/>
                    <w:rPr>
                      <w:rFonts w:hint="default" w:ascii="Times New Roman" w:hAnsi="Times New Roman" w:cs="Times New Roman"/>
                      <w:color w:val="auto"/>
                    </w:rPr>
                  </w:pPr>
                  <w:r>
                    <w:rPr>
                      <w:rFonts w:hint="default" w:ascii="Times New Roman" w:hAnsi="Times New Roman" w:cs="Times New Roman"/>
                      <w:color w:val="auto"/>
                    </w:rPr>
                    <w:t>处理</w:t>
                  </w:r>
                </w:p>
              </w:tc>
              <w:tc>
                <w:tcPr>
                  <w:tcW w:w="452" w:type="pct"/>
                  <w:vMerge w:val="restart"/>
                  <w:tcBorders>
                    <w:top w:val="single" w:color="auto" w:sz="6" w:space="0"/>
                    <w:left w:val="single" w:color="auto" w:sz="4" w:space="0"/>
                    <w:right w:val="single" w:color="auto" w:sz="6" w:space="0"/>
                  </w:tcBorders>
                  <w:noWrap w:val="0"/>
                  <w:vAlign w:val="center"/>
                </w:tcPr>
                <w:p w14:paraId="4D92216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大豆提升站</w:t>
                  </w:r>
                  <w:r>
                    <w:rPr>
                      <w:rFonts w:hint="eastAsia" w:ascii="Times New Roman" w:hAnsi="Times New Roman" w:cs="Times New Roman"/>
                      <w:color w:val="auto"/>
                      <w:lang w:val="en-US" w:eastAsia="zh-CN"/>
                    </w:rPr>
                    <w:t>1#</w:t>
                  </w:r>
                </w:p>
              </w:tc>
              <w:tc>
                <w:tcPr>
                  <w:tcW w:w="3296" w:type="pct"/>
                  <w:tcBorders>
                    <w:top w:val="single" w:color="auto" w:sz="6" w:space="0"/>
                    <w:left w:val="single" w:color="auto" w:sz="6" w:space="0"/>
                    <w:bottom w:val="single" w:color="auto" w:sz="4" w:space="0"/>
                    <w:right w:val="nil"/>
                  </w:tcBorders>
                  <w:noWrap w:val="0"/>
                  <w:vAlign w:val="center"/>
                </w:tcPr>
                <w:p w14:paraId="13FF522F">
                  <w:pPr>
                    <w:pStyle w:val="3"/>
                    <w:bidi w:val="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转运</w:t>
                  </w:r>
                  <w:r>
                    <w:rPr>
                      <w:rFonts w:hint="default" w:ascii="Times New Roman" w:hAnsi="Times New Roman" w:cs="Times New Roman"/>
                      <w:color w:val="auto"/>
                    </w:rPr>
                    <w:t>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20m高</w:t>
                  </w:r>
                  <w:r>
                    <w:rPr>
                      <w:rFonts w:hint="eastAsia" w:ascii="Times New Roman" w:hAnsi="Times New Roman" w:eastAsia="宋体" w:cs="Times New Roman"/>
                      <w:color w:val="auto"/>
                      <w:lang w:val="en-US" w:eastAsia="zh-CN"/>
                    </w:rPr>
                    <w:t>DA001</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5A21128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2BE5655">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5B4052F4">
                  <w:pPr>
                    <w:pStyle w:val="3"/>
                    <w:bidi w:val="0"/>
                    <w:rPr>
                      <w:rFonts w:hint="default" w:ascii="Times New Roman" w:hAnsi="Times New Roman" w:cs="Times New Roman"/>
                      <w:color w:val="auto"/>
                    </w:rPr>
                  </w:pPr>
                </w:p>
              </w:tc>
              <w:tc>
                <w:tcPr>
                  <w:tcW w:w="452" w:type="pct"/>
                  <w:vMerge w:val="continue"/>
                  <w:tcBorders>
                    <w:left w:val="single" w:color="auto" w:sz="4" w:space="0"/>
                    <w:bottom w:val="single" w:color="auto" w:sz="4" w:space="0"/>
                    <w:right w:val="single" w:color="auto" w:sz="6" w:space="0"/>
                  </w:tcBorders>
                  <w:noWrap w:val="0"/>
                  <w:vAlign w:val="center"/>
                </w:tcPr>
                <w:p w14:paraId="06E4E093">
                  <w:pPr>
                    <w:pStyle w:val="3"/>
                    <w:bidi w:val="0"/>
                    <w:rPr>
                      <w:rFonts w:hint="eastAsia" w:ascii="Times New Roman" w:hAnsi="Times New Roman" w:cs="Times New Roman"/>
                      <w:color w:val="auto"/>
                      <w:lang w:eastAsia="zh-CN"/>
                    </w:rPr>
                  </w:pPr>
                </w:p>
              </w:tc>
              <w:tc>
                <w:tcPr>
                  <w:tcW w:w="3296" w:type="pct"/>
                  <w:tcBorders>
                    <w:top w:val="single" w:color="auto" w:sz="6" w:space="0"/>
                    <w:left w:val="single" w:color="auto" w:sz="6" w:space="0"/>
                    <w:bottom w:val="single" w:color="auto" w:sz="4" w:space="0"/>
                    <w:right w:val="nil"/>
                  </w:tcBorders>
                  <w:noWrap w:val="0"/>
                  <w:vAlign w:val="center"/>
                </w:tcPr>
                <w:p w14:paraId="1B3D52B5">
                  <w:pPr>
                    <w:pStyle w:val="3"/>
                    <w:bidi w:val="0"/>
                    <w:jc w:val="both"/>
                    <w:rPr>
                      <w:rFonts w:hint="default" w:ascii="Times New Roman" w:hAnsi="Times New Roman" w:cs="Times New Roman"/>
                      <w:color w:val="auto"/>
                    </w:rPr>
                  </w:pP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进出仓</w:t>
                  </w:r>
                  <w:r>
                    <w:rPr>
                      <w:rFonts w:hint="default" w:ascii="Times New Roman" w:hAnsi="Times New Roman" w:cs="Times New Roman"/>
                      <w:color w:val="auto"/>
                    </w:rPr>
                    <w:t>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20m高</w:t>
                  </w:r>
                  <w:r>
                    <w:rPr>
                      <w:rFonts w:hint="eastAsia" w:ascii="Times New Roman" w:hAnsi="Times New Roman" w:eastAsia="宋体" w:cs="Times New Roman"/>
                      <w:color w:val="auto"/>
                      <w:lang w:val="en-US" w:eastAsia="zh-CN"/>
                    </w:rPr>
                    <w:t>DA002</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2A753D3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F1D7B2A">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123A8406">
                  <w:pPr>
                    <w:pStyle w:val="3"/>
                    <w:bidi w:val="0"/>
                    <w:rPr>
                      <w:rFonts w:hint="default" w:ascii="Times New Roman" w:hAnsi="Times New Roman" w:cs="Times New Roman"/>
                      <w:color w:val="auto"/>
                    </w:rPr>
                  </w:pPr>
                </w:p>
              </w:tc>
              <w:tc>
                <w:tcPr>
                  <w:tcW w:w="452" w:type="pct"/>
                  <w:vMerge w:val="restart"/>
                  <w:tcBorders>
                    <w:left w:val="single" w:color="auto" w:sz="4" w:space="0"/>
                    <w:right w:val="single" w:color="auto" w:sz="6" w:space="0"/>
                  </w:tcBorders>
                  <w:noWrap w:val="0"/>
                  <w:vAlign w:val="center"/>
                </w:tcPr>
                <w:p w14:paraId="7538C341">
                  <w:pPr>
                    <w:pStyle w:val="3"/>
                    <w:bidi w:val="0"/>
                    <w:rPr>
                      <w:rFonts w:hint="eastAsia" w:ascii="Times New Roman" w:hAnsi="Times New Roman" w:cs="Times New Roman"/>
                      <w:color w:val="auto"/>
                      <w:lang w:eastAsia="zh-CN"/>
                    </w:rPr>
                  </w:pPr>
                  <w:r>
                    <w:rPr>
                      <w:rFonts w:hint="default" w:ascii="Times New Roman" w:hAnsi="Times New Roman" w:cs="Times New Roman"/>
                      <w:color w:val="auto"/>
                      <w:lang w:eastAsia="zh-CN"/>
                    </w:rPr>
                    <w:t>精炼车间</w:t>
                  </w:r>
                </w:p>
              </w:tc>
              <w:tc>
                <w:tcPr>
                  <w:tcW w:w="3296" w:type="pct"/>
                  <w:tcBorders>
                    <w:top w:val="single" w:color="auto" w:sz="6" w:space="0"/>
                    <w:left w:val="single" w:color="auto" w:sz="6" w:space="0"/>
                    <w:bottom w:val="single" w:color="auto" w:sz="4" w:space="0"/>
                    <w:right w:val="nil"/>
                  </w:tcBorders>
                  <w:noWrap w:val="0"/>
                  <w:vAlign w:val="center"/>
                </w:tcPr>
                <w:p w14:paraId="0653AB3F">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脱色塔脱色</w:t>
                  </w:r>
                  <w:r>
                    <w:rPr>
                      <w:rFonts w:hint="eastAsia" w:ascii="Times New Roman" w:hAnsi="Times New Roman" w:eastAsia="宋体" w:cs="Times New Roman"/>
                      <w:color w:val="auto"/>
                      <w:lang w:eastAsia="zh-CN"/>
                    </w:rPr>
                    <w:t>、</w:t>
                  </w:r>
                  <w:r>
                    <w:rPr>
                      <w:rFonts w:hint="default" w:ascii="Times New Roman" w:hAnsi="Times New Roman" w:cs="Times New Roman"/>
                      <w:color w:val="auto"/>
                    </w:rPr>
                    <w:t>脱臭塔脱臭</w:t>
                  </w:r>
                  <w:r>
                    <w:rPr>
                      <w:rFonts w:hint="eastAsia" w:ascii="Times New Roman" w:hAnsi="Times New Roman" w:eastAsia="宋体" w:cs="Times New Roman"/>
                      <w:color w:val="auto"/>
                      <w:lang w:eastAsia="zh-CN"/>
                    </w:rPr>
                    <w:t>工序</w:t>
                  </w:r>
                  <w:r>
                    <w:rPr>
                      <w:rFonts w:hint="default" w:ascii="Times New Roman" w:hAnsi="Times New Roman" w:cs="Times New Roman"/>
                      <w:color w:val="auto"/>
                    </w:rPr>
                    <w:t>产生的</w:t>
                  </w:r>
                  <w:r>
                    <w:rPr>
                      <w:rFonts w:hint="default" w:ascii="Times New Roman" w:hAnsi="Times New Roman" w:cs="Times New Roman"/>
                      <w:color w:val="auto"/>
                      <w:lang w:eastAsia="zh-CN"/>
                    </w:rPr>
                    <w:t>非甲烷总烃</w:t>
                  </w:r>
                  <w:r>
                    <w:rPr>
                      <w:rFonts w:hint="eastAsia" w:ascii="Times New Roman" w:hAnsi="Times New Roman" w:cs="Times New Roman"/>
                      <w:color w:val="auto"/>
                      <w:lang w:eastAsia="zh-CN"/>
                    </w:rPr>
                    <w:t>、臭气浓度</w:t>
                  </w:r>
                  <w:r>
                    <w:rPr>
                      <w:rFonts w:hint="default" w:ascii="Times New Roman" w:hAnsi="Times New Roman" w:cs="Times New Roman"/>
                      <w:color w:val="auto"/>
                    </w:rPr>
                    <w:t>经</w:t>
                  </w:r>
                  <w:r>
                    <w:rPr>
                      <w:rFonts w:hint="eastAsia" w:ascii="Times New Roman" w:hAnsi="Times New Roman" w:eastAsia="宋体" w:cs="Times New Roman"/>
                      <w:color w:val="auto"/>
                      <w:highlight w:val="none"/>
                      <w:lang w:eastAsia="zh-CN"/>
                    </w:rPr>
                    <w:t>碱喷淋塔处理</w:t>
                  </w:r>
                  <w:r>
                    <w:rPr>
                      <w:rFonts w:hint="default" w:ascii="Times New Roman" w:hAnsi="Times New Roman" w:cs="Times New Roman"/>
                      <w:color w:val="auto"/>
                    </w:rPr>
                    <w:t>后，</w:t>
                  </w:r>
                  <w:r>
                    <w:rPr>
                      <w:rFonts w:hint="eastAsia" w:ascii="Times New Roman" w:hAnsi="Times New Roman" w:eastAsia="宋体" w:cs="Times New Roman"/>
                      <w:color w:val="auto"/>
                      <w:lang w:eastAsia="zh-CN"/>
                    </w:rPr>
                    <w:t>通过</w:t>
                  </w:r>
                  <w:r>
                    <w:rPr>
                      <w:rFonts w:hint="eastAsia" w:ascii="Times New Roman" w:hAnsi="Times New Roman" w:eastAsia="宋体" w:cs="Times New Roman"/>
                      <w:color w:val="auto"/>
                      <w:lang w:val="en-US" w:eastAsia="zh-CN"/>
                    </w:rPr>
                    <w:t>15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DA003</w:t>
                  </w:r>
                  <w:r>
                    <w:rPr>
                      <w:rFonts w:hint="default" w:ascii="Times New Roman" w:hAnsi="Times New Roman" w:cs="Times New Roman"/>
                      <w:color w:val="auto"/>
                    </w:rPr>
                    <w:t>排气筒排放</w:t>
                  </w:r>
                </w:p>
              </w:tc>
            </w:tr>
            <w:tr w14:paraId="1F9F4E1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AE044FB">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52ABA02C">
                  <w:pPr>
                    <w:pStyle w:val="3"/>
                    <w:bidi w:val="0"/>
                    <w:rPr>
                      <w:rFonts w:hint="default" w:ascii="Times New Roman" w:hAnsi="Times New Roman" w:cs="Times New Roman"/>
                      <w:color w:val="auto"/>
                    </w:rPr>
                  </w:pPr>
                </w:p>
              </w:tc>
              <w:tc>
                <w:tcPr>
                  <w:tcW w:w="452" w:type="pct"/>
                  <w:vMerge w:val="continue"/>
                  <w:tcBorders>
                    <w:left w:val="single" w:color="auto" w:sz="4" w:space="0"/>
                    <w:right w:val="single" w:color="auto" w:sz="6" w:space="0"/>
                  </w:tcBorders>
                  <w:noWrap w:val="0"/>
                  <w:vAlign w:val="center"/>
                </w:tcPr>
                <w:p w14:paraId="5CBC63E6">
                  <w:pPr>
                    <w:pStyle w:val="3"/>
                    <w:bidi w:val="0"/>
                    <w:rPr>
                      <w:rFonts w:hint="eastAsia" w:ascii="Times New Roman" w:hAnsi="Times New Roman" w:cs="Times New Roman"/>
                      <w:color w:val="auto"/>
                      <w:lang w:eastAsia="zh-CN"/>
                    </w:rPr>
                  </w:pPr>
                </w:p>
              </w:tc>
              <w:tc>
                <w:tcPr>
                  <w:tcW w:w="3296" w:type="pct"/>
                  <w:tcBorders>
                    <w:top w:val="single" w:color="auto" w:sz="6" w:space="0"/>
                    <w:left w:val="single" w:color="auto" w:sz="6" w:space="0"/>
                    <w:bottom w:val="single" w:color="auto" w:sz="4" w:space="0"/>
                    <w:right w:val="nil"/>
                  </w:tcBorders>
                  <w:noWrap w:val="0"/>
                  <w:vAlign w:val="center"/>
                </w:tcPr>
                <w:p w14:paraId="2707BBE5">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lang w:eastAsia="zh-CN"/>
                    </w:rPr>
                    <w:t>白土投加工序产生的颗粒物</w:t>
                  </w:r>
                  <w:r>
                    <w:rPr>
                      <w:rFonts w:hint="default" w:ascii="Times New Roman" w:hAnsi="Times New Roman" w:cs="Times New Roman"/>
                      <w:color w:val="auto"/>
                    </w:rPr>
                    <w:t>经</w:t>
                  </w:r>
                  <w:r>
                    <w:rPr>
                      <w:rFonts w:hint="default" w:ascii="Times New Roman" w:hAnsi="Times New Roman" w:cs="Times New Roman"/>
                      <w:color w:val="auto"/>
                      <w:lang w:eastAsia="zh-CN"/>
                    </w:rPr>
                    <w:t>布袋除尘器处理后</w:t>
                  </w:r>
                  <w:r>
                    <w:rPr>
                      <w:rFonts w:hint="default" w:ascii="Times New Roman" w:hAnsi="Times New Roman" w:cs="Times New Roman"/>
                      <w:color w:val="auto"/>
                    </w:rPr>
                    <w:t>再经25m</w:t>
                  </w:r>
                  <w:r>
                    <w:rPr>
                      <w:rFonts w:hint="default" w:ascii="Times New Roman" w:hAnsi="Times New Roman" w:cs="Times New Roman"/>
                      <w:color w:val="auto"/>
                      <w:lang w:eastAsia="zh-CN"/>
                    </w:rPr>
                    <w:t>高的</w:t>
                  </w:r>
                  <w:r>
                    <w:rPr>
                      <w:rFonts w:hint="eastAsia" w:ascii="Times New Roman" w:hAnsi="Times New Roman" w:eastAsia="宋体" w:cs="Times New Roman"/>
                      <w:color w:val="auto"/>
                      <w:lang w:val="en-US" w:eastAsia="zh-CN"/>
                    </w:rPr>
                    <w:t>DA004</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25724A0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E6594FC">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1DF344CF">
                  <w:pPr>
                    <w:pStyle w:val="3"/>
                    <w:bidi w:val="0"/>
                    <w:rPr>
                      <w:rFonts w:hint="default" w:ascii="Times New Roman" w:hAnsi="Times New Roman" w:cs="Times New Roman"/>
                      <w:color w:val="auto"/>
                    </w:rPr>
                  </w:pPr>
                </w:p>
              </w:tc>
              <w:tc>
                <w:tcPr>
                  <w:tcW w:w="452" w:type="pct"/>
                  <w:tcBorders>
                    <w:left w:val="single" w:color="auto" w:sz="4" w:space="0"/>
                    <w:right w:val="single" w:color="auto" w:sz="6" w:space="0"/>
                  </w:tcBorders>
                  <w:noWrap w:val="0"/>
                  <w:vAlign w:val="center"/>
                </w:tcPr>
                <w:p w14:paraId="07D5EA3C">
                  <w:pPr>
                    <w:pStyle w:val="3"/>
                    <w:bidi w:val="0"/>
                    <w:ind w:firstLine="0" w:firstLineChars="0"/>
                    <w:rPr>
                      <w:rFonts w:hint="eastAsia" w:ascii="Times New Roman" w:hAnsi="Times New Roman" w:cs="Times New Roman"/>
                      <w:color w:val="auto"/>
                      <w:lang w:eastAsia="zh-CN"/>
                    </w:rPr>
                  </w:pPr>
                  <w:r>
                    <w:rPr>
                      <w:rFonts w:hint="default" w:ascii="Times New Roman" w:hAnsi="Times New Roman" w:cs="Times New Roman"/>
                      <w:color w:val="auto"/>
                      <w:lang w:eastAsia="zh-CN"/>
                    </w:rPr>
                    <w:t>锅炉</w:t>
                  </w:r>
                </w:p>
              </w:tc>
              <w:tc>
                <w:tcPr>
                  <w:tcW w:w="3296" w:type="pct"/>
                  <w:tcBorders>
                    <w:top w:val="single" w:color="auto" w:sz="6" w:space="0"/>
                    <w:left w:val="single" w:color="auto" w:sz="6" w:space="0"/>
                    <w:bottom w:val="single" w:color="auto" w:sz="4" w:space="0"/>
                    <w:right w:val="nil"/>
                  </w:tcBorders>
                  <w:noWrap w:val="0"/>
                  <w:vAlign w:val="center"/>
                </w:tcPr>
                <w:p w14:paraId="78D80D7E">
                  <w:pPr>
                    <w:pStyle w:val="3"/>
                    <w:bidi w:val="0"/>
                    <w:ind w:firstLine="0" w:firstLineChars="0"/>
                    <w:jc w:val="both"/>
                    <w:rPr>
                      <w:rFonts w:hint="default" w:ascii="Times New Roman" w:hAnsi="Times New Roman" w:cs="Times New Roman"/>
                      <w:color w:val="auto"/>
                      <w:lang w:eastAsia="zh-CN"/>
                    </w:rPr>
                  </w:pPr>
                  <w:r>
                    <w:rPr>
                      <w:rFonts w:hint="default" w:ascii="Times New Roman" w:hAnsi="Times New Roman" w:cs="Times New Roman"/>
                      <w:color w:val="auto"/>
                    </w:rPr>
                    <w:t>天然气锅炉</w:t>
                  </w:r>
                  <w:r>
                    <w:rPr>
                      <w:rFonts w:hint="default" w:ascii="Times New Roman" w:hAnsi="Times New Roman" w:cs="Times New Roman"/>
                      <w:color w:val="auto"/>
                      <w:lang w:eastAsia="zh-CN"/>
                    </w:rPr>
                    <w:t>产生废气经低氮燃烧器处理后</w:t>
                  </w:r>
                  <w:r>
                    <w:rPr>
                      <w:rFonts w:hint="default" w:ascii="Times New Roman" w:hAnsi="Times New Roman" w:cs="Times New Roman"/>
                      <w:color w:val="auto"/>
                    </w:rPr>
                    <w:t>经35m高</w:t>
                  </w:r>
                  <w:r>
                    <w:rPr>
                      <w:rFonts w:hint="eastAsia" w:ascii="Times New Roman" w:hAnsi="Times New Roman" w:eastAsia="宋体" w:cs="Times New Roman"/>
                      <w:color w:val="auto"/>
                      <w:lang w:val="en-US" w:eastAsia="zh-CN"/>
                    </w:rPr>
                    <w:t>DA005</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60DBBD1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61E1084B">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59250934">
                  <w:pPr>
                    <w:pStyle w:val="3"/>
                    <w:bidi w:val="0"/>
                    <w:rPr>
                      <w:rFonts w:hint="default" w:ascii="Times New Roman" w:hAnsi="Times New Roman" w:cs="Times New Roman"/>
                      <w:color w:val="auto"/>
                    </w:rPr>
                  </w:pPr>
                </w:p>
              </w:tc>
              <w:tc>
                <w:tcPr>
                  <w:tcW w:w="452" w:type="pct"/>
                  <w:tcBorders>
                    <w:left w:val="single" w:color="auto" w:sz="4" w:space="0"/>
                    <w:right w:val="single" w:color="auto" w:sz="6" w:space="0"/>
                  </w:tcBorders>
                  <w:noWrap w:val="0"/>
                  <w:vAlign w:val="center"/>
                </w:tcPr>
                <w:p w14:paraId="5F850145">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污水处理站</w:t>
                  </w:r>
                </w:p>
              </w:tc>
              <w:tc>
                <w:tcPr>
                  <w:tcW w:w="3296" w:type="pct"/>
                  <w:tcBorders>
                    <w:top w:val="single" w:color="auto" w:sz="6" w:space="0"/>
                    <w:left w:val="single" w:color="auto" w:sz="6" w:space="0"/>
                    <w:bottom w:val="single" w:color="auto" w:sz="4" w:space="0"/>
                    <w:right w:val="nil"/>
                  </w:tcBorders>
                  <w:noWrap w:val="0"/>
                  <w:vAlign w:val="center"/>
                </w:tcPr>
                <w:p w14:paraId="7CF25CBF">
                  <w:pPr>
                    <w:pStyle w:val="3"/>
                    <w:bidi w:val="0"/>
                    <w:ind w:firstLine="0" w:firstLineChars="0"/>
                    <w:jc w:val="both"/>
                    <w:rPr>
                      <w:rFonts w:hint="default" w:ascii="Times New Roman" w:hAnsi="Times New Roman" w:cs="Times New Roman"/>
                      <w:color w:val="auto"/>
                      <w:lang w:val="en-US"/>
                    </w:rPr>
                  </w:pPr>
                  <w:r>
                    <w:rPr>
                      <w:rFonts w:hint="default" w:ascii="Times New Roman" w:hAnsi="Times New Roman" w:cs="Times New Roman"/>
                      <w:color w:val="auto"/>
                      <w:lang w:val="en-US" w:eastAsia="zh-CN"/>
                    </w:rPr>
                    <w:t>污水</w:t>
                  </w:r>
                  <w:r>
                    <w:rPr>
                      <w:rFonts w:hint="eastAsia" w:ascii="Times New Roman" w:hAnsi="Times New Roman" w:cs="Times New Roman"/>
                      <w:color w:val="auto"/>
                      <w:lang w:val="en-US" w:eastAsia="zh-CN"/>
                    </w:rPr>
                    <w:t>处理站各构筑</w:t>
                  </w:r>
                  <w:r>
                    <w:rPr>
                      <w:rFonts w:hint="eastAsia" w:ascii="Times New Roman" w:hAnsi="Times New Roman" w:cs="Times New Roman"/>
                      <w:color w:val="auto"/>
                      <w:highlight w:val="none"/>
                      <w:lang w:val="en-US" w:eastAsia="zh-CN"/>
                    </w:rPr>
                    <w:t>物采用顶部加盖盖板，各构筑物产生的臭气浓度经加盖收集后次氯酸钠+碱液喷淋塔处理后</w:t>
                  </w:r>
                  <w:r>
                    <w:rPr>
                      <w:rFonts w:hint="default" w:ascii="Times New Roman" w:hAnsi="Times New Roman" w:cs="Times New Roman"/>
                      <w:color w:val="auto"/>
                      <w:highlight w:val="none"/>
                      <w:lang w:val="en-US" w:eastAsia="zh-CN"/>
                    </w:rPr>
                    <w:t>，</w:t>
                  </w:r>
                  <w:r>
                    <w:rPr>
                      <w:rFonts w:hint="default" w:ascii="Times New Roman" w:hAnsi="Times New Roman" w:cs="Times New Roman"/>
                      <w:color w:val="auto"/>
                      <w:lang w:val="en-US" w:eastAsia="zh-CN"/>
                    </w:rPr>
                    <w:t>经15m高</w:t>
                  </w:r>
                  <w:r>
                    <w:rPr>
                      <w:rFonts w:hint="eastAsia" w:ascii="Times New Roman" w:hAnsi="Times New Roman" w:cs="Times New Roman"/>
                      <w:color w:val="auto"/>
                      <w:lang w:val="en-US" w:eastAsia="zh-CN"/>
                    </w:rPr>
                    <w:t>DA006</w:t>
                  </w:r>
                  <w:r>
                    <w:rPr>
                      <w:rFonts w:hint="default" w:ascii="Times New Roman" w:hAnsi="Times New Roman" w:cs="Times New Roman"/>
                      <w:color w:val="auto"/>
                      <w:lang w:val="en-US" w:eastAsia="zh-CN"/>
                    </w:rPr>
                    <w:t>排气筒排</w:t>
                  </w:r>
                  <w:r>
                    <w:rPr>
                      <w:rFonts w:hint="eastAsia" w:ascii="Times New Roman" w:hAnsi="Times New Roman" w:cs="Times New Roman"/>
                      <w:color w:val="auto"/>
                      <w:lang w:val="en-US" w:eastAsia="zh-CN"/>
                    </w:rPr>
                    <w:t>。</w:t>
                  </w:r>
                </w:p>
              </w:tc>
            </w:tr>
            <w:tr w14:paraId="13E4A65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587493E">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08B360A6">
                  <w:pPr>
                    <w:pStyle w:val="3"/>
                    <w:bidi w:val="0"/>
                    <w:rPr>
                      <w:rFonts w:hint="default" w:ascii="Times New Roman" w:hAnsi="Times New Roman" w:cs="Times New Roman"/>
                      <w:color w:val="auto"/>
                    </w:rPr>
                  </w:pPr>
                </w:p>
              </w:tc>
              <w:tc>
                <w:tcPr>
                  <w:tcW w:w="452" w:type="pct"/>
                  <w:tcBorders>
                    <w:left w:val="single" w:color="auto" w:sz="4" w:space="0"/>
                    <w:right w:val="single" w:color="auto" w:sz="6" w:space="0"/>
                  </w:tcBorders>
                  <w:noWrap w:val="0"/>
                  <w:vAlign w:val="center"/>
                </w:tcPr>
                <w:p w14:paraId="57313C32">
                  <w:pPr>
                    <w:pStyle w:val="3"/>
                    <w:bidi w:val="0"/>
                    <w:ind w:firstLine="0" w:firstLineChars="0"/>
                    <w:rPr>
                      <w:rFonts w:hint="default" w:ascii="Times New Roman" w:hAnsi="Times New Roman" w:cs="Times New Roman"/>
                      <w:color w:val="auto"/>
                      <w:lang w:eastAsia="zh-CN"/>
                    </w:rPr>
                  </w:pPr>
                  <w:r>
                    <w:rPr>
                      <w:rFonts w:hint="eastAsia" w:ascii="Times New Roman" w:hAnsi="Times New Roman" w:cs="Times New Roman"/>
                      <w:color w:val="auto"/>
                      <w:lang w:eastAsia="zh-CN"/>
                    </w:rPr>
                    <w:t>品控室</w:t>
                  </w:r>
                </w:p>
              </w:tc>
              <w:tc>
                <w:tcPr>
                  <w:tcW w:w="3296" w:type="pct"/>
                  <w:tcBorders>
                    <w:top w:val="single" w:color="auto" w:sz="6" w:space="0"/>
                    <w:left w:val="single" w:color="auto" w:sz="6" w:space="0"/>
                    <w:bottom w:val="single" w:color="auto" w:sz="4" w:space="0"/>
                    <w:right w:val="nil"/>
                  </w:tcBorders>
                  <w:noWrap w:val="0"/>
                  <w:vAlign w:val="center"/>
                </w:tcPr>
                <w:p w14:paraId="5E0B2DD6">
                  <w:pPr>
                    <w:pStyle w:val="3"/>
                    <w:bidi w:val="0"/>
                    <w:ind w:firstLine="0" w:firstLineChars="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品控室</w:t>
                  </w:r>
                  <w:r>
                    <w:rPr>
                      <w:rFonts w:hint="default" w:ascii="Times New Roman" w:hAnsi="Times New Roman" w:cs="Times New Roman"/>
                      <w:color w:val="auto"/>
                      <w:lang w:eastAsia="zh-CN"/>
                    </w:rPr>
                    <w:t>产生的</w:t>
                  </w:r>
                  <w:r>
                    <w:rPr>
                      <w:rFonts w:hint="eastAsia" w:ascii="Times New Roman" w:hAnsi="Times New Roman" w:cs="Times New Roman"/>
                      <w:color w:val="auto"/>
                      <w:lang w:eastAsia="zh-CN"/>
                    </w:rPr>
                    <w:t>废气</w:t>
                  </w:r>
                  <w:r>
                    <w:rPr>
                      <w:rFonts w:hint="default" w:ascii="Times New Roman" w:hAnsi="Times New Roman" w:cs="Times New Roman"/>
                      <w:color w:val="auto"/>
                    </w:rPr>
                    <w:t>通风柜和万向罩收集后</w:t>
                  </w:r>
                  <w:r>
                    <w:rPr>
                      <w:rFonts w:hint="eastAsia" w:ascii="Times New Roman" w:hAnsi="Times New Roman" w:eastAsia="宋体" w:cs="Times New Roman"/>
                      <w:color w:val="auto"/>
                      <w:lang w:eastAsia="zh-CN"/>
                    </w:rPr>
                    <w:t>采用</w:t>
                  </w:r>
                  <w:r>
                    <w:rPr>
                      <w:rFonts w:hint="default" w:ascii="Times New Roman" w:hAnsi="Times New Roman" w:cs="Times New Roman"/>
                      <w:color w:val="auto"/>
                    </w:rPr>
                    <w:t>活性炭吸附处理，</w:t>
                  </w:r>
                  <w:r>
                    <w:rPr>
                      <w:rFonts w:hint="eastAsia" w:ascii="Times New Roman" w:hAnsi="Times New Roman" w:eastAsia="宋体" w:cs="Times New Roman"/>
                      <w:color w:val="auto"/>
                      <w:lang w:eastAsia="zh-CN"/>
                    </w:rPr>
                    <w:t>最后</w:t>
                  </w:r>
                  <w:r>
                    <w:rPr>
                      <w:rFonts w:hint="default" w:ascii="Times New Roman" w:hAnsi="Times New Roman" w:cs="Times New Roman"/>
                      <w:color w:val="auto"/>
                    </w:rPr>
                    <w:t>通过1</w:t>
                  </w:r>
                  <w:r>
                    <w:rPr>
                      <w:rFonts w:hint="eastAsia" w:ascii="Times New Roman" w:hAnsi="Times New Roman" w:cs="Times New Roman"/>
                      <w:color w:val="auto"/>
                      <w:lang w:val="en-US" w:eastAsia="zh-CN"/>
                    </w:rPr>
                    <w:t>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DA007、DA008</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75E4757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820DD35">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40198C3D">
                  <w:pPr>
                    <w:pStyle w:val="3"/>
                    <w:bidi w:val="0"/>
                    <w:rPr>
                      <w:rFonts w:hint="default" w:ascii="Times New Roman" w:hAnsi="Times New Roman" w:cs="Times New Roman"/>
                      <w:color w:val="auto"/>
                    </w:rPr>
                  </w:pPr>
                </w:p>
              </w:tc>
              <w:tc>
                <w:tcPr>
                  <w:tcW w:w="452" w:type="pct"/>
                  <w:tcBorders>
                    <w:left w:val="single" w:color="auto" w:sz="4" w:space="0"/>
                    <w:right w:val="single" w:color="auto" w:sz="6" w:space="0"/>
                  </w:tcBorders>
                  <w:noWrap w:val="0"/>
                  <w:vAlign w:val="center"/>
                </w:tcPr>
                <w:p w14:paraId="356C4E89">
                  <w:pPr>
                    <w:pStyle w:val="3"/>
                    <w:bidi w:val="0"/>
                    <w:ind w:firstLine="0" w:firstLineChars="0"/>
                    <w:rPr>
                      <w:rFonts w:hint="eastAsia" w:ascii="Times New Roman" w:hAnsi="Times New Roman" w:cs="Times New Roman"/>
                      <w:color w:val="auto"/>
                      <w:lang w:eastAsia="zh-CN"/>
                    </w:rPr>
                  </w:pPr>
                  <w:r>
                    <w:rPr>
                      <w:rFonts w:hint="default" w:ascii="Times New Roman" w:hAnsi="Times New Roman" w:cs="Times New Roman"/>
                      <w:color w:val="auto"/>
                      <w:lang w:eastAsia="zh-CN"/>
                    </w:rPr>
                    <w:t>包装车间</w:t>
                  </w:r>
                </w:p>
              </w:tc>
              <w:tc>
                <w:tcPr>
                  <w:tcW w:w="3296" w:type="pct"/>
                  <w:tcBorders>
                    <w:top w:val="single" w:color="auto" w:sz="6" w:space="0"/>
                    <w:left w:val="single" w:color="auto" w:sz="6" w:space="0"/>
                    <w:bottom w:val="single" w:color="auto" w:sz="4" w:space="0"/>
                    <w:right w:val="nil"/>
                  </w:tcBorders>
                  <w:noWrap w:val="0"/>
                  <w:vAlign w:val="center"/>
                </w:tcPr>
                <w:p w14:paraId="46DD8601">
                  <w:pPr>
                    <w:pStyle w:val="3"/>
                    <w:bidi w:val="0"/>
                    <w:ind w:firstLine="0" w:firstLineChars="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吹瓶</w:t>
                  </w:r>
                  <w:r>
                    <w:rPr>
                      <w:rFonts w:hint="eastAsia" w:ascii="Times New Roman" w:hAnsi="Times New Roman" w:eastAsia="宋体" w:cs="Times New Roman"/>
                      <w:color w:val="auto"/>
                      <w:lang w:eastAsia="zh-CN"/>
                    </w:rPr>
                    <w:t>工序</w:t>
                  </w:r>
                  <w:r>
                    <w:rPr>
                      <w:rFonts w:hint="default" w:ascii="Times New Roman" w:hAnsi="Times New Roman" w:cs="Times New Roman"/>
                      <w:color w:val="auto"/>
                      <w:lang w:eastAsia="zh-CN"/>
                    </w:rPr>
                    <w:t>产生的非甲烷总烃</w:t>
                  </w:r>
                  <w:r>
                    <w:rPr>
                      <w:rFonts w:hint="default" w:ascii="Times New Roman" w:hAnsi="Times New Roman" w:cs="Times New Roman"/>
                      <w:color w:val="auto"/>
                    </w:rPr>
                    <w:t>收集后经</w:t>
                  </w:r>
                  <w:r>
                    <w:rPr>
                      <w:rFonts w:hint="default" w:ascii="Times New Roman" w:hAnsi="Times New Roman" w:cs="Times New Roman"/>
                      <w:color w:val="auto"/>
                      <w:lang w:eastAsia="zh-CN"/>
                    </w:rPr>
                    <w:t>活</w:t>
                  </w:r>
                  <w:r>
                    <w:rPr>
                      <w:rFonts w:hint="default" w:ascii="Times New Roman" w:hAnsi="Times New Roman" w:cs="Times New Roman"/>
                      <w:color w:val="auto"/>
                    </w:rPr>
                    <w:t>性炭吸附处理后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15m高</w:t>
                  </w:r>
                  <w:r>
                    <w:rPr>
                      <w:rFonts w:hint="eastAsia" w:ascii="Times New Roman" w:hAnsi="Times New Roman" w:eastAsia="宋体" w:cs="Times New Roman"/>
                      <w:color w:val="auto"/>
                      <w:lang w:val="en-US" w:eastAsia="zh-CN"/>
                    </w:rPr>
                    <w:t>DA009</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03F3408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505C451">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7F7E1D65">
                  <w:pPr>
                    <w:pStyle w:val="3"/>
                    <w:bidi w:val="0"/>
                    <w:rPr>
                      <w:rFonts w:hint="default" w:ascii="Times New Roman" w:hAnsi="Times New Roman" w:cs="Times New Roman"/>
                      <w:color w:val="auto"/>
                    </w:rPr>
                  </w:pPr>
                </w:p>
              </w:tc>
              <w:tc>
                <w:tcPr>
                  <w:tcW w:w="452" w:type="pct"/>
                  <w:vMerge w:val="restart"/>
                  <w:tcBorders>
                    <w:top w:val="single" w:color="auto" w:sz="4" w:space="0"/>
                    <w:left w:val="single" w:color="auto" w:sz="4" w:space="0"/>
                    <w:right w:val="single" w:color="auto" w:sz="6" w:space="0"/>
                  </w:tcBorders>
                  <w:noWrap w:val="0"/>
                  <w:vAlign w:val="center"/>
                </w:tcPr>
                <w:p w14:paraId="71C5C350">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预处理车间</w:t>
                  </w:r>
                </w:p>
              </w:tc>
              <w:tc>
                <w:tcPr>
                  <w:tcW w:w="3296" w:type="pct"/>
                  <w:tcBorders>
                    <w:top w:val="single" w:color="auto" w:sz="4" w:space="0"/>
                    <w:left w:val="single" w:color="auto" w:sz="6" w:space="0"/>
                    <w:bottom w:val="single" w:color="auto" w:sz="6" w:space="0"/>
                    <w:right w:val="nil"/>
                  </w:tcBorders>
                  <w:noWrap w:val="0"/>
                  <w:vAlign w:val="center"/>
                </w:tcPr>
                <w:p w14:paraId="649D0FA7">
                  <w:pPr>
                    <w:pStyle w:val="3"/>
                    <w:bidi w:val="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称量、</w:t>
                  </w:r>
                  <w:r>
                    <w:rPr>
                      <w:rFonts w:hint="default" w:ascii="Times New Roman" w:hAnsi="Times New Roman" w:cs="Times New Roman"/>
                      <w:color w:val="auto"/>
                    </w:rPr>
                    <w:t>振动清理</w:t>
                  </w:r>
                  <w:r>
                    <w:rPr>
                      <w:rFonts w:hint="eastAsia" w:ascii="Times New Roman" w:hAnsi="Times New Roman" w:eastAsia="宋体" w:cs="Times New Roman"/>
                      <w:color w:val="auto"/>
                      <w:lang w:eastAsia="zh-CN"/>
                    </w:rPr>
                    <w:t>工序</w:t>
                  </w:r>
                  <w:r>
                    <w:rPr>
                      <w:rFonts w:hint="default" w:ascii="Times New Roman" w:hAnsi="Times New Roman" w:cs="Times New Roman"/>
                      <w:color w:val="auto"/>
                    </w:rPr>
                    <w:t>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w:t>
                  </w:r>
                  <w:r>
                    <w:rPr>
                      <w:rFonts w:hint="eastAsia" w:ascii="Times New Roman" w:hAnsi="Times New Roman" w:eastAsia="宋体" w:cs="Times New Roman"/>
                      <w:color w:val="auto"/>
                      <w:lang w:eastAsia="zh-CN"/>
                    </w:rPr>
                    <w:t>通过</w:t>
                  </w:r>
                  <w:r>
                    <w:rPr>
                      <w:rFonts w:hint="eastAsia" w:ascii="Times New Roman" w:hAnsi="Times New Roman" w:eastAsia="宋体" w:cs="Times New Roman"/>
                      <w:color w:val="auto"/>
                      <w:lang w:val="en-US" w:eastAsia="zh-CN"/>
                    </w:rPr>
                    <w:t>25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DA011</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0B7839A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AF967E5">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24541FDF">
                  <w:pPr>
                    <w:pStyle w:val="3"/>
                    <w:bidi w:val="0"/>
                    <w:rPr>
                      <w:rFonts w:hint="default" w:ascii="Times New Roman" w:hAnsi="Times New Roman" w:cs="Times New Roman"/>
                      <w:color w:val="auto"/>
                    </w:rPr>
                  </w:pPr>
                </w:p>
              </w:tc>
              <w:tc>
                <w:tcPr>
                  <w:tcW w:w="452" w:type="pct"/>
                  <w:vMerge w:val="continue"/>
                  <w:tcBorders>
                    <w:left w:val="single" w:color="auto" w:sz="4" w:space="0"/>
                    <w:right w:val="single" w:color="auto" w:sz="6" w:space="0"/>
                  </w:tcBorders>
                  <w:noWrap w:val="0"/>
                  <w:vAlign w:val="center"/>
                </w:tcPr>
                <w:p w14:paraId="1C84AB95">
                  <w:pPr>
                    <w:pStyle w:val="3"/>
                    <w:bidi w:val="0"/>
                    <w:rPr>
                      <w:rFonts w:hint="default" w:ascii="Times New Roman" w:hAnsi="Times New Roman" w:cs="Times New Roman"/>
                      <w:color w:val="auto"/>
                    </w:rPr>
                  </w:pPr>
                </w:p>
              </w:tc>
              <w:tc>
                <w:tcPr>
                  <w:tcW w:w="3296" w:type="pct"/>
                  <w:tcBorders>
                    <w:top w:val="single" w:color="auto" w:sz="6" w:space="0"/>
                    <w:left w:val="single" w:color="auto" w:sz="6" w:space="0"/>
                    <w:bottom w:val="single" w:color="auto" w:sz="6" w:space="0"/>
                    <w:right w:val="nil"/>
                  </w:tcBorders>
                  <w:noWrap w:val="0"/>
                  <w:vAlign w:val="center"/>
                </w:tcPr>
                <w:p w14:paraId="64863754">
                  <w:pPr>
                    <w:pStyle w:val="3"/>
                    <w:bidi w:val="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大豆在调质前初步脱皮</w:t>
                  </w:r>
                  <w:r>
                    <w:rPr>
                      <w:rFonts w:hint="eastAsia" w:ascii="Times New Roman" w:hAnsi="Times New Roman" w:eastAsia="宋体" w:cs="Times New Roman"/>
                      <w:color w:val="auto"/>
                      <w:lang w:eastAsia="zh-CN"/>
                    </w:rPr>
                    <w:t>、大豆脱皮、大豆粉碎、筛分豆粕和细料、粉碎豆皮</w:t>
                  </w:r>
                  <w:r>
                    <w:rPr>
                      <w:rFonts w:hint="eastAsia" w:ascii="Times New Roman" w:hAnsi="Times New Roman" w:eastAsia="宋体" w:cs="Times New Roman"/>
                      <w:color w:val="auto"/>
                      <w:highlight w:val="none"/>
                      <w:lang w:eastAsia="zh-CN"/>
                    </w:rPr>
                    <w:t>、</w:t>
                  </w:r>
                  <w:r>
                    <w:rPr>
                      <w:rFonts w:hint="default" w:ascii="Times New Roman" w:hAnsi="Times New Roman" w:cs="Times New Roman"/>
                      <w:color w:val="auto"/>
                      <w:kern w:val="0"/>
                      <w:sz w:val="21"/>
                      <w:szCs w:val="21"/>
                      <w:highlight w:val="none"/>
                    </w:rPr>
                    <w:t>豆粕筛分粗料重新粉碎</w:t>
                  </w:r>
                  <w:r>
                    <w:rPr>
                      <w:rFonts w:hint="eastAsia" w:ascii="Times New Roman" w:hAnsi="Times New Roman" w:eastAsia="宋体" w:cs="Times New Roman"/>
                      <w:color w:val="auto"/>
                      <w:kern w:val="0"/>
                      <w:sz w:val="21"/>
                      <w:szCs w:val="21"/>
                      <w:highlight w:val="none"/>
                      <w:lang w:eastAsia="zh-CN"/>
                    </w:rPr>
                    <w:t>、</w:t>
                  </w:r>
                  <w:r>
                    <w:rPr>
                      <w:rFonts w:hint="default" w:ascii="Times New Roman" w:hAnsi="Times New Roman" w:cs="Times New Roman"/>
                      <w:color w:val="auto"/>
                      <w:kern w:val="0"/>
                      <w:sz w:val="21"/>
                      <w:szCs w:val="21"/>
                      <w:highlight w:val="none"/>
                    </w:rPr>
                    <w:t>粉碎豆粕</w:t>
                  </w:r>
                  <w:r>
                    <w:rPr>
                      <w:rFonts w:hint="eastAsia" w:ascii="Times New Roman" w:hAnsi="Times New Roman" w:eastAsia="宋体" w:cs="Times New Roman"/>
                      <w:color w:val="auto"/>
                      <w:highlight w:val="none"/>
                      <w:lang w:eastAsia="zh-CN"/>
                    </w:rPr>
                    <w:t>工序</w:t>
                  </w:r>
                  <w:r>
                    <w:rPr>
                      <w:rFonts w:hint="default" w:ascii="Times New Roman" w:hAnsi="Times New Roman" w:cs="Times New Roman"/>
                      <w:color w:val="auto"/>
                      <w:highlight w:val="none"/>
                    </w:rPr>
                    <w:t>中产生的</w:t>
                  </w:r>
                  <w:r>
                    <w:rPr>
                      <w:rFonts w:hint="default" w:ascii="Times New Roman" w:hAnsi="Times New Roman" w:cs="Times New Roman"/>
                      <w:color w:val="auto"/>
                      <w:highlight w:val="none"/>
                      <w:lang w:eastAsia="zh-CN"/>
                    </w:rPr>
                    <w:t>颗粒物</w:t>
                  </w:r>
                  <w:r>
                    <w:rPr>
                      <w:rFonts w:hint="default" w:ascii="Times New Roman" w:hAnsi="Times New Roman" w:cs="Times New Roman"/>
                      <w:color w:val="auto"/>
                      <w:highlight w:val="none"/>
                    </w:rPr>
                    <w:t>经</w:t>
                  </w:r>
                  <w:r>
                    <w:rPr>
                      <w:rFonts w:hint="default" w:ascii="Times New Roman" w:hAnsi="Times New Roman" w:cs="Times New Roman"/>
                      <w:color w:val="auto"/>
                    </w:rPr>
                    <w:t>旋风除尘器</w:t>
                  </w:r>
                  <w:r>
                    <w:rPr>
                      <w:rFonts w:hint="eastAsia" w:ascii="Times New Roman" w:hAnsi="Times New Roman" w:eastAsia="宋体" w:cs="Times New Roman"/>
                      <w:color w:val="auto"/>
                      <w:lang w:val="en-US" w:eastAsia="zh-CN"/>
                    </w:rPr>
                    <w:t>+滤筒除尘器</w:t>
                  </w:r>
                  <w:r>
                    <w:rPr>
                      <w:rFonts w:hint="default" w:ascii="Times New Roman" w:hAnsi="Times New Roman" w:cs="Times New Roman"/>
                      <w:color w:val="auto"/>
                    </w:rPr>
                    <w:t>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2</w:t>
                  </w: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DA012</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032FF35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705" w:type="pct"/>
                  <w:vMerge w:val="continue"/>
                  <w:tcBorders>
                    <w:left w:val="nil"/>
                    <w:right w:val="single" w:color="auto" w:sz="6" w:space="0"/>
                  </w:tcBorders>
                  <w:noWrap w:val="0"/>
                  <w:vAlign w:val="center"/>
                </w:tcPr>
                <w:p w14:paraId="6EED4D3C">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561F8E97">
                  <w:pPr>
                    <w:pStyle w:val="3"/>
                    <w:bidi w:val="0"/>
                    <w:rPr>
                      <w:rFonts w:hint="default" w:ascii="Times New Roman" w:hAnsi="Times New Roman" w:cs="Times New Roman"/>
                      <w:color w:val="auto"/>
                    </w:rPr>
                  </w:pPr>
                </w:p>
              </w:tc>
              <w:tc>
                <w:tcPr>
                  <w:tcW w:w="452" w:type="pct"/>
                  <w:vMerge w:val="continue"/>
                  <w:tcBorders>
                    <w:left w:val="single" w:color="auto" w:sz="4" w:space="0"/>
                    <w:right w:val="single" w:color="auto" w:sz="6" w:space="0"/>
                  </w:tcBorders>
                  <w:noWrap w:val="0"/>
                  <w:vAlign w:val="center"/>
                </w:tcPr>
                <w:p w14:paraId="48E3A745">
                  <w:pPr>
                    <w:pStyle w:val="3"/>
                    <w:bidi w:val="0"/>
                    <w:rPr>
                      <w:rFonts w:hint="default" w:ascii="Times New Roman" w:hAnsi="Times New Roman" w:cs="Times New Roman"/>
                      <w:color w:val="auto"/>
                    </w:rPr>
                  </w:pPr>
                </w:p>
              </w:tc>
              <w:tc>
                <w:tcPr>
                  <w:tcW w:w="3296" w:type="pct"/>
                  <w:tcBorders>
                    <w:top w:val="single" w:color="auto" w:sz="6" w:space="0"/>
                    <w:left w:val="single" w:color="auto" w:sz="6" w:space="0"/>
                    <w:bottom w:val="single" w:color="auto" w:sz="6" w:space="0"/>
                    <w:right w:val="nil"/>
                  </w:tcBorders>
                  <w:noWrap w:val="0"/>
                  <w:vAlign w:val="center"/>
                </w:tcPr>
                <w:p w14:paraId="3CC91253">
                  <w:pPr>
                    <w:pStyle w:val="3"/>
                    <w:bidi w:val="0"/>
                    <w:jc w:val="both"/>
                    <w:rPr>
                      <w:rFonts w:hint="eastAsia" w:ascii="Times New Roman" w:hAnsi="Times New Roman" w:eastAsia="宋体" w:cs="Times New Roman"/>
                      <w:color w:val="auto"/>
                      <w:lang w:eastAsia="zh-CN"/>
                    </w:rPr>
                  </w:pPr>
                  <w:r>
                    <w:rPr>
                      <w:rFonts w:hint="default" w:ascii="Times New Roman" w:hAnsi="Times New Roman" w:cs="Times New Roman"/>
                      <w:color w:val="auto"/>
                    </w:rPr>
                    <w:t>大豆调</w:t>
                  </w:r>
                  <w:r>
                    <w:rPr>
                      <w:rFonts w:hint="default" w:ascii="Times New Roman" w:hAnsi="Times New Roman" w:cs="Times New Roman"/>
                      <w:color w:val="auto"/>
                      <w:lang w:eastAsia="zh-CN"/>
                    </w:rPr>
                    <w:t>质</w:t>
                  </w:r>
                  <w:r>
                    <w:rPr>
                      <w:rFonts w:hint="eastAsia" w:ascii="Times New Roman" w:hAnsi="Times New Roman" w:eastAsia="宋体" w:cs="Times New Roman"/>
                      <w:color w:val="auto"/>
                      <w:lang w:eastAsia="zh-CN"/>
                    </w:rPr>
                    <w:t>、轧制胚片、膨化冷却胚片工序</w:t>
                  </w:r>
                  <w:r>
                    <w:rPr>
                      <w:rFonts w:hint="default" w:ascii="Times New Roman" w:hAnsi="Times New Roman" w:cs="Times New Roman"/>
                      <w:color w:val="auto"/>
                    </w:rPr>
                    <w:t>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经旋风除尘器</w:t>
                  </w:r>
                  <w:r>
                    <w:rPr>
                      <w:rFonts w:hint="eastAsia" w:ascii="Times New Roman" w:hAnsi="Times New Roman" w:eastAsia="宋体" w:cs="Times New Roman"/>
                      <w:color w:val="auto"/>
                      <w:lang w:val="en-US" w:eastAsia="zh-CN"/>
                    </w:rPr>
                    <w:t>+多效气混药捕塔</w:t>
                  </w:r>
                  <w:r>
                    <w:rPr>
                      <w:rFonts w:hint="default" w:ascii="Times New Roman" w:hAnsi="Times New Roman" w:cs="Times New Roman"/>
                      <w:color w:val="auto"/>
                    </w:rPr>
                    <w:t>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2</w:t>
                  </w: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DA013</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13A644F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705" w:type="pct"/>
                  <w:vMerge w:val="continue"/>
                  <w:tcBorders>
                    <w:left w:val="nil"/>
                    <w:right w:val="single" w:color="auto" w:sz="6" w:space="0"/>
                  </w:tcBorders>
                  <w:noWrap w:val="0"/>
                  <w:vAlign w:val="center"/>
                </w:tcPr>
                <w:p w14:paraId="11C85AF8">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586A9882">
                  <w:pPr>
                    <w:pStyle w:val="3"/>
                    <w:bidi w:val="0"/>
                    <w:rPr>
                      <w:rFonts w:hint="default" w:ascii="Times New Roman" w:hAnsi="Times New Roman" w:cs="Times New Roman"/>
                      <w:color w:val="auto"/>
                    </w:rPr>
                  </w:pPr>
                </w:p>
              </w:tc>
              <w:tc>
                <w:tcPr>
                  <w:tcW w:w="452" w:type="pct"/>
                  <w:vMerge w:val="restart"/>
                  <w:tcBorders>
                    <w:top w:val="single" w:color="auto" w:sz="6" w:space="0"/>
                    <w:left w:val="single" w:color="auto" w:sz="4" w:space="0"/>
                    <w:right w:val="single" w:color="auto" w:sz="6" w:space="0"/>
                  </w:tcBorders>
                  <w:noWrap w:val="0"/>
                  <w:vAlign w:val="center"/>
                </w:tcPr>
                <w:p w14:paraId="3930BEF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浸出车间</w:t>
                  </w:r>
                </w:p>
              </w:tc>
              <w:tc>
                <w:tcPr>
                  <w:tcW w:w="3296" w:type="pct"/>
                  <w:tcBorders>
                    <w:top w:val="single" w:color="auto" w:sz="6" w:space="0"/>
                    <w:left w:val="single" w:color="auto" w:sz="6" w:space="0"/>
                    <w:bottom w:val="single" w:color="auto" w:sz="6" w:space="0"/>
                    <w:right w:val="nil"/>
                  </w:tcBorders>
                  <w:noWrap w:val="0"/>
                  <w:vAlign w:val="center"/>
                </w:tcPr>
                <w:p w14:paraId="704417A3">
                  <w:pPr>
                    <w:pStyle w:val="3"/>
                    <w:bidi w:val="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highlight w:val="none"/>
                      <w:lang w:eastAsia="zh-CN"/>
                    </w:rPr>
                    <w:t>浸出工序、脱溶工序（冷凝器</w:t>
                  </w:r>
                  <w:r>
                    <w:rPr>
                      <w:rFonts w:hint="default" w:ascii="Times New Roman" w:hAnsi="Times New Roman" w:cs="Times New Roman"/>
                      <w:color w:val="auto"/>
                      <w:highlight w:val="none"/>
                    </w:rPr>
                    <w:t>未被冷凝的含正己烷的尾气</w:t>
                  </w:r>
                  <w:r>
                    <w:rPr>
                      <w:rFonts w:hint="eastAsia" w:ascii="Times New Roman" w:hAnsi="Times New Roman" w:eastAsia="宋体" w:cs="Times New Roman"/>
                      <w:color w:val="auto"/>
                      <w:highlight w:val="none"/>
                      <w:lang w:eastAsia="zh-CN"/>
                    </w:rPr>
                    <w:t>）产生非甲烷总烃</w:t>
                  </w:r>
                  <w:r>
                    <w:rPr>
                      <w:rFonts w:hint="default" w:ascii="Times New Roman" w:hAnsi="Times New Roman" w:cs="Times New Roman"/>
                      <w:color w:val="auto"/>
                      <w:highlight w:val="none"/>
                    </w:rPr>
                    <w:t>经</w:t>
                  </w:r>
                  <w:r>
                    <w:rPr>
                      <w:rFonts w:hint="eastAsia" w:ascii="Times New Roman" w:hAnsi="Times New Roman" w:eastAsia="宋体" w:cs="Times New Roman"/>
                      <w:color w:val="auto"/>
                      <w:highlight w:val="none"/>
                      <w:lang w:eastAsia="zh-CN"/>
                    </w:rPr>
                    <w:t>冷凝回收</w:t>
                  </w:r>
                  <w:r>
                    <w:rPr>
                      <w:rFonts w:hint="eastAsia" w:ascii="Times New Roman" w:hAnsi="Times New Roman" w:cs="Times New Roman"/>
                      <w:color w:val="auto"/>
                      <w:highlight w:val="none"/>
                      <w:lang w:val="en-US" w:eastAsia="zh-CN"/>
                    </w:rPr>
                    <w:t>+碱液喷淋塔处理</w:t>
                  </w:r>
                  <w:r>
                    <w:rPr>
                      <w:rFonts w:hint="default" w:ascii="Times New Roman" w:hAnsi="Times New Roman" w:cs="Times New Roman"/>
                      <w:color w:val="auto"/>
                      <w:highlight w:val="none"/>
                      <w:lang w:eastAsia="zh-CN"/>
                    </w:rPr>
                    <w:t>后</w:t>
                  </w:r>
                  <w:r>
                    <w:rPr>
                      <w:rFonts w:hint="default" w:ascii="Times New Roman" w:hAnsi="Times New Roman" w:cs="Times New Roman"/>
                      <w:color w:val="auto"/>
                      <w:highlight w:val="none"/>
                    </w:rPr>
                    <w:t>经20m高</w:t>
                  </w:r>
                  <w:r>
                    <w:rPr>
                      <w:rFonts w:hint="eastAsia" w:ascii="Times New Roman" w:hAnsi="Times New Roman" w:eastAsia="宋体" w:cs="Times New Roman"/>
                      <w:color w:val="auto"/>
                      <w:highlight w:val="none"/>
                      <w:lang w:val="en-US" w:eastAsia="zh-CN"/>
                    </w:rPr>
                    <w:t>DA014</w:t>
                  </w:r>
                  <w:r>
                    <w:rPr>
                      <w:rFonts w:hint="default" w:ascii="Times New Roman" w:hAnsi="Times New Roman" w:cs="Times New Roman"/>
                      <w:color w:val="auto"/>
                      <w:highlight w:val="none"/>
                    </w:rPr>
                    <w:t>排气筒</w:t>
                  </w:r>
                  <w:r>
                    <w:rPr>
                      <w:rFonts w:hint="eastAsia" w:ascii="Times New Roman" w:hAnsi="Times New Roman" w:eastAsia="宋体" w:cs="Times New Roman"/>
                      <w:color w:val="auto"/>
                      <w:highlight w:val="none"/>
                      <w:lang w:eastAsia="zh-CN"/>
                    </w:rPr>
                    <w:t>排放。</w:t>
                  </w:r>
                </w:p>
              </w:tc>
            </w:tr>
            <w:tr w14:paraId="4978E13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766F922">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70D73745">
                  <w:pPr>
                    <w:pStyle w:val="3"/>
                    <w:bidi w:val="0"/>
                    <w:rPr>
                      <w:rFonts w:hint="default" w:ascii="Times New Roman" w:hAnsi="Times New Roman" w:cs="Times New Roman"/>
                      <w:color w:val="auto"/>
                    </w:rPr>
                  </w:pPr>
                </w:p>
              </w:tc>
              <w:tc>
                <w:tcPr>
                  <w:tcW w:w="452" w:type="pct"/>
                  <w:vMerge w:val="continue"/>
                  <w:tcBorders>
                    <w:left w:val="single" w:color="auto" w:sz="4" w:space="0"/>
                    <w:right w:val="single" w:color="auto" w:sz="6" w:space="0"/>
                  </w:tcBorders>
                  <w:noWrap w:val="0"/>
                  <w:vAlign w:val="center"/>
                </w:tcPr>
                <w:p w14:paraId="21165926">
                  <w:pPr>
                    <w:pStyle w:val="3"/>
                    <w:bidi w:val="0"/>
                    <w:rPr>
                      <w:rFonts w:hint="default" w:ascii="Times New Roman" w:hAnsi="Times New Roman" w:cs="Times New Roman"/>
                      <w:color w:val="auto"/>
                    </w:rPr>
                  </w:pPr>
                </w:p>
              </w:tc>
              <w:tc>
                <w:tcPr>
                  <w:tcW w:w="3296" w:type="pct"/>
                  <w:tcBorders>
                    <w:top w:val="single" w:color="auto" w:sz="6" w:space="0"/>
                    <w:left w:val="single" w:color="auto" w:sz="6" w:space="0"/>
                    <w:bottom w:val="single" w:color="auto" w:sz="6" w:space="0"/>
                    <w:right w:val="nil"/>
                  </w:tcBorders>
                  <w:noWrap w:val="0"/>
                  <w:vAlign w:val="center"/>
                </w:tcPr>
                <w:p w14:paraId="61BC5033">
                  <w:pPr>
                    <w:pStyle w:val="3"/>
                    <w:bidi w:val="0"/>
                    <w:jc w:val="both"/>
                    <w:rPr>
                      <w:rFonts w:hint="eastAsia" w:ascii="Times New Roman" w:hAnsi="Times New Roman" w:eastAsia="宋体" w:cs="Times New Roman"/>
                      <w:color w:val="auto"/>
                      <w:lang w:val="en-US" w:eastAsia="zh-CN"/>
                    </w:rPr>
                  </w:pPr>
                  <w:r>
                    <w:rPr>
                      <w:rFonts w:hint="default" w:ascii="Times New Roman" w:hAnsi="Times New Roman" w:cs="Times New Roman"/>
                      <w:color w:val="auto"/>
                    </w:rPr>
                    <w:t>豆粕</w:t>
                  </w:r>
                  <w:r>
                    <w:rPr>
                      <w:rFonts w:hint="default" w:ascii="Times New Roman" w:hAnsi="Times New Roman" w:cs="Times New Roman"/>
                      <w:color w:val="auto"/>
                      <w:lang w:eastAsia="zh-CN"/>
                    </w:rPr>
                    <w:t>干燥冷却工序</w:t>
                  </w:r>
                  <w:r>
                    <w:rPr>
                      <w:rFonts w:hint="default" w:ascii="Times New Roman" w:hAnsi="Times New Roman" w:cs="Times New Roman"/>
                      <w:color w:val="auto"/>
                    </w:rPr>
                    <w:t>产生</w:t>
                  </w:r>
                  <w:r>
                    <w:rPr>
                      <w:rFonts w:hint="default" w:ascii="Times New Roman" w:hAnsi="Times New Roman" w:cs="Times New Roman"/>
                      <w:color w:val="auto"/>
                      <w:lang w:eastAsia="zh-CN"/>
                    </w:rPr>
                    <w:t>颗粒物</w:t>
                  </w:r>
                  <w:r>
                    <w:rPr>
                      <w:rFonts w:hint="eastAsia" w:ascii="Times New Roman" w:hAnsi="Times New Roman" w:cs="Times New Roman"/>
                      <w:color w:val="auto"/>
                      <w:lang w:eastAsia="zh-CN"/>
                    </w:rPr>
                    <w:t>采用“</w:t>
                  </w:r>
                  <w:r>
                    <w:rPr>
                      <w:rFonts w:hint="default" w:ascii="Times New Roman" w:hAnsi="Times New Roman" w:cs="Times New Roman"/>
                      <w:color w:val="auto"/>
                    </w:rPr>
                    <w:t>旋风除尘器</w:t>
                  </w:r>
                  <w:r>
                    <w:rPr>
                      <w:rFonts w:hint="eastAsia" w:ascii="Times New Roman" w:hAnsi="Times New Roman" w:cs="Times New Roman"/>
                      <w:color w:val="auto"/>
                      <w:lang w:eastAsia="zh-CN"/>
                    </w:rPr>
                    <w:t>”</w:t>
                  </w:r>
                  <w:r>
                    <w:rPr>
                      <w:rFonts w:hint="default" w:ascii="Times New Roman" w:hAnsi="Times New Roman" w:cs="Times New Roman"/>
                      <w:color w:val="auto"/>
                    </w:rPr>
                    <w:t>处理后，经20m高</w:t>
                  </w:r>
                  <w:r>
                    <w:rPr>
                      <w:rFonts w:hint="eastAsia" w:ascii="Times New Roman" w:hAnsi="Times New Roman" w:eastAsia="宋体" w:cs="Times New Roman"/>
                      <w:color w:val="auto"/>
                      <w:lang w:val="en-US" w:eastAsia="zh-CN"/>
                    </w:rPr>
                    <w:t>DA014</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4098AB1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707DBCE0">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7CC1C8B1">
                  <w:pPr>
                    <w:pStyle w:val="3"/>
                    <w:bidi w:val="0"/>
                    <w:rPr>
                      <w:rFonts w:hint="default" w:ascii="Times New Roman" w:hAnsi="Times New Roman" w:cs="Times New Roman"/>
                      <w:color w:val="auto"/>
                    </w:rPr>
                  </w:pPr>
                </w:p>
              </w:tc>
              <w:tc>
                <w:tcPr>
                  <w:tcW w:w="452" w:type="pct"/>
                  <w:vMerge w:val="restart"/>
                  <w:tcBorders>
                    <w:top w:val="single" w:color="auto" w:sz="6" w:space="0"/>
                    <w:left w:val="single" w:color="auto" w:sz="4" w:space="0"/>
                    <w:right w:val="single" w:color="auto" w:sz="6" w:space="0"/>
                  </w:tcBorders>
                  <w:noWrap w:val="0"/>
                  <w:vAlign w:val="center"/>
                </w:tcPr>
                <w:p w14:paraId="274A9BCD">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散粕筒仓</w:t>
                  </w:r>
                </w:p>
              </w:tc>
              <w:tc>
                <w:tcPr>
                  <w:tcW w:w="3296" w:type="pct"/>
                  <w:tcBorders>
                    <w:top w:val="single" w:color="auto" w:sz="6" w:space="0"/>
                    <w:left w:val="single" w:color="auto" w:sz="6" w:space="0"/>
                    <w:bottom w:val="single" w:color="auto" w:sz="6" w:space="0"/>
                    <w:right w:val="nil"/>
                  </w:tcBorders>
                  <w:noWrap w:val="0"/>
                  <w:vAlign w:val="center"/>
                </w:tcPr>
                <w:p w14:paraId="53F7DDE9">
                  <w:pPr>
                    <w:pStyle w:val="3"/>
                    <w:bidi w:val="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豆粕出仓、</w:t>
                  </w:r>
                  <w:r>
                    <w:rPr>
                      <w:rFonts w:hint="default" w:ascii="Times New Roman" w:hAnsi="Times New Roman" w:cs="Times New Roman"/>
                      <w:color w:val="auto"/>
                    </w:rPr>
                    <w:t>装车过程中产生的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经布袋除尘器处理后，经</w:t>
                  </w:r>
                  <w:r>
                    <w:rPr>
                      <w:rFonts w:hint="eastAsia" w:ascii="Times New Roman" w:hAnsi="Times New Roman" w:eastAsia="宋体" w:cs="Times New Roman"/>
                      <w:color w:val="auto"/>
                      <w:lang w:val="en-US" w:eastAsia="zh-CN"/>
                    </w:rPr>
                    <w:t>25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DA015</w:t>
                  </w:r>
                  <w:r>
                    <w:rPr>
                      <w:rFonts w:hint="default" w:ascii="Times New Roman" w:hAnsi="Times New Roman" w:cs="Times New Roman"/>
                      <w:color w:val="auto"/>
                    </w:rPr>
                    <w:t>排气筒达标排放</w:t>
                  </w:r>
                  <w:r>
                    <w:rPr>
                      <w:rFonts w:hint="eastAsia" w:ascii="Times New Roman" w:hAnsi="Times New Roman" w:eastAsia="宋体" w:cs="Times New Roman"/>
                      <w:color w:val="auto"/>
                      <w:lang w:eastAsia="zh-CN"/>
                    </w:rPr>
                    <w:t>。</w:t>
                  </w:r>
                </w:p>
              </w:tc>
            </w:tr>
            <w:tr w14:paraId="6FA44F3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1CF82AD">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460331EB">
                  <w:pPr>
                    <w:pStyle w:val="3"/>
                    <w:bidi w:val="0"/>
                    <w:rPr>
                      <w:rFonts w:hint="default" w:ascii="Times New Roman" w:hAnsi="Times New Roman" w:cs="Times New Roman"/>
                      <w:color w:val="auto"/>
                    </w:rPr>
                  </w:pPr>
                </w:p>
              </w:tc>
              <w:tc>
                <w:tcPr>
                  <w:tcW w:w="452" w:type="pct"/>
                  <w:vMerge w:val="continue"/>
                  <w:tcBorders>
                    <w:left w:val="single" w:color="auto" w:sz="4" w:space="0"/>
                    <w:bottom w:val="single" w:color="auto" w:sz="4" w:space="0"/>
                    <w:right w:val="single" w:color="auto" w:sz="6" w:space="0"/>
                  </w:tcBorders>
                  <w:noWrap w:val="0"/>
                  <w:vAlign w:val="center"/>
                </w:tcPr>
                <w:p w14:paraId="441B3532">
                  <w:pPr>
                    <w:pStyle w:val="3"/>
                    <w:bidi w:val="0"/>
                    <w:rPr>
                      <w:rFonts w:hint="default" w:ascii="Times New Roman" w:hAnsi="Times New Roman" w:cs="Times New Roman"/>
                      <w:color w:val="auto"/>
                    </w:rPr>
                  </w:pPr>
                </w:p>
              </w:tc>
              <w:tc>
                <w:tcPr>
                  <w:tcW w:w="3296" w:type="pct"/>
                  <w:tcBorders>
                    <w:top w:val="single" w:color="auto" w:sz="6" w:space="0"/>
                    <w:left w:val="single" w:color="auto" w:sz="6" w:space="0"/>
                    <w:bottom w:val="single" w:color="auto" w:sz="4" w:space="0"/>
                    <w:right w:val="nil"/>
                  </w:tcBorders>
                  <w:noWrap w:val="0"/>
                  <w:vAlign w:val="center"/>
                </w:tcPr>
                <w:p w14:paraId="3A6F338D">
                  <w:pPr>
                    <w:pStyle w:val="3"/>
                    <w:bidi w:val="0"/>
                    <w:jc w:val="both"/>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豆粕进仓、打包</w:t>
                  </w:r>
                  <w:r>
                    <w:rPr>
                      <w:rFonts w:hint="default" w:ascii="Times New Roman" w:hAnsi="Times New Roman" w:cs="Times New Roman"/>
                      <w:color w:val="auto"/>
                    </w:rPr>
                    <w:t>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经布袋除尘器处理后，经</w:t>
                  </w:r>
                  <w:r>
                    <w:rPr>
                      <w:rFonts w:hint="eastAsia" w:ascii="Times New Roman" w:hAnsi="Times New Roman" w:eastAsia="宋体" w:cs="Times New Roman"/>
                      <w:color w:val="auto"/>
                      <w:lang w:val="en-US" w:eastAsia="zh-CN"/>
                    </w:rPr>
                    <w:t>37</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DA016</w:t>
                  </w:r>
                  <w:r>
                    <w:rPr>
                      <w:rFonts w:hint="default" w:ascii="Times New Roman" w:hAnsi="Times New Roman" w:cs="Times New Roman"/>
                      <w:color w:val="auto"/>
                    </w:rPr>
                    <w:t>排气筒达标排放</w:t>
                  </w:r>
                  <w:r>
                    <w:rPr>
                      <w:rFonts w:hint="eastAsia" w:ascii="Times New Roman" w:hAnsi="Times New Roman" w:eastAsia="宋体" w:cs="Times New Roman"/>
                      <w:color w:val="auto"/>
                      <w:lang w:eastAsia="zh-CN"/>
                    </w:rPr>
                    <w:t>。</w:t>
                  </w:r>
                </w:p>
              </w:tc>
            </w:tr>
            <w:tr w14:paraId="7E4D7F9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94" w:hRule="atLeast"/>
                <w:jc w:val="center"/>
              </w:trPr>
              <w:tc>
                <w:tcPr>
                  <w:tcW w:w="705" w:type="pct"/>
                  <w:vMerge w:val="continue"/>
                  <w:tcBorders>
                    <w:left w:val="nil"/>
                    <w:right w:val="single" w:color="auto" w:sz="6" w:space="0"/>
                  </w:tcBorders>
                  <w:noWrap w:val="0"/>
                  <w:vAlign w:val="center"/>
                </w:tcPr>
                <w:p w14:paraId="1E8C8FF4">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2C092187">
                  <w:pPr>
                    <w:pStyle w:val="3"/>
                    <w:bidi w:val="0"/>
                    <w:rPr>
                      <w:rFonts w:hint="default" w:ascii="Times New Roman" w:hAnsi="Times New Roman" w:cs="Times New Roman"/>
                      <w:color w:val="auto"/>
                    </w:rPr>
                  </w:pPr>
                </w:p>
              </w:tc>
              <w:tc>
                <w:tcPr>
                  <w:tcW w:w="452" w:type="pct"/>
                  <w:vMerge w:val="restart"/>
                  <w:tcBorders>
                    <w:top w:val="single" w:color="auto" w:sz="4" w:space="0"/>
                    <w:left w:val="single" w:color="auto" w:sz="4" w:space="0"/>
                    <w:right w:val="single" w:color="auto" w:sz="6" w:space="0"/>
                  </w:tcBorders>
                  <w:noWrap w:val="0"/>
                  <w:vAlign w:val="center"/>
                </w:tcPr>
                <w:p w14:paraId="45AC8476">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豆皮仓</w:t>
                  </w:r>
                </w:p>
              </w:tc>
              <w:tc>
                <w:tcPr>
                  <w:tcW w:w="3296" w:type="pct"/>
                  <w:tcBorders>
                    <w:top w:val="single" w:color="auto" w:sz="4" w:space="0"/>
                    <w:left w:val="single" w:color="auto" w:sz="6" w:space="0"/>
                    <w:bottom w:val="single" w:color="auto" w:sz="6" w:space="0"/>
                    <w:right w:val="nil"/>
                  </w:tcBorders>
                  <w:noWrap w:val="0"/>
                  <w:vAlign w:val="center"/>
                </w:tcPr>
                <w:p w14:paraId="30E1031C">
                  <w:pPr>
                    <w:pStyle w:val="3"/>
                    <w:bidi w:val="0"/>
                    <w:ind w:firstLine="0" w:firstLineChars="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豆皮出仓、</w:t>
                  </w:r>
                  <w:r>
                    <w:rPr>
                      <w:rFonts w:hint="default" w:ascii="Times New Roman" w:hAnsi="Times New Roman" w:cs="Times New Roman"/>
                      <w:color w:val="auto"/>
                    </w:rPr>
                    <w:t>装车过程中产生的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经布袋除尘器处理后，经</w:t>
                  </w:r>
                  <w:r>
                    <w:rPr>
                      <w:rFonts w:hint="eastAsia" w:ascii="Times New Roman" w:hAnsi="Times New Roman" w:eastAsia="宋体" w:cs="Times New Roman"/>
                      <w:color w:val="auto"/>
                      <w:lang w:val="en-US" w:eastAsia="zh-CN"/>
                    </w:rPr>
                    <w:t>33</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DA017</w:t>
                  </w:r>
                  <w:r>
                    <w:rPr>
                      <w:rFonts w:hint="default" w:ascii="Times New Roman" w:hAnsi="Times New Roman" w:cs="Times New Roman"/>
                      <w:color w:val="auto"/>
                    </w:rPr>
                    <w:t>排气筒达标排放</w:t>
                  </w:r>
                  <w:r>
                    <w:rPr>
                      <w:rFonts w:hint="eastAsia" w:ascii="Times New Roman" w:hAnsi="Times New Roman" w:eastAsia="宋体" w:cs="Times New Roman"/>
                      <w:color w:val="auto"/>
                      <w:lang w:eastAsia="zh-CN"/>
                    </w:rPr>
                    <w:t>。</w:t>
                  </w:r>
                </w:p>
              </w:tc>
            </w:tr>
            <w:tr w14:paraId="06ACB99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05" w:type="pct"/>
                  <w:vMerge w:val="continue"/>
                  <w:tcBorders>
                    <w:left w:val="nil"/>
                    <w:right w:val="single" w:color="auto" w:sz="6" w:space="0"/>
                  </w:tcBorders>
                  <w:noWrap w:val="0"/>
                  <w:vAlign w:val="center"/>
                </w:tcPr>
                <w:p w14:paraId="093A9C32">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09DDF5DA">
                  <w:pPr>
                    <w:pStyle w:val="3"/>
                    <w:bidi w:val="0"/>
                    <w:rPr>
                      <w:rFonts w:hint="default" w:ascii="Times New Roman" w:hAnsi="Times New Roman" w:cs="Times New Roman"/>
                      <w:color w:val="auto"/>
                    </w:rPr>
                  </w:pPr>
                </w:p>
              </w:tc>
              <w:tc>
                <w:tcPr>
                  <w:tcW w:w="452" w:type="pct"/>
                  <w:vMerge w:val="continue"/>
                  <w:tcBorders>
                    <w:left w:val="single" w:color="auto" w:sz="4" w:space="0"/>
                    <w:right w:val="single" w:color="auto" w:sz="6" w:space="0"/>
                  </w:tcBorders>
                  <w:noWrap w:val="0"/>
                  <w:vAlign w:val="center"/>
                </w:tcPr>
                <w:p w14:paraId="4ECE3344">
                  <w:pPr>
                    <w:pStyle w:val="3"/>
                    <w:bidi w:val="0"/>
                    <w:ind w:firstLine="0" w:firstLineChars="0"/>
                    <w:rPr>
                      <w:rFonts w:hint="default" w:ascii="Times New Roman" w:hAnsi="Times New Roman" w:cs="Times New Roman"/>
                      <w:color w:val="auto"/>
                      <w:lang w:eastAsia="zh-CN"/>
                    </w:rPr>
                  </w:pPr>
                </w:p>
              </w:tc>
              <w:tc>
                <w:tcPr>
                  <w:tcW w:w="3296" w:type="pct"/>
                  <w:tcBorders>
                    <w:top w:val="single" w:color="auto" w:sz="6" w:space="0"/>
                    <w:left w:val="single" w:color="auto" w:sz="6" w:space="0"/>
                    <w:bottom w:val="single" w:color="auto" w:sz="6" w:space="0"/>
                    <w:right w:val="nil"/>
                  </w:tcBorders>
                  <w:noWrap w:val="0"/>
                  <w:vAlign w:val="center"/>
                </w:tcPr>
                <w:p w14:paraId="3DC83BE0">
                  <w:pPr>
                    <w:pStyle w:val="3"/>
                    <w:bidi w:val="0"/>
                    <w:ind w:firstLine="0" w:firstLineChars="0"/>
                    <w:jc w:val="both"/>
                    <w:rPr>
                      <w:rFonts w:hint="default" w:ascii="Times New Roman" w:hAnsi="Times New Roman" w:cs="Times New Roman"/>
                      <w:color w:val="auto"/>
                    </w:rPr>
                  </w:pPr>
                  <w:r>
                    <w:rPr>
                      <w:rFonts w:hint="eastAsia" w:ascii="Times New Roman" w:hAnsi="Times New Roman" w:eastAsia="宋体" w:cs="Times New Roman"/>
                      <w:color w:val="auto"/>
                      <w:lang w:eastAsia="zh-CN"/>
                    </w:rPr>
                    <w:t>豆皮进仓、打包</w:t>
                  </w:r>
                  <w:r>
                    <w:rPr>
                      <w:rFonts w:hint="default" w:ascii="Times New Roman" w:hAnsi="Times New Roman" w:cs="Times New Roman"/>
                      <w:color w:val="auto"/>
                    </w:rPr>
                    <w:t>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经布袋除尘器处理后，经2</w:t>
                  </w:r>
                  <w:r>
                    <w:rPr>
                      <w:rFonts w:hint="eastAsia" w:ascii="Times New Roman" w:hAnsi="Times New Roman" w:eastAsia="宋体" w:cs="Times New Roman"/>
                      <w:color w:val="auto"/>
                      <w:lang w:val="en-US" w:eastAsia="zh-CN"/>
                    </w:rPr>
                    <w:t>2</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DA018</w:t>
                  </w:r>
                  <w:r>
                    <w:rPr>
                      <w:rFonts w:hint="default" w:ascii="Times New Roman" w:hAnsi="Times New Roman" w:cs="Times New Roman"/>
                      <w:color w:val="auto"/>
                    </w:rPr>
                    <w:t>排气筒达标排放</w:t>
                  </w:r>
                  <w:r>
                    <w:rPr>
                      <w:rFonts w:hint="eastAsia" w:ascii="Times New Roman" w:hAnsi="Times New Roman" w:eastAsia="宋体" w:cs="Times New Roman"/>
                      <w:color w:val="auto"/>
                      <w:lang w:eastAsia="zh-CN"/>
                    </w:rPr>
                    <w:t>。</w:t>
                  </w:r>
                </w:p>
              </w:tc>
            </w:tr>
            <w:tr w14:paraId="65B0465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79FE253">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4905B542">
                  <w:pPr>
                    <w:pStyle w:val="3"/>
                    <w:bidi w:val="0"/>
                    <w:rPr>
                      <w:rFonts w:hint="default" w:ascii="Times New Roman" w:hAnsi="Times New Roman" w:cs="Times New Roman"/>
                      <w:color w:val="auto"/>
                    </w:rPr>
                  </w:pPr>
                </w:p>
              </w:tc>
              <w:tc>
                <w:tcPr>
                  <w:tcW w:w="452" w:type="pct"/>
                  <w:vMerge w:val="restart"/>
                  <w:tcBorders>
                    <w:top w:val="single" w:color="auto" w:sz="6" w:space="0"/>
                    <w:left w:val="single" w:color="auto" w:sz="4" w:space="0"/>
                    <w:right w:val="single" w:color="auto" w:sz="6" w:space="0"/>
                  </w:tcBorders>
                  <w:noWrap w:val="0"/>
                  <w:vAlign w:val="center"/>
                </w:tcPr>
                <w:p w14:paraId="4072AAC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eastAsia="zh-CN"/>
                    </w:rPr>
                    <w:t>大豆提升站</w:t>
                  </w:r>
                  <w:r>
                    <w:rPr>
                      <w:rFonts w:hint="eastAsia" w:ascii="Times New Roman" w:hAnsi="Times New Roman" w:cs="Times New Roman"/>
                      <w:color w:val="auto"/>
                      <w:lang w:val="en-US" w:eastAsia="zh-CN"/>
                    </w:rPr>
                    <w:t>2#</w:t>
                  </w:r>
                </w:p>
              </w:tc>
              <w:tc>
                <w:tcPr>
                  <w:tcW w:w="3296" w:type="pct"/>
                  <w:tcBorders>
                    <w:top w:val="single" w:color="auto" w:sz="6" w:space="0"/>
                    <w:left w:val="single" w:color="auto" w:sz="6" w:space="0"/>
                    <w:bottom w:val="single" w:color="auto" w:sz="6" w:space="0"/>
                    <w:right w:val="nil"/>
                  </w:tcBorders>
                  <w:noWrap w:val="0"/>
                  <w:vAlign w:val="center"/>
                </w:tcPr>
                <w:p w14:paraId="5EA4C3C2">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转运</w:t>
                  </w:r>
                  <w:r>
                    <w:rPr>
                      <w:rFonts w:hint="default" w:ascii="Times New Roman" w:hAnsi="Times New Roman" w:cs="Times New Roman"/>
                      <w:color w:val="auto"/>
                    </w:rPr>
                    <w:t>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20m高</w:t>
                  </w:r>
                  <w:r>
                    <w:rPr>
                      <w:rFonts w:hint="eastAsia" w:ascii="Times New Roman" w:hAnsi="Times New Roman" w:eastAsia="宋体" w:cs="Times New Roman"/>
                      <w:color w:val="auto"/>
                      <w:lang w:val="en-US" w:eastAsia="zh-CN"/>
                    </w:rPr>
                    <w:t>DA019</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6759930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CCCB661">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4F5D027F">
                  <w:pPr>
                    <w:pStyle w:val="3"/>
                    <w:bidi w:val="0"/>
                    <w:rPr>
                      <w:rFonts w:hint="default" w:ascii="Times New Roman" w:hAnsi="Times New Roman" w:cs="Times New Roman"/>
                      <w:color w:val="auto"/>
                    </w:rPr>
                  </w:pPr>
                </w:p>
              </w:tc>
              <w:tc>
                <w:tcPr>
                  <w:tcW w:w="452" w:type="pct"/>
                  <w:vMerge w:val="continue"/>
                  <w:tcBorders>
                    <w:left w:val="single" w:color="auto" w:sz="4" w:space="0"/>
                    <w:right w:val="single" w:color="auto" w:sz="6" w:space="0"/>
                  </w:tcBorders>
                  <w:noWrap w:val="0"/>
                  <w:vAlign w:val="center"/>
                </w:tcPr>
                <w:p w14:paraId="7061BB94">
                  <w:pPr>
                    <w:pStyle w:val="3"/>
                    <w:bidi w:val="0"/>
                    <w:rPr>
                      <w:rFonts w:hint="default" w:ascii="Times New Roman" w:hAnsi="Times New Roman" w:cs="Times New Roman"/>
                      <w:color w:val="auto"/>
                    </w:rPr>
                  </w:pPr>
                </w:p>
              </w:tc>
              <w:tc>
                <w:tcPr>
                  <w:tcW w:w="3296" w:type="pct"/>
                  <w:tcBorders>
                    <w:top w:val="single" w:color="auto" w:sz="6" w:space="0"/>
                    <w:left w:val="single" w:color="auto" w:sz="6" w:space="0"/>
                    <w:bottom w:val="single" w:color="auto" w:sz="6" w:space="0"/>
                    <w:right w:val="nil"/>
                  </w:tcBorders>
                  <w:noWrap w:val="0"/>
                  <w:vAlign w:val="center"/>
                </w:tcPr>
                <w:p w14:paraId="436A9696">
                  <w:pPr>
                    <w:pStyle w:val="3"/>
                    <w:bidi w:val="0"/>
                    <w:ind w:firstLine="0" w:firstLineChars="0"/>
                    <w:jc w:val="both"/>
                    <w:rPr>
                      <w:rFonts w:hint="default" w:ascii="Times New Roman" w:hAnsi="Times New Roman" w:cs="Times New Roman"/>
                      <w:color w:val="auto"/>
                    </w:rPr>
                  </w:pP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进出仓</w:t>
                  </w:r>
                  <w:r>
                    <w:rPr>
                      <w:rFonts w:hint="default" w:ascii="Times New Roman" w:hAnsi="Times New Roman" w:cs="Times New Roman"/>
                      <w:color w:val="auto"/>
                    </w:rPr>
                    <w:t>过程中产生的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w:t>
                  </w:r>
                  <w:r>
                    <w:rPr>
                      <w:rFonts w:hint="eastAsia" w:ascii="Times New Roman" w:hAnsi="Times New Roman" w:eastAsia="宋体" w:cs="Times New Roman"/>
                      <w:color w:val="auto"/>
                      <w:lang w:eastAsia="zh-CN"/>
                    </w:rPr>
                    <w:t>通过</w:t>
                  </w:r>
                  <w:r>
                    <w:rPr>
                      <w:rFonts w:hint="eastAsia" w:ascii="Times New Roman" w:hAnsi="Times New Roman" w:eastAsia="宋体" w:cs="Times New Roman"/>
                      <w:color w:val="auto"/>
                      <w:lang w:val="en-US" w:eastAsia="zh-CN"/>
                    </w:rPr>
                    <w:t>33</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DA020</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59F1749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9572AB6">
                  <w:pPr>
                    <w:pStyle w:val="3"/>
                    <w:bidi w:val="0"/>
                    <w:rPr>
                      <w:rFonts w:hint="default" w:ascii="Times New Roman" w:hAnsi="Times New Roman" w:cs="Times New Roman"/>
                      <w:color w:val="auto"/>
                    </w:rPr>
                  </w:pPr>
                </w:p>
              </w:tc>
              <w:tc>
                <w:tcPr>
                  <w:tcW w:w="545" w:type="pct"/>
                  <w:gridSpan w:val="2"/>
                  <w:vMerge w:val="continue"/>
                  <w:tcBorders>
                    <w:left w:val="single" w:color="auto" w:sz="6" w:space="0"/>
                    <w:right w:val="single" w:color="auto" w:sz="4" w:space="0"/>
                  </w:tcBorders>
                  <w:noWrap w:val="0"/>
                  <w:vAlign w:val="center"/>
                </w:tcPr>
                <w:p w14:paraId="1FD27B50">
                  <w:pPr>
                    <w:pStyle w:val="3"/>
                    <w:bidi w:val="0"/>
                    <w:rPr>
                      <w:rFonts w:hint="default" w:ascii="Times New Roman" w:hAnsi="Times New Roman" w:cs="Times New Roman"/>
                      <w:color w:val="auto"/>
                    </w:rPr>
                  </w:pPr>
                </w:p>
              </w:tc>
              <w:tc>
                <w:tcPr>
                  <w:tcW w:w="452" w:type="pct"/>
                  <w:vMerge w:val="continue"/>
                  <w:tcBorders>
                    <w:left w:val="single" w:color="auto" w:sz="4" w:space="0"/>
                    <w:bottom w:val="single" w:color="auto" w:sz="6" w:space="0"/>
                    <w:right w:val="single" w:color="auto" w:sz="6" w:space="0"/>
                  </w:tcBorders>
                  <w:noWrap w:val="0"/>
                  <w:vAlign w:val="center"/>
                </w:tcPr>
                <w:p w14:paraId="29AFB8B0">
                  <w:pPr>
                    <w:pStyle w:val="3"/>
                    <w:bidi w:val="0"/>
                    <w:rPr>
                      <w:rFonts w:hint="default" w:ascii="Times New Roman" w:hAnsi="Times New Roman" w:cs="Times New Roman"/>
                      <w:color w:val="auto"/>
                      <w:lang w:eastAsia="zh-CN"/>
                    </w:rPr>
                  </w:pPr>
                </w:p>
              </w:tc>
              <w:tc>
                <w:tcPr>
                  <w:tcW w:w="3296" w:type="pct"/>
                  <w:tcBorders>
                    <w:top w:val="single" w:color="auto" w:sz="6" w:space="0"/>
                    <w:left w:val="single" w:color="auto" w:sz="6" w:space="0"/>
                    <w:bottom w:val="single" w:color="auto" w:sz="6" w:space="0"/>
                    <w:right w:val="nil"/>
                  </w:tcBorders>
                  <w:noWrap w:val="0"/>
                  <w:vAlign w:val="center"/>
                </w:tcPr>
                <w:p w14:paraId="223CB535">
                  <w:pPr>
                    <w:pStyle w:val="3"/>
                    <w:bidi w:val="0"/>
                    <w:jc w:val="both"/>
                    <w:rPr>
                      <w:rFonts w:hint="default" w:ascii="Times New Roman" w:hAnsi="Times New Roman" w:cs="Times New Roman"/>
                      <w:color w:val="auto"/>
                    </w:rPr>
                  </w:pP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卸料</w:t>
                  </w:r>
                  <w:r>
                    <w:rPr>
                      <w:rFonts w:hint="default" w:ascii="Times New Roman" w:hAnsi="Times New Roman" w:cs="Times New Roman"/>
                      <w:color w:val="auto"/>
                    </w:rPr>
                    <w:t>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经布袋除尘器处理后，</w:t>
                  </w:r>
                  <w:r>
                    <w:rPr>
                      <w:rFonts w:hint="eastAsia" w:ascii="Times New Roman" w:hAnsi="Times New Roman" w:eastAsia="宋体" w:cs="Times New Roman"/>
                      <w:color w:val="auto"/>
                      <w:lang w:eastAsia="zh-CN"/>
                    </w:rPr>
                    <w:t>通过</w:t>
                  </w:r>
                  <w:r>
                    <w:rPr>
                      <w:rFonts w:hint="eastAsia" w:ascii="Times New Roman" w:hAnsi="Times New Roman" w:eastAsia="宋体" w:cs="Times New Roman"/>
                      <w:color w:val="auto"/>
                      <w:lang w:val="en-US" w:eastAsia="zh-CN"/>
                    </w:rPr>
                    <w:t>16</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DA021</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tc>
            </w:tr>
            <w:tr w14:paraId="73AB7BB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07640823">
                  <w:pPr>
                    <w:pStyle w:val="3"/>
                    <w:bidi w:val="0"/>
                    <w:rPr>
                      <w:rFonts w:hint="default" w:ascii="Times New Roman" w:hAnsi="Times New Roman" w:cs="Times New Roman"/>
                      <w:color w:val="auto"/>
                    </w:rPr>
                  </w:pPr>
                </w:p>
              </w:tc>
              <w:tc>
                <w:tcPr>
                  <w:tcW w:w="998" w:type="pct"/>
                  <w:gridSpan w:val="3"/>
                  <w:tcBorders>
                    <w:top w:val="single" w:color="auto" w:sz="6" w:space="0"/>
                    <w:left w:val="single" w:color="auto" w:sz="6" w:space="0"/>
                    <w:bottom w:val="single" w:color="auto" w:sz="6" w:space="0"/>
                    <w:right w:val="single" w:color="auto" w:sz="6" w:space="0"/>
                  </w:tcBorders>
                  <w:noWrap w:val="0"/>
                  <w:vAlign w:val="center"/>
                </w:tcPr>
                <w:p w14:paraId="192506F8">
                  <w:pPr>
                    <w:pStyle w:val="3"/>
                    <w:bidi w:val="0"/>
                    <w:rPr>
                      <w:rFonts w:hint="default" w:ascii="Times New Roman" w:hAnsi="Times New Roman" w:cs="Times New Roman"/>
                      <w:color w:val="auto"/>
                    </w:rPr>
                  </w:pPr>
                  <w:r>
                    <w:rPr>
                      <w:rFonts w:hint="default" w:ascii="Times New Roman" w:hAnsi="Times New Roman" w:cs="Times New Roman"/>
                      <w:color w:val="auto"/>
                    </w:rPr>
                    <w:t>废水处理</w:t>
                  </w:r>
                </w:p>
              </w:tc>
              <w:tc>
                <w:tcPr>
                  <w:tcW w:w="3296" w:type="pct"/>
                  <w:tcBorders>
                    <w:top w:val="single" w:color="auto" w:sz="6" w:space="0"/>
                    <w:left w:val="single" w:color="auto" w:sz="6" w:space="0"/>
                    <w:bottom w:val="single" w:color="auto" w:sz="6" w:space="0"/>
                    <w:right w:val="nil"/>
                  </w:tcBorders>
                  <w:noWrap w:val="0"/>
                  <w:vAlign w:val="center"/>
                </w:tcPr>
                <w:p w14:paraId="4DDDF5B2">
                  <w:pPr>
                    <w:pStyle w:val="3"/>
                    <w:bidi w:val="0"/>
                    <w:jc w:val="both"/>
                    <w:rPr>
                      <w:rFonts w:hint="default" w:ascii="Times New Roman" w:hAnsi="Times New Roman" w:cs="Times New Roman"/>
                      <w:color w:val="auto"/>
                    </w:rPr>
                  </w:pPr>
                  <w:r>
                    <w:rPr>
                      <w:rFonts w:hint="default" w:ascii="Times New Roman" w:hAnsi="Times New Roman" w:cs="Times New Roman"/>
                      <w:color w:val="auto"/>
                    </w:rPr>
                    <w:t>厂区</w:t>
                  </w:r>
                  <w:r>
                    <w:rPr>
                      <w:rFonts w:hint="default" w:ascii="Times New Roman" w:hAnsi="Times New Roman" w:cs="Times New Roman"/>
                      <w:color w:val="auto"/>
                      <w:lang w:eastAsia="zh-CN"/>
                    </w:rPr>
                    <w:t>建有</w:t>
                  </w:r>
                  <w:r>
                    <w:rPr>
                      <w:rFonts w:hint="default" w:ascii="Times New Roman" w:hAnsi="Times New Roman" w:cs="Times New Roman"/>
                      <w:color w:val="auto"/>
                    </w:rPr>
                    <w:t>处理规模为500m</w:t>
                  </w:r>
                  <w:r>
                    <w:rPr>
                      <w:rFonts w:hint="default" w:ascii="Times New Roman" w:hAnsi="Times New Roman" w:cs="Times New Roman"/>
                      <w:color w:val="auto"/>
                      <w:vertAlign w:val="superscript"/>
                    </w:rPr>
                    <w:t>3</w:t>
                  </w:r>
                  <w:r>
                    <w:rPr>
                      <w:rFonts w:hint="default" w:ascii="Times New Roman" w:hAnsi="Times New Roman" w:cs="Times New Roman"/>
                      <w:color w:val="auto"/>
                    </w:rPr>
                    <w:t>/d的污水处理站，精炼车间废水</w:t>
                  </w:r>
                  <w:r>
                    <w:rPr>
                      <w:rFonts w:hint="default" w:ascii="Times New Roman" w:hAnsi="Times New Roman" w:cs="Times New Roman"/>
                      <w:color w:val="auto"/>
                      <w:lang w:eastAsia="zh-CN"/>
                    </w:rPr>
                    <w:t>中和</w:t>
                  </w:r>
                  <w:r>
                    <w:rPr>
                      <w:rFonts w:hint="default" w:ascii="Times New Roman" w:hAnsi="Times New Roman" w:cs="Times New Roman"/>
                      <w:color w:val="auto"/>
                    </w:rPr>
                    <w:t>预处理后与其他生产和生活废水排入厂区污水处理站，经气浮+厌氧处理+接触氧化生化处理后达《污水综合排放标准》（GB8978-1996）三级标准后排入园区污水管网进入龙桥园区污水处理厂进行进一步处理。</w:t>
                  </w:r>
                </w:p>
              </w:tc>
            </w:tr>
            <w:tr w14:paraId="47B149B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705" w:type="pct"/>
                  <w:vMerge w:val="continue"/>
                  <w:tcBorders>
                    <w:left w:val="nil"/>
                    <w:right w:val="single" w:color="auto" w:sz="6" w:space="0"/>
                  </w:tcBorders>
                  <w:noWrap w:val="0"/>
                  <w:vAlign w:val="center"/>
                </w:tcPr>
                <w:p w14:paraId="1BDC6512">
                  <w:pPr>
                    <w:pStyle w:val="3"/>
                    <w:bidi w:val="0"/>
                    <w:rPr>
                      <w:rFonts w:hint="default" w:ascii="Times New Roman" w:hAnsi="Times New Roman" w:cs="Times New Roman"/>
                      <w:color w:val="auto"/>
                    </w:rPr>
                  </w:pPr>
                </w:p>
              </w:tc>
              <w:tc>
                <w:tcPr>
                  <w:tcW w:w="445" w:type="pct"/>
                  <w:vMerge w:val="restart"/>
                  <w:tcBorders>
                    <w:top w:val="single" w:color="auto" w:sz="6" w:space="0"/>
                    <w:left w:val="single" w:color="auto" w:sz="6" w:space="0"/>
                    <w:right w:val="single" w:color="auto" w:sz="4" w:space="0"/>
                  </w:tcBorders>
                  <w:noWrap w:val="0"/>
                  <w:vAlign w:val="center"/>
                </w:tcPr>
                <w:p w14:paraId="730D572B">
                  <w:pPr>
                    <w:pStyle w:val="3"/>
                    <w:bidi w:val="0"/>
                    <w:rPr>
                      <w:rFonts w:hint="default" w:ascii="Times New Roman" w:hAnsi="Times New Roman" w:cs="Times New Roman"/>
                      <w:color w:val="auto"/>
                    </w:rPr>
                  </w:pPr>
                  <w:r>
                    <w:rPr>
                      <w:rFonts w:hint="default" w:ascii="Times New Roman" w:hAnsi="Times New Roman" w:cs="Times New Roman"/>
                      <w:color w:val="auto"/>
                    </w:rPr>
                    <w:t>固废</w:t>
                  </w:r>
                </w:p>
                <w:p w14:paraId="39B8D97C">
                  <w:pPr>
                    <w:pStyle w:val="3"/>
                    <w:bidi w:val="0"/>
                    <w:rPr>
                      <w:rFonts w:hint="default" w:ascii="Times New Roman" w:hAnsi="Times New Roman" w:cs="Times New Roman"/>
                      <w:color w:val="auto"/>
                    </w:rPr>
                  </w:pPr>
                  <w:r>
                    <w:rPr>
                      <w:rFonts w:hint="default" w:ascii="Times New Roman" w:hAnsi="Times New Roman" w:cs="Times New Roman"/>
                      <w:color w:val="auto"/>
                    </w:rPr>
                    <w:t>处理</w:t>
                  </w:r>
                </w:p>
              </w:tc>
              <w:tc>
                <w:tcPr>
                  <w:tcW w:w="553" w:type="pct"/>
                  <w:gridSpan w:val="2"/>
                  <w:tcBorders>
                    <w:top w:val="single" w:color="auto" w:sz="6" w:space="0"/>
                    <w:left w:val="single" w:color="auto" w:sz="4" w:space="0"/>
                    <w:right w:val="single" w:color="auto" w:sz="6" w:space="0"/>
                  </w:tcBorders>
                  <w:noWrap w:val="0"/>
                  <w:vAlign w:val="center"/>
                </w:tcPr>
                <w:p w14:paraId="4E7AF638">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污泥暂存间</w:t>
                  </w:r>
                </w:p>
              </w:tc>
              <w:tc>
                <w:tcPr>
                  <w:tcW w:w="3296" w:type="pct"/>
                  <w:tcBorders>
                    <w:top w:val="single" w:color="auto" w:sz="6" w:space="0"/>
                    <w:left w:val="single" w:color="auto" w:sz="6" w:space="0"/>
                    <w:right w:val="nil"/>
                  </w:tcBorders>
                  <w:noWrap w:val="0"/>
                  <w:vAlign w:val="center"/>
                </w:tcPr>
                <w:p w14:paraId="3943F92B">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highlight w:val="none"/>
                      <w:lang w:eastAsia="zh-CN"/>
                    </w:rPr>
                    <w:t>建筑面积为</w:t>
                  </w:r>
                  <w:r>
                    <w:rPr>
                      <w:rFonts w:hint="eastAsia" w:ascii="Times New Roman" w:hAnsi="Times New Roman" w:cs="Times New Roman"/>
                      <w:color w:val="auto"/>
                      <w:highlight w:val="none"/>
                      <w:lang w:val="en-US" w:eastAsia="zh-CN"/>
                    </w:rPr>
                    <w:t>33</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暂存污水处理站暂存的污泥，储存能力25t，属于</w:t>
                  </w:r>
                  <w:r>
                    <w:rPr>
                      <w:rFonts w:hint="default" w:ascii="Times New Roman" w:hAnsi="Times New Roman" w:cs="Times New Roman"/>
                      <w:color w:val="auto"/>
                      <w:highlight w:val="none"/>
                      <w:lang w:eastAsia="zh-CN"/>
                    </w:rPr>
                    <w:t>一般工业固废暂存间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编号TS001</w:t>
                  </w:r>
                  <w:r>
                    <w:rPr>
                      <w:rFonts w:hint="eastAsia" w:ascii="Times New Roman" w:hAnsi="Times New Roman" w:cs="Times New Roman"/>
                      <w:color w:val="auto"/>
                      <w:highlight w:val="none"/>
                      <w:lang w:eastAsia="zh-CN"/>
                    </w:rPr>
                    <w:t>），布置在污水处理站西北角</w:t>
                  </w:r>
                </w:p>
              </w:tc>
            </w:tr>
            <w:tr w14:paraId="5BF1CA9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41E71F3">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709AA6C9">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70BF0B4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废白土暂存间</w:t>
                  </w:r>
                </w:p>
              </w:tc>
              <w:tc>
                <w:tcPr>
                  <w:tcW w:w="3296" w:type="pct"/>
                  <w:tcBorders>
                    <w:top w:val="single" w:color="auto" w:sz="6" w:space="0"/>
                    <w:left w:val="single" w:color="auto" w:sz="6" w:space="0"/>
                    <w:bottom w:val="single" w:color="auto" w:sz="6" w:space="0"/>
                    <w:right w:val="nil"/>
                  </w:tcBorders>
                  <w:noWrap w:val="0"/>
                  <w:vAlign w:val="center"/>
                </w:tcPr>
                <w:p w14:paraId="684AFB54">
                  <w:pPr>
                    <w:pStyle w:val="3"/>
                    <w:bidi w:val="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21</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暂存副产品废白土，储存能力40t，</w:t>
                  </w:r>
                  <w:r>
                    <w:rPr>
                      <w:rFonts w:hint="eastAsia" w:ascii="Times New Roman" w:hAnsi="Times New Roman" w:cs="Times New Roman"/>
                      <w:color w:val="auto"/>
                      <w:highlight w:val="none"/>
                      <w:lang w:val="en-US" w:eastAsia="zh-CN"/>
                    </w:rPr>
                    <w:t>属于</w:t>
                  </w:r>
                  <w:r>
                    <w:rPr>
                      <w:rFonts w:hint="default" w:ascii="Times New Roman" w:hAnsi="Times New Roman" w:cs="Times New Roman"/>
                      <w:color w:val="auto"/>
                      <w:highlight w:val="none"/>
                      <w:lang w:eastAsia="zh-CN"/>
                    </w:rPr>
                    <w:t>一般工业固废暂存间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lang w:val="en-US" w:eastAsia="zh-CN"/>
                    </w:rPr>
                    <w:t>编号TS002</w:t>
                  </w:r>
                  <w:r>
                    <w:rPr>
                      <w:rFonts w:hint="eastAsia" w:ascii="Times New Roman" w:hAnsi="Times New Roman" w:cs="Times New Roman"/>
                      <w:color w:val="auto"/>
                      <w:highlight w:val="none"/>
                      <w:lang w:eastAsia="zh-CN"/>
                    </w:rPr>
                    <w:t>），布置精炼车间</w:t>
                  </w:r>
                  <w:r>
                    <w:rPr>
                      <w:rFonts w:hint="eastAsia" w:ascii="Times New Roman" w:hAnsi="Times New Roman" w:cs="Times New Roman"/>
                      <w:color w:val="auto"/>
                      <w:highlight w:val="none"/>
                      <w:lang w:val="en-US" w:eastAsia="zh-CN"/>
                    </w:rPr>
                    <w:t>1层西北</w:t>
                  </w:r>
                  <w:r>
                    <w:rPr>
                      <w:rFonts w:hint="eastAsia" w:ascii="Times New Roman" w:hAnsi="Times New Roman" w:cs="Times New Roman"/>
                      <w:color w:val="auto"/>
                      <w:highlight w:val="none"/>
                      <w:lang w:eastAsia="zh-CN"/>
                    </w:rPr>
                    <w:t>角</w:t>
                  </w:r>
                </w:p>
              </w:tc>
            </w:tr>
            <w:tr w14:paraId="2AB50A4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239D3544">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03F066CD">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11187588">
                  <w:pPr>
                    <w:pStyle w:val="3"/>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废润滑油暂存间</w:t>
                  </w:r>
                </w:p>
              </w:tc>
              <w:tc>
                <w:tcPr>
                  <w:tcW w:w="3296" w:type="pct"/>
                  <w:tcBorders>
                    <w:top w:val="single" w:color="auto" w:sz="6" w:space="0"/>
                    <w:left w:val="single" w:color="auto" w:sz="6" w:space="0"/>
                    <w:bottom w:val="single" w:color="auto" w:sz="6" w:space="0"/>
                    <w:right w:val="nil"/>
                  </w:tcBorders>
                  <w:noWrap w:val="0"/>
                  <w:vAlign w:val="center"/>
                </w:tcPr>
                <w:p w14:paraId="2C739369">
                  <w:pPr>
                    <w:pStyle w:val="3"/>
                    <w:bidi w:val="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17</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暂存废润滑油，储存能力2t，</w:t>
                  </w:r>
                  <w:r>
                    <w:rPr>
                      <w:rFonts w:hint="eastAsia" w:ascii="Times New Roman" w:hAnsi="Times New Roman" w:cs="Times New Roman"/>
                      <w:color w:val="auto"/>
                      <w:highlight w:val="none"/>
                      <w:lang w:val="en-US" w:eastAsia="zh-CN"/>
                    </w:rPr>
                    <w:t>属于</w:t>
                  </w:r>
                  <w:r>
                    <w:rPr>
                      <w:rFonts w:hint="eastAsia" w:ascii="Times New Roman" w:hAnsi="Times New Roman" w:cs="Times New Roman"/>
                      <w:color w:val="auto"/>
                      <w:highlight w:val="none"/>
                      <w:lang w:eastAsia="zh-CN"/>
                    </w:rPr>
                    <w:t>危险废物贮存库（</w:t>
                  </w:r>
                  <w:r>
                    <w:rPr>
                      <w:rFonts w:hint="eastAsia" w:ascii="Times New Roman" w:hAnsi="Times New Roman" w:cs="Times New Roman"/>
                      <w:color w:val="auto"/>
                      <w:lang w:val="en-US" w:eastAsia="zh-CN"/>
                    </w:rPr>
                    <w:t>编号TS003</w:t>
                  </w:r>
                  <w:r>
                    <w:rPr>
                      <w:rFonts w:hint="eastAsia" w:ascii="Times New Roman" w:hAnsi="Times New Roman" w:cs="Times New Roman"/>
                      <w:color w:val="auto"/>
                      <w:highlight w:val="none"/>
                      <w:lang w:eastAsia="zh-CN"/>
                    </w:rPr>
                    <w:t>），布置在厂区东南角。</w:t>
                  </w:r>
                </w:p>
              </w:tc>
            </w:tr>
            <w:tr w14:paraId="76DFB88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778647A">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13A07E9B">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05B4F96A">
                  <w:pPr>
                    <w:pStyle w:val="3"/>
                    <w:bidi w:val="0"/>
                    <w:ind w:firstLine="0" w:firstLineChars="0"/>
                    <w:rPr>
                      <w:rFonts w:hint="eastAsia" w:ascii="Times New Roman" w:hAnsi="Times New Roman" w:cs="Times New Roman"/>
                      <w:color w:val="auto"/>
                      <w:lang w:val="en-US" w:eastAsia="zh-CN"/>
                    </w:rPr>
                  </w:pPr>
                  <w:r>
                    <w:rPr>
                      <w:rFonts w:hint="eastAsia" w:ascii="Times New Roman" w:hAnsi="Times New Roman" w:cs="Times New Roman"/>
                      <w:color w:val="auto"/>
                      <w:lang w:eastAsia="zh-CN"/>
                    </w:rPr>
                    <w:t>废包装物暂存间</w:t>
                  </w:r>
                </w:p>
              </w:tc>
              <w:tc>
                <w:tcPr>
                  <w:tcW w:w="3296" w:type="pct"/>
                  <w:tcBorders>
                    <w:top w:val="single" w:color="auto" w:sz="6" w:space="0"/>
                    <w:left w:val="single" w:color="auto" w:sz="6" w:space="0"/>
                    <w:bottom w:val="single" w:color="auto" w:sz="6" w:space="0"/>
                    <w:right w:val="nil"/>
                  </w:tcBorders>
                  <w:noWrap w:val="0"/>
                  <w:vAlign w:val="center"/>
                </w:tcPr>
                <w:p w14:paraId="1F773C5C">
                  <w:pPr>
                    <w:pStyle w:val="3"/>
                    <w:bidi w:val="0"/>
                    <w:ind w:firstLine="0" w:firstLineChars="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暂存废试剂空瓶、废叉车蓄电池等，储存能力1.5t，属于危险废物贮存库</w:t>
                  </w:r>
                  <w:r>
                    <w:rPr>
                      <w:rFonts w:hint="eastAsia" w:ascii="Times New Roman" w:hAnsi="Times New Roman" w:cs="Times New Roman"/>
                      <w:color w:val="auto"/>
                      <w:highlight w:val="none"/>
                      <w:lang w:val="en-US" w:eastAsia="zh-CN"/>
                    </w:rPr>
                    <w:t>（编号TS004）</w:t>
                  </w:r>
                  <w:r>
                    <w:rPr>
                      <w:rFonts w:hint="eastAsia" w:ascii="Times New Roman" w:hAnsi="Times New Roman" w:cs="Times New Roman"/>
                      <w:color w:val="auto"/>
                      <w:highlight w:val="none"/>
                      <w:lang w:eastAsia="zh-CN"/>
                    </w:rPr>
                    <w:t>，布置在厂区东南角。</w:t>
                  </w:r>
                </w:p>
              </w:tc>
            </w:tr>
            <w:tr w14:paraId="104C613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0E741F7E">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67AE5B77">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22D4B59C">
                  <w:pPr>
                    <w:pStyle w:val="3"/>
                    <w:bidi w:val="0"/>
                    <w:ind w:firstLine="0" w:firstLineChars="0"/>
                    <w:rPr>
                      <w:rFonts w:hint="eastAsia" w:ascii="Times New Roman" w:hAnsi="Times New Roman" w:cs="Times New Roman"/>
                      <w:color w:val="auto"/>
                      <w:lang w:eastAsia="zh-CN"/>
                    </w:rPr>
                  </w:pPr>
                  <w:r>
                    <w:rPr>
                      <w:rFonts w:hint="eastAsia" w:ascii="Times New Roman" w:hAnsi="Times New Roman" w:cs="Times New Roman"/>
                      <w:color w:val="auto"/>
                      <w:lang w:eastAsia="zh-CN"/>
                    </w:rPr>
                    <w:t>皂脚储罐</w:t>
                  </w:r>
                </w:p>
              </w:tc>
              <w:tc>
                <w:tcPr>
                  <w:tcW w:w="3296" w:type="pct"/>
                  <w:tcBorders>
                    <w:top w:val="single" w:color="auto" w:sz="6" w:space="0"/>
                    <w:left w:val="single" w:color="auto" w:sz="6" w:space="0"/>
                    <w:bottom w:val="single" w:color="auto" w:sz="6" w:space="0"/>
                    <w:right w:val="nil"/>
                  </w:tcBorders>
                  <w:noWrap w:val="0"/>
                  <w:vAlign w:val="center"/>
                </w:tcPr>
                <w:p w14:paraId="0C9717CA">
                  <w:pPr>
                    <w:pStyle w:val="3"/>
                    <w:bidi w:val="0"/>
                    <w:ind w:firstLine="0" w:firstLineChars="0"/>
                    <w:jc w:val="both"/>
                    <w:rPr>
                      <w:rFonts w:hint="default" w:ascii="Times New Roman" w:hAnsi="Times New Roman" w:cs="Times New Roman"/>
                      <w:color w:val="auto"/>
                      <w:highlight w:val="yellow"/>
                      <w:lang w:eastAsia="zh-CN"/>
                    </w:rPr>
                  </w:pPr>
                  <w:r>
                    <w:rPr>
                      <w:rFonts w:hint="eastAsia" w:ascii="Times New Roman" w:hAnsi="Times New Roman" w:cs="Times New Roman"/>
                      <w:color w:val="auto"/>
                      <w:highlight w:val="none"/>
                      <w:lang w:val="en-US" w:eastAsia="zh-CN"/>
                    </w:rPr>
                    <w:t>2个，暂存皂脚，规格为200t/罐，设置在5#罐区，属于一般工业固废暂存点（TS005）。</w:t>
                  </w:r>
                </w:p>
              </w:tc>
            </w:tr>
            <w:tr w14:paraId="7AAF32D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306E38F5">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043A161F">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23F6C562">
                  <w:pPr>
                    <w:pStyle w:val="3"/>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实验废液暂存间</w:t>
                  </w:r>
                </w:p>
              </w:tc>
              <w:tc>
                <w:tcPr>
                  <w:tcW w:w="3296" w:type="pct"/>
                  <w:tcBorders>
                    <w:top w:val="single" w:color="auto" w:sz="6" w:space="0"/>
                    <w:left w:val="single" w:color="auto" w:sz="6" w:space="0"/>
                    <w:bottom w:val="single" w:color="auto" w:sz="6" w:space="0"/>
                    <w:right w:val="nil"/>
                  </w:tcBorders>
                  <w:noWrap w:val="0"/>
                  <w:vAlign w:val="center"/>
                </w:tcPr>
                <w:p w14:paraId="0C96EBB8">
                  <w:pPr>
                    <w:pStyle w:val="3"/>
                    <w:bidi w:val="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3</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暂存品控室产生的实验废液、综合废水处理站废水在线监测产生的实验废液，储存能力0.5t，属于危险废物贮存库编号（TS006）。</w:t>
                  </w:r>
                </w:p>
              </w:tc>
            </w:tr>
            <w:tr w14:paraId="60A5B4B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85498AA">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31276968">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67FD72D6">
                  <w:pPr>
                    <w:pStyle w:val="3"/>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豆梗暂存间</w:t>
                  </w:r>
                </w:p>
              </w:tc>
              <w:tc>
                <w:tcPr>
                  <w:tcW w:w="3296" w:type="pct"/>
                  <w:tcBorders>
                    <w:top w:val="single" w:color="auto" w:sz="6" w:space="0"/>
                    <w:left w:val="single" w:color="auto" w:sz="6" w:space="0"/>
                    <w:bottom w:val="single" w:color="auto" w:sz="6" w:space="0"/>
                    <w:right w:val="nil"/>
                  </w:tcBorders>
                  <w:noWrap w:val="0"/>
                  <w:vAlign w:val="center"/>
                </w:tcPr>
                <w:p w14:paraId="1BC0FD43">
                  <w:pPr>
                    <w:pStyle w:val="3"/>
                    <w:bidi w:val="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highlight w:val="none"/>
                      <w:lang w:val="en-US" w:eastAsia="zh-CN"/>
                    </w:rPr>
                    <w:t>33.45</w:t>
                  </w:r>
                  <w:r>
                    <w:rPr>
                      <w:rFonts w:hint="default" w:ascii="Times New Roman" w:hAnsi="Times New Roman" w:cs="Times New Roman"/>
                      <w:color w:val="auto"/>
                      <w:highlight w:val="none"/>
                      <w:lang w:val="en-US" w:eastAsia="zh-CN"/>
                    </w:rPr>
                    <w:t>m</w:t>
                  </w:r>
                  <w:r>
                    <w:rPr>
                      <w:rFonts w:hint="default" w:ascii="Times New Roman" w:hAnsi="Times New Roman" w:cs="Times New Roman"/>
                      <w:color w:val="auto"/>
                      <w:highlight w:val="none"/>
                      <w:vertAlign w:val="superscript"/>
                      <w:lang w:val="en-US" w:eastAsia="zh-CN"/>
                    </w:rPr>
                    <w:t>2</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暂存大豆筛选过程中产生的豆梗，储存能力3t，属于一般工业固废暂存点（TS007）</w:t>
                  </w:r>
                  <w:r>
                    <w:rPr>
                      <w:rFonts w:hint="eastAsia" w:ascii="Times New Roman" w:hAnsi="Times New Roman" w:cs="Times New Roman"/>
                      <w:color w:val="auto"/>
                      <w:highlight w:val="none"/>
                      <w:lang w:eastAsia="zh-CN"/>
                    </w:rPr>
                    <w:t>，布置在厂区东南角。</w:t>
                  </w:r>
                </w:p>
              </w:tc>
            </w:tr>
            <w:tr w14:paraId="5E9E03C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FBD4E53">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38C71505">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7138CCBA">
                  <w:pPr>
                    <w:pStyle w:val="3"/>
                    <w:bidi w:val="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废铁暂存间</w:t>
                  </w:r>
                </w:p>
              </w:tc>
              <w:tc>
                <w:tcPr>
                  <w:tcW w:w="3296" w:type="pct"/>
                  <w:tcBorders>
                    <w:top w:val="single" w:color="auto" w:sz="6" w:space="0"/>
                    <w:left w:val="single" w:color="auto" w:sz="6" w:space="0"/>
                    <w:bottom w:val="single" w:color="auto" w:sz="6" w:space="0"/>
                    <w:right w:val="nil"/>
                  </w:tcBorders>
                  <w:noWrap w:val="0"/>
                  <w:vAlign w:val="center"/>
                </w:tcPr>
                <w:p w14:paraId="10EDF63D">
                  <w:pPr>
                    <w:pStyle w:val="3"/>
                    <w:bidi w:val="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500</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暂存生产车间产生的废铁</w:t>
                  </w:r>
                  <w:r>
                    <w:rPr>
                      <w:rFonts w:hint="eastAsia" w:ascii="Times New Roman" w:hAnsi="Times New Roman" w:cs="Times New Roman"/>
                      <w:color w:val="auto"/>
                      <w:highlight w:val="none"/>
                      <w:lang w:val="en-US" w:eastAsia="zh-CN"/>
                    </w:rPr>
                    <w:t>，储存能力20t，属于一般工业固废暂存点（TS009）</w:t>
                  </w:r>
                  <w:r>
                    <w:rPr>
                      <w:rFonts w:hint="eastAsia" w:ascii="Times New Roman" w:hAnsi="Times New Roman" w:cs="Times New Roman"/>
                      <w:color w:val="auto"/>
                      <w:highlight w:val="none"/>
                      <w:lang w:eastAsia="zh-CN"/>
                    </w:rPr>
                    <w:t>，布置在厂区西北角。</w:t>
                  </w:r>
                </w:p>
              </w:tc>
            </w:tr>
            <w:tr w14:paraId="7C41F02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1AAC5A8C">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3441A6C0">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258C420B">
                  <w:pPr>
                    <w:pStyle w:val="3"/>
                    <w:bidi w:val="0"/>
                    <w:ind w:firstLine="0" w:firstLineChars="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脂肪酸储罐</w:t>
                  </w:r>
                </w:p>
              </w:tc>
              <w:tc>
                <w:tcPr>
                  <w:tcW w:w="3296" w:type="pct"/>
                  <w:tcBorders>
                    <w:top w:val="single" w:color="auto" w:sz="6" w:space="0"/>
                    <w:left w:val="single" w:color="auto" w:sz="6" w:space="0"/>
                    <w:bottom w:val="single" w:color="auto" w:sz="6" w:space="0"/>
                    <w:right w:val="nil"/>
                  </w:tcBorders>
                  <w:noWrap w:val="0"/>
                  <w:vAlign w:val="center"/>
                </w:tcPr>
                <w:p w14:paraId="3F79181B">
                  <w:pPr>
                    <w:pStyle w:val="3"/>
                    <w:bidi w:val="0"/>
                    <w:ind w:firstLine="0" w:firstLineChars="0"/>
                    <w:jc w:val="both"/>
                    <w:rPr>
                      <w:rFonts w:hint="default" w:ascii="Times New Roman" w:hAnsi="Times New Roman" w:cs="Times New Roman"/>
                      <w:color w:val="auto"/>
                      <w:highlight w:val="yellow"/>
                      <w:lang w:eastAsia="zh-CN"/>
                    </w:rPr>
                  </w:pPr>
                  <w:r>
                    <w:rPr>
                      <w:rFonts w:hint="eastAsia" w:ascii="Times New Roman" w:hAnsi="Times New Roman" w:cs="Times New Roman"/>
                      <w:color w:val="auto"/>
                      <w:highlight w:val="none"/>
                      <w:lang w:val="en-US" w:eastAsia="zh-CN"/>
                    </w:rPr>
                    <w:t>1个，暂存脂肪酸，规格为90t/罐，设置在5#罐区，属于一般工业固废暂存点（TS010）。</w:t>
                  </w:r>
                </w:p>
              </w:tc>
            </w:tr>
            <w:tr w14:paraId="2DDB71F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4EC3B4AB">
                  <w:pPr>
                    <w:pStyle w:val="3"/>
                    <w:bidi w:val="0"/>
                    <w:rPr>
                      <w:rFonts w:hint="default" w:ascii="Times New Roman" w:hAnsi="Times New Roman" w:cs="Times New Roman"/>
                      <w:color w:val="auto"/>
                    </w:rPr>
                  </w:pPr>
                </w:p>
              </w:tc>
              <w:tc>
                <w:tcPr>
                  <w:tcW w:w="445" w:type="pct"/>
                  <w:vMerge w:val="continue"/>
                  <w:tcBorders>
                    <w:left w:val="single" w:color="auto" w:sz="6" w:space="0"/>
                    <w:right w:val="single" w:color="auto" w:sz="4" w:space="0"/>
                  </w:tcBorders>
                  <w:noWrap w:val="0"/>
                  <w:vAlign w:val="center"/>
                </w:tcPr>
                <w:p w14:paraId="6EEA62BA">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321C72D3">
                  <w:pPr>
                    <w:pStyle w:val="3"/>
                    <w:bidi w:val="0"/>
                    <w:ind w:firstLine="0" w:firstLineChars="0"/>
                    <w:rPr>
                      <w:rFonts w:hint="eastAsia" w:ascii="Times New Roman" w:hAnsi="Times New Roman" w:cs="Times New Roman"/>
                      <w:color w:val="auto"/>
                      <w:lang w:eastAsia="zh-CN"/>
                    </w:rPr>
                  </w:pPr>
                  <w:r>
                    <w:rPr>
                      <w:rFonts w:hint="eastAsia" w:ascii="Times New Roman" w:hAnsi="Times New Roman" w:cs="Times New Roman"/>
                      <w:color w:val="auto"/>
                      <w:lang w:eastAsia="zh-CN"/>
                    </w:rPr>
                    <w:t>废旧物资暂存间</w:t>
                  </w:r>
                </w:p>
              </w:tc>
              <w:tc>
                <w:tcPr>
                  <w:tcW w:w="3296" w:type="pct"/>
                  <w:tcBorders>
                    <w:top w:val="single" w:color="auto" w:sz="6" w:space="0"/>
                    <w:left w:val="single" w:color="auto" w:sz="6" w:space="0"/>
                    <w:bottom w:val="single" w:color="auto" w:sz="6" w:space="0"/>
                    <w:right w:val="nil"/>
                  </w:tcBorders>
                  <w:noWrap w:val="0"/>
                  <w:vAlign w:val="center"/>
                </w:tcPr>
                <w:p w14:paraId="003006A6">
                  <w:pPr>
                    <w:pStyle w:val="3"/>
                    <w:bidi w:val="0"/>
                    <w:ind w:firstLine="0" w:firstLineChars="0"/>
                    <w:jc w:val="both"/>
                    <w:rPr>
                      <w:rFonts w:hint="default" w:ascii="Times New Roman" w:hAnsi="Times New Roman" w:cs="Times New Roman"/>
                      <w:color w:val="auto"/>
                      <w:highlight w:val="yellow"/>
                      <w:lang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33.45</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暂存废编织袋等杂物，储存能力7t，</w:t>
                  </w:r>
                  <w:r>
                    <w:rPr>
                      <w:rFonts w:hint="eastAsia" w:ascii="Times New Roman" w:hAnsi="Times New Roman" w:cs="Times New Roman"/>
                      <w:color w:val="auto"/>
                      <w:highlight w:val="none"/>
                      <w:lang w:val="en-US" w:eastAsia="zh-CN"/>
                    </w:rPr>
                    <w:t>属于</w:t>
                  </w:r>
                  <w:r>
                    <w:rPr>
                      <w:rFonts w:hint="default" w:ascii="Times New Roman" w:hAnsi="Times New Roman" w:cs="Times New Roman"/>
                      <w:color w:val="auto"/>
                      <w:highlight w:val="none"/>
                      <w:lang w:eastAsia="zh-CN"/>
                    </w:rPr>
                    <w:t>一般工业固废暂存间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lang w:val="en-US" w:eastAsia="zh-CN"/>
                    </w:rPr>
                    <w:t>编号TS011</w:t>
                  </w:r>
                  <w:r>
                    <w:rPr>
                      <w:rFonts w:hint="eastAsia" w:ascii="Times New Roman" w:hAnsi="Times New Roman" w:cs="Times New Roman"/>
                      <w:color w:val="auto"/>
                      <w:highlight w:val="none"/>
                      <w:lang w:eastAsia="zh-CN"/>
                    </w:rPr>
                    <w:t>），布置在厂区东南角。</w:t>
                  </w:r>
                </w:p>
              </w:tc>
            </w:tr>
            <w:tr w14:paraId="77D14AF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05" w:type="pct"/>
                  <w:vMerge w:val="continue"/>
                  <w:tcBorders>
                    <w:left w:val="nil"/>
                    <w:right w:val="single" w:color="auto" w:sz="6" w:space="0"/>
                  </w:tcBorders>
                  <w:noWrap w:val="0"/>
                  <w:vAlign w:val="center"/>
                </w:tcPr>
                <w:p w14:paraId="5A676731">
                  <w:pPr>
                    <w:pStyle w:val="3"/>
                    <w:bidi w:val="0"/>
                    <w:rPr>
                      <w:rFonts w:hint="default" w:ascii="Times New Roman" w:hAnsi="Times New Roman" w:cs="Times New Roman"/>
                      <w:color w:val="auto"/>
                    </w:rPr>
                  </w:pPr>
                </w:p>
              </w:tc>
              <w:tc>
                <w:tcPr>
                  <w:tcW w:w="445" w:type="pct"/>
                  <w:vMerge w:val="continue"/>
                  <w:tcBorders>
                    <w:left w:val="single" w:color="auto" w:sz="6" w:space="0"/>
                    <w:bottom w:val="single" w:color="auto" w:sz="6" w:space="0"/>
                    <w:right w:val="single" w:color="auto" w:sz="4" w:space="0"/>
                  </w:tcBorders>
                  <w:noWrap w:val="0"/>
                  <w:vAlign w:val="center"/>
                </w:tcPr>
                <w:p w14:paraId="01E32E9B">
                  <w:pPr>
                    <w:pStyle w:val="3"/>
                    <w:bidi w:val="0"/>
                    <w:rPr>
                      <w:rFonts w:hint="default" w:ascii="Times New Roman" w:hAnsi="Times New Roman" w:cs="Times New Roman"/>
                      <w:color w:val="auto"/>
                    </w:rPr>
                  </w:pPr>
                </w:p>
              </w:tc>
              <w:tc>
                <w:tcPr>
                  <w:tcW w:w="553" w:type="pct"/>
                  <w:gridSpan w:val="2"/>
                  <w:tcBorders>
                    <w:top w:val="single" w:color="auto" w:sz="6" w:space="0"/>
                    <w:left w:val="single" w:color="auto" w:sz="4" w:space="0"/>
                    <w:bottom w:val="single" w:color="auto" w:sz="6" w:space="0"/>
                    <w:right w:val="single" w:color="auto" w:sz="6" w:space="0"/>
                  </w:tcBorders>
                  <w:noWrap w:val="0"/>
                  <w:vAlign w:val="center"/>
                </w:tcPr>
                <w:p w14:paraId="4B99C1DF">
                  <w:pPr>
                    <w:pStyle w:val="3"/>
                    <w:bidi w:val="0"/>
                    <w:ind w:firstLine="0" w:firstLineChars="0"/>
                    <w:rPr>
                      <w:rFonts w:hint="eastAsia" w:ascii="Times New Roman" w:hAnsi="Times New Roman" w:cs="Times New Roman"/>
                      <w:color w:val="auto"/>
                      <w:lang w:eastAsia="zh-CN"/>
                    </w:rPr>
                  </w:pPr>
                  <w:r>
                    <w:rPr>
                      <w:rFonts w:hint="eastAsia" w:ascii="Times New Roman" w:hAnsi="Times New Roman" w:cs="Times New Roman"/>
                      <w:color w:val="auto"/>
                      <w:lang w:eastAsia="zh-CN"/>
                    </w:rPr>
                    <w:t>废旧物资暂存间</w:t>
                  </w:r>
                </w:p>
              </w:tc>
              <w:tc>
                <w:tcPr>
                  <w:tcW w:w="3296" w:type="pct"/>
                  <w:tcBorders>
                    <w:top w:val="single" w:color="auto" w:sz="6" w:space="0"/>
                    <w:left w:val="single" w:color="auto" w:sz="6" w:space="0"/>
                    <w:bottom w:val="single" w:color="auto" w:sz="6" w:space="0"/>
                    <w:right w:val="nil"/>
                  </w:tcBorders>
                  <w:noWrap w:val="0"/>
                  <w:vAlign w:val="center"/>
                </w:tcPr>
                <w:p w14:paraId="26778959">
                  <w:pPr>
                    <w:pStyle w:val="3"/>
                    <w:bidi w:val="0"/>
                    <w:ind w:firstLine="0" w:firstLineChars="0"/>
                    <w:jc w:val="both"/>
                    <w:rPr>
                      <w:rFonts w:hint="default" w:ascii="Times New Roman" w:hAnsi="Times New Roman" w:cs="Times New Roman"/>
                      <w:color w:val="auto"/>
                      <w:highlight w:val="yellow"/>
                      <w:lang w:val="en-US" w:eastAsia="zh-CN"/>
                    </w:rPr>
                  </w:pPr>
                  <w:r>
                    <w:rPr>
                      <w:rFonts w:hint="default" w:ascii="Times New Roman" w:hAnsi="Times New Roman" w:cs="Times New Roman"/>
                      <w:color w:val="auto"/>
                      <w:lang w:eastAsia="zh-CN"/>
                    </w:rPr>
                    <w:t>建筑面积为</w:t>
                  </w:r>
                  <w:r>
                    <w:rPr>
                      <w:rFonts w:hint="eastAsia" w:ascii="Times New Roman" w:hAnsi="Times New Roman" w:cs="Times New Roman"/>
                      <w:color w:val="auto"/>
                      <w:lang w:val="en-US" w:eastAsia="zh-CN"/>
                    </w:rPr>
                    <w:t>33.45</w:t>
                  </w:r>
                  <w:r>
                    <w:rPr>
                      <w:rFonts w:hint="default" w:ascii="Times New Roman" w:hAnsi="Times New Roman" w:cs="Times New Roman"/>
                      <w:color w:val="auto"/>
                      <w:lang w:val="en-US" w:eastAsia="zh-CN"/>
                    </w:rPr>
                    <w:t>m</w:t>
                  </w:r>
                  <w:r>
                    <w:rPr>
                      <w:rFonts w:hint="default" w:ascii="Times New Roman" w:hAnsi="Times New Roman" w:cs="Times New Roman"/>
                      <w:color w:val="auto"/>
                      <w:vertAlign w:val="superscript"/>
                      <w:lang w:val="en-US" w:eastAsia="zh-CN"/>
                    </w:rPr>
                    <w:t>2</w:t>
                  </w:r>
                  <w:r>
                    <w:rPr>
                      <w:rFonts w:hint="default" w:ascii="Times New Roman" w:hAnsi="Times New Roman" w:cs="Times New Roman"/>
                      <w:color w:val="auto"/>
                      <w:lang w:val="en-US" w:eastAsia="zh-CN"/>
                    </w:rPr>
                    <w:t>，</w:t>
                  </w:r>
                  <w:r>
                    <w:rPr>
                      <w:rFonts w:hint="eastAsia" w:ascii="Times New Roman" w:hAnsi="Times New Roman" w:cs="Times New Roman"/>
                      <w:color w:val="auto"/>
                      <w:lang w:val="en-US" w:eastAsia="zh-CN"/>
                    </w:rPr>
                    <w:t>暂存废纸箱、废空瓶等杂物，储存能力5t，</w:t>
                  </w:r>
                  <w:r>
                    <w:rPr>
                      <w:rFonts w:hint="eastAsia" w:ascii="Times New Roman" w:hAnsi="Times New Roman" w:cs="Times New Roman"/>
                      <w:color w:val="auto"/>
                      <w:highlight w:val="none"/>
                      <w:lang w:val="en-US" w:eastAsia="zh-CN"/>
                    </w:rPr>
                    <w:t>属于</w:t>
                  </w:r>
                  <w:r>
                    <w:rPr>
                      <w:rFonts w:hint="default" w:ascii="Times New Roman" w:hAnsi="Times New Roman" w:cs="Times New Roman"/>
                      <w:color w:val="auto"/>
                      <w:highlight w:val="none"/>
                      <w:lang w:eastAsia="zh-CN"/>
                    </w:rPr>
                    <w:t>一般工业固废暂存间</w:t>
                  </w:r>
                  <w:r>
                    <w:rPr>
                      <w:rFonts w:hint="eastAsia" w:ascii="Times New Roman" w:hAnsi="Times New Roman" w:cs="Times New Roman"/>
                      <w:color w:val="auto"/>
                      <w:highlight w:val="none"/>
                      <w:lang w:eastAsia="zh-CN"/>
                    </w:rPr>
                    <w:t>（</w:t>
                  </w:r>
                  <w:r>
                    <w:rPr>
                      <w:rFonts w:hint="eastAsia" w:ascii="Times New Roman" w:hAnsi="Times New Roman" w:cs="Times New Roman"/>
                      <w:color w:val="auto"/>
                      <w:highlight w:val="none"/>
                      <w:lang w:val="en-US" w:eastAsia="zh-CN"/>
                    </w:rPr>
                    <w:t>编号TS012</w:t>
                  </w:r>
                  <w:r>
                    <w:rPr>
                      <w:rFonts w:hint="eastAsia" w:ascii="Times New Roman" w:hAnsi="Times New Roman" w:cs="Times New Roman"/>
                      <w:color w:val="auto"/>
                      <w:highlight w:val="none"/>
                      <w:lang w:eastAsia="zh-CN"/>
                    </w:rPr>
                    <w:t>），布置在厂区东南角。</w:t>
                  </w:r>
                </w:p>
              </w:tc>
            </w:tr>
          </w:tbl>
          <w:p w14:paraId="1D3D8364">
            <w:pPr>
              <w:bidi w:val="0"/>
              <w:rPr>
                <w:rFonts w:hint="eastAsia"/>
                <w:color w:val="auto"/>
                <w:lang w:val="en-US" w:eastAsia="zh-CN"/>
              </w:rPr>
            </w:pPr>
            <w:r>
              <w:rPr>
                <w:rFonts w:hint="eastAsia"/>
                <w:color w:val="auto"/>
                <w:lang w:val="en-US" w:eastAsia="zh-CN"/>
              </w:rPr>
              <w:t>（2）现有工程主要生产设备</w:t>
            </w:r>
          </w:p>
          <w:p w14:paraId="20B97D3C">
            <w:pPr>
              <w:bidi w:val="0"/>
              <w:rPr>
                <w:rFonts w:hint="eastAsia"/>
                <w:color w:val="auto"/>
                <w:lang w:val="en-US" w:eastAsia="zh-CN"/>
              </w:rPr>
            </w:pPr>
            <w:r>
              <w:rPr>
                <w:rFonts w:hint="eastAsia"/>
                <w:color w:val="auto"/>
                <w:lang w:val="en-US" w:eastAsia="zh-CN"/>
              </w:rPr>
              <w:t>现有工程</w:t>
            </w:r>
            <w:r>
              <w:rPr>
                <w:rFonts w:hint="eastAsia"/>
                <w:color w:val="auto"/>
                <w:lang w:val="en-US" w:eastAsia="zh-CN"/>
              </w:rPr>
              <w:t>主要生产设备见表2.7-2。</w:t>
            </w:r>
          </w:p>
          <w:p w14:paraId="5A57B9D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表2.7-2 现有工程主要生产设备</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59"/>
              <w:gridCol w:w="2275"/>
              <w:gridCol w:w="3137"/>
              <w:gridCol w:w="1115"/>
            </w:tblGrid>
            <w:tr w14:paraId="502703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pct"/>
                  <w:tcBorders>
                    <w:tl2br w:val="nil"/>
                    <w:tr2bl w:val="nil"/>
                  </w:tcBorders>
                  <w:vAlign w:val="center"/>
                </w:tcPr>
                <w:p w14:paraId="515EA9A9">
                  <w:pPr>
                    <w:pStyle w:val="3"/>
                    <w:bidi w:val="0"/>
                    <w:rPr>
                      <w:rFonts w:hint="default" w:ascii="Times New Roman" w:hAnsi="Times New Roman" w:cs="Times New Roman"/>
                      <w:color w:val="auto"/>
                    </w:rPr>
                  </w:pPr>
                  <w:r>
                    <w:rPr>
                      <w:rFonts w:hint="default" w:ascii="Times New Roman" w:hAnsi="Times New Roman" w:cs="Times New Roman"/>
                      <w:color w:val="auto"/>
                    </w:rPr>
                    <w:t>生产单元</w:t>
                  </w:r>
                </w:p>
              </w:tc>
              <w:tc>
                <w:tcPr>
                  <w:tcW w:w="1356" w:type="pct"/>
                  <w:tcBorders>
                    <w:tl2br w:val="nil"/>
                    <w:tr2bl w:val="nil"/>
                  </w:tcBorders>
                  <w:vAlign w:val="center"/>
                </w:tcPr>
                <w:p w14:paraId="3457E084">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设备名称</w:t>
                  </w:r>
                </w:p>
              </w:tc>
              <w:tc>
                <w:tcPr>
                  <w:tcW w:w="1870" w:type="pct"/>
                  <w:tcBorders>
                    <w:tl2br w:val="nil"/>
                    <w:tr2bl w:val="nil"/>
                  </w:tcBorders>
                  <w:vAlign w:val="center"/>
                </w:tcPr>
                <w:p w14:paraId="7A1B5C50">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设备型号</w:t>
                  </w:r>
                </w:p>
              </w:tc>
              <w:tc>
                <w:tcPr>
                  <w:tcW w:w="664" w:type="pct"/>
                  <w:tcBorders>
                    <w:tl2br w:val="nil"/>
                    <w:tr2bl w:val="nil"/>
                  </w:tcBorders>
                  <w:vAlign w:val="center"/>
                </w:tcPr>
                <w:p w14:paraId="12C6C8CA">
                  <w:pPr>
                    <w:pStyle w:val="3"/>
                    <w:bidi w:val="0"/>
                    <w:rPr>
                      <w:rFonts w:hint="default" w:ascii="Times New Roman" w:hAnsi="Times New Roman" w:cs="Times New Roman"/>
                      <w:color w:val="auto"/>
                    </w:rPr>
                  </w:pPr>
                  <w:r>
                    <w:rPr>
                      <w:rFonts w:hint="default" w:ascii="Times New Roman" w:hAnsi="Times New Roman" w:cs="Times New Roman"/>
                      <w:color w:val="auto"/>
                    </w:rPr>
                    <w:t>数量</w:t>
                  </w:r>
                </w:p>
              </w:tc>
            </w:tr>
            <w:tr w14:paraId="6329E40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restart"/>
                  <w:tcBorders>
                    <w:tl2br w:val="nil"/>
                    <w:tr2bl w:val="nil"/>
                  </w:tcBorders>
                  <w:vAlign w:val="center"/>
                </w:tcPr>
                <w:p w14:paraId="6FFDEB23">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预处理车间</w:t>
                  </w:r>
                </w:p>
              </w:tc>
              <w:tc>
                <w:tcPr>
                  <w:tcW w:w="1356" w:type="pct"/>
                  <w:tcBorders>
                    <w:tl2br w:val="nil"/>
                    <w:tr2bl w:val="nil"/>
                  </w:tcBorders>
                  <w:vAlign w:val="center"/>
                </w:tcPr>
                <w:p w14:paraId="243A006A">
                  <w:pPr>
                    <w:pStyle w:val="3"/>
                    <w:bidi w:val="0"/>
                    <w:rPr>
                      <w:rFonts w:hint="default"/>
                      <w:color w:val="auto"/>
                      <w:lang w:val="en-US" w:eastAsia="zh-CN"/>
                    </w:rPr>
                  </w:pPr>
                  <w:r>
                    <w:rPr>
                      <w:rFonts w:hint="eastAsia"/>
                      <w:color w:val="auto"/>
                      <w:lang w:val="en-US" w:eastAsia="zh-CN"/>
                    </w:rPr>
                    <w:t>散料称</w:t>
                  </w:r>
                </w:p>
              </w:tc>
              <w:tc>
                <w:tcPr>
                  <w:tcW w:w="1870" w:type="pct"/>
                  <w:tcBorders>
                    <w:tl2br w:val="nil"/>
                    <w:tr2bl w:val="nil"/>
                  </w:tcBorders>
                  <w:vAlign w:val="center"/>
                </w:tcPr>
                <w:p w14:paraId="2A3B6645">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1F1EE7FE">
                  <w:pPr>
                    <w:pStyle w:val="3"/>
                    <w:bidi w:val="0"/>
                    <w:rPr>
                      <w:rFonts w:hint="default"/>
                      <w:color w:val="auto"/>
                      <w:lang w:val="en-US" w:eastAsia="zh-CN"/>
                    </w:rPr>
                  </w:pPr>
                  <w:r>
                    <w:rPr>
                      <w:rFonts w:hint="eastAsia"/>
                      <w:color w:val="auto"/>
                      <w:lang w:val="en-US" w:eastAsia="zh-CN"/>
                    </w:rPr>
                    <w:t>1台</w:t>
                  </w:r>
                </w:p>
              </w:tc>
            </w:tr>
            <w:tr w14:paraId="4FC2AB9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876302F">
                  <w:pPr>
                    <w:pStyle w:val="3"/>
                    <w:bidi w:val="0"/>
                    <w:rPr>
                      <w:rFonts w:hint="default" w:ascii="Times New Roman" w:hAnsi="Times New Roman" w:cs="Times New Roman"/>
                      <w:color w:val="auto"/>
                    </w:rPr>
                  </w:pPr>
                </w:p>
              </w:tc>
              <w:tc>
                <w:tcPr>
                  <w:tcW w:w="1356" w:type="pct"/>
                  <w:tcBorders>
                    <w:tl2br w:val="nil"/>
                    <w:tr2bl w:val="nil"/>
                  </w:tcBorders>
                  <w:vAlign w:val="center"/>
                </w:tcPr>
                <w:p w14:paraId="1ADC45F2">
                  <w:pPr>
                    <w:pStyle w:val="3"/>
                    <w:bidi w:val="0"/>
                    <w:rPr>
                      <w:rFonts w:hint="default"/>
                      <w:color w:val="auto"/>
                      <w:lang w:val="en-US" w:eastAsia="zh-CN"/>
                    </w:rPr>
                  </w:pPr>
                  <w:r>
                    <w:rPr>
                      <w:rFonts w:hint="eastAsia"/>
                      <w:color w:val="auto"/>
                      <w:lang w:val="en-US" w:eastAsia="zh-CN"/>
                    </w:rPr>
                    <w:t>初清筛</w:t>
                  </w:r>
                </w:p>
              </w:tc>
              <w:tc>
                <w:tcPr>
                  <w:tcW w:w="1870" w:type="pct"/>
                  <w:tcBorders>
                    <w:tl2br w:val="nil"/>
                    <w:tr2bl w:val="nil"/>
                  </w:tcBorders>
                  <w:vAlign w:val="center"/>
                </w:tcPr>
                <w:p w14:paraId="3FC79CC6">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6B27A7AB">
                  <w:pPr>
                    <w:pStyle w:val="3"/>
                    <w:bidi w:val="0"/>
                    <w:rPr>
                      <w:rFonts w:hint="default"/>
                      <w:color w:val="auto"/>
                      <w:lang w:val="en-US" w:eastAsia="zh-CN"/>
                    </w:rPr>
                  </w:pPr>
                  <w:r>
                    <w:rPr>
                      <w:rFonts w:hint="eastAsia"/>
                      <w:color w:val="auto"/>
                      <w:lang w:val="en-US" w:eastAsia="zh-CN"/>
                    </w:rPr>
                    <w:t>1台</w:t>
                  </w:r>
                </w:p>
              </w:tc>
            </w:tr>
            <w:tr w14:paraId="2DC28F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0CD03AB">
                  <w:pPr>
                    <w:pStyle w:val="3"/>
                    <w:bidi w:val="0"/>
                    <w:rPr>
                      <w:rFonts w:hint="default" w:ascii="Times New Roman" w:hAnsi="Times New Roman" w:cs="Times New Roman"/>
                      <w:color w:val="auto"/>
                    </w:rPr>
                  </w:pPr>
                </w:p>
              </w:tc>
              <w:tc>
                <w:tcPr>
                  <w:tcW w:w="1356" w:type="pct"/>
                  <w:tcBorders>
                    <w:tl2br w:val="nil"/>
                    <w:tr2bl w:val="nil"/>
                  </w:tcBorders>
                  <w:vAlign w:val="center"/>
                </w:tcPr>
                <w:p w14:paraId="67F4590F">
                  <w:pPr>
                    <w:pStyle w:val="3"/>
                    <w:bidi w:val="0"/>
                    <w:rPr>
                      <w:rFonts w:hint="default"/>
                      <w:color w:val="auto"/>
                    </w:rPr>
                  </w:pPr>
                  <w:r>
                    <w:rPr>
                      <w:rFonts w:hint="eastAsia"/>
                      <w:color w:val="auto"/>
                      <w:lang w:val="en-US" w:eastAsia="zh-CN"/>
                    </w:rPr>
                    <w:t>调质机</w:t>
                  </w:r>
                </w:p>
              </w:tc>
              <w:tc>
                <w:tcPr>
                  <w:tcW w:w="1870" w:type="pct"/>
                  <w:tcBorders>
                    <w:tl2br w:val="nil"/>
                    <w:tr2bl w:val="nil"/>
                  </w:tcBorders>
                  <w:vAlign w:val="center"/>
                </w:tcPr>
                <w:p w14:paraId="1F394FE7">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168D55BF">
                  <w:pPr>
                    <w:pStyle w:val="3"/>
                    <w:bidi w:val="0"/>
                    <w:rPr>
                      <w:rFonts w:hint="default"/>
                      <w:color w:val="auto"/>
                      <w:lang w:val="en-US" w:eastAsia="zh-CN"/>
                    </w:rPr>
                  </w:pPr>
                  <w:r>
                    <w:rPr>
                      <w:rFonts w:hint="eastAsia"/>
                      <w:color w:val="auto"/>
                      <w:lang w:val="en-US" w:eastAsia="zh-CN"/>
                    </w:rPr>
                    <w:t>1台</w:t>
                  </w:r>
                </w:p>
              </w:tc>
            </w:tr>
            <w:tr w14:paraId="0675ED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3EFBB189">
                  <w:pPr>
                    <w:pStyle w:val="3"/>
                    <w:bidi w:val="0"/>
                    <w:rPr>
                      <w:rFonts w:hint="default" w:ascii="Times New Roman" w:hAnsi="Times New Roman" w:cs="Times New Roman"/>
                      <w:color w:val="auto"/>
                    </w:rPr>
                  </w:pPr>
                </w:p>
              </w:tc>
              <w:tc>
                <w:tcPr>
                  <w:tcW w:w="1356" w:type="pct"/>
                  <w:tcBorders>
                    <w:tl2br w:val="nil"/>
                    <w:tr2bl w:val="nil"/>
                  </w:tcBorders>
                  <w:vAlign w:val="center"/>
                </w:tcPr>
                <w:p w14:paraId="6C96DC7D">
                  <w:pPr>
                    <w:pStyle w:val="3"/>
                    <w:bidi w:val="0"/>
                    <w:rPr>
                      <w:rFonts w:hint="default"/>
                      <w:color w:val="auto"/>
                      <w:lang w:val="en-US" w:eastAsia="zh-CN"/>
                    </w:rPr>
                  </w:pPr>
                  <w:r>
                    <w:rPr>
                      <w:rFonts w:hint="eastAsia"/>
                      <w:color w:val="auto"/>
                      <w:lang w:val="en-US" w:eastAsia="zh-CN"/>
                    </w:rPr>
                    <w:t>破碎机</w:t>
                  </w:r>
                </w:p>
              </w:tc>
              <w:tc>
                <w:tcPr>
                  <w:tcW w:w="1870" w:type="pct"/>
                  <w:tcBorders>
                    <w:tl2br w:val="nil"/>
                    <w:tr2bl w:val="nil"/>
                  </w:tcBorders>
                  <w:vAlign w:val="center"/>
                </w:tcPr>
                <w:p w14:paraId="63B2E941">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31CC862B">
                  <w:pPr>
                    <w:pStyle w:val="3"/>
                    <w:bidi w:val="0"/>
                    <w:rPr>
                      <w:rFonts w:hint="default"/>
                      <w:color w:val="auto"/>
                      <w:lang w:val="en-US" w:eastAsia="zh-CN"/>
                    </w:rPr>
                  </w:pPr>
                  <w:r>
                    <w:rPr>
                      <w:rFonts w:hint="eastAsia"/>
                      <w:color w:val="auto"/>
                      <w:lang w:val="en-US" w:eastAsia="zh-CN"/>
                    </w:rPr>
                    <w:t>6台</w:t>
                  </w:r>
                </w:p>
              </w:tc>
            </w:tr>
            <w:tr w14:paraId="2BBE06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09DF4204">
                  <w:pPr>
                    <w:pStyle w:val="3"/>
                    <w:bidi w:val="0"/>
                    <w:rPr>
                      <w:rFonts w:hint="default" w:ascii="Times New Roman" w:hAnsi="Times New Roman" w:cs="Times New Roman"/>
                      <w:color w:val="auto"/>
                    </w:rPr>
                  </w:pPr>
                </w:p>
              </w:tc>
              <w:tc>
                <w:tcPr>
                  <w:tcW w:w="1356" w:type="pct"/>
                  <w:tcBorders>
                    <w:tl2br w:val="nil"/>
                    <w:tr2bl w:val="nil"/>
                  </w:tcBorders>
                  <w:vAlign w:val="center"/>
                </w:tcPr>
                <w:p w14:paraId="77027C6C">
                  <w:pPr>
                    <w:pStyle w:val="3"/>
                    <w:bidi w:val="0"/>
                    <w:rPr>
                      <w:rFonts w:hint="default"/>
                      <w:color w:val="auto"/>
                      <w:lang w:val="en-US" w:eastAsia="zh-CN"/>
                    </w:rPr>
                  </w:pPr>
                  <w:r>
                    <w:rPr>
                      <w:rFonts w:hint="eastAsia"/>
                      <w:color w:val="auto"/>
                      <w:lang w:val="en-US" w:eastAsia="zh-CN"/>
                    </w:rPr>
                    <w:t>去皮器</w:t>
                  </w:r>
                </w:p>
              </w:tc>
              <w:tc>
                <w:tcPr>
                  <w:tcW w:w="1870" w:type="pct"/>
                  <w:tcBorders>
                    <w:tl2br w:val="nil"/>
                    <w:tr2bl w:val="nil"/>
                  </w:tcBorders>
                  <w:vAlign w:val="center"/>
                </w:tcPr>
                <w:p w14:paraId="37513FA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3C023FC4">
                  <w:pPr>
                    <w:pStyle w:val="3"/>
                    <w:bidi w:val="0"/>
                    <w:rPr>
                      <w:rFonts w:hint="default"/>
                      <w:color w:val="auto"/>
                      <w:lang w:val="en-US" w:eastAsia="zh-CN"/>
                    </w:rPr>
                  </w:pPr>
                  <w:r>
                    <w:rPr>
                      <w:rFonts w:hint="eastAsia"/>
                      <w:color w:val="auto"/>
                      <w:lang w:val="en-US" w:eastAsia="zh-CN"/>
                    </w:rPr>
                    <w:t>6台</w:t>
                  </w:r>
                </w:p>
              </w:tc>
            </w:tr>
            <w:tr w14:paraId="68FF27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72087AAC">
                  <w:pPr>
                    <w:pStyle w:val="3"/>
                    <w:bidi w:val="0"/>
                    <w:rPr>
                      <w:rFonts w:hint="default" w:ascii="Times New Roman" w:hAnsi="Times New Roman" w:cs="Times New Roman"/>
                      <w:color w:val="auto"/>
                    </w:rPr>
                  </w:pPr>
                </w:p>
              </w:tc>
              <w:tc>
                <w:tcPr>
                  <w:tcW w:w="1356" w:type="pct"/>
                  <w:tcBorders>
                    <w:tl2br w:val="nil"/>
                    <w:tr2bl w:val="nil"/>
                  </w:tcBorders>
                  <w:vAlign w:val="center"/>
                </w:tcPr>
                <w:p w14:paraId="78A562A5">
                  <w:pPr>
                    <w:pStyle w:val="3"/>
                    <w:bidi w:val="0"/>
                    <w:rPr>
                      <w:rFonts w:hint="default"/>
                      <w:color w:val="auto"/>
                      <w:lang w:val="en-US" w:eastAsia="zh-CN"/>
                    </w:rPr>
                  </w:pPr>
                  <w:r>
                    <w:rPr>
                      <w:rFonts w:hint="eastAsia"/>
                      <w:color w:val="auto"/>
                      <w:lang w:val="en-US" w:eastAsia="zh-CN"/>
                    </w:rPr>
                    <w:t>轧胚机</w:t>
                  </w:r>
                </w:p>
              </w:tc>
              <w:tc>
                <w:tcPr>
                  <w:tcW w:w="1870" w:type="pct"/>
                  <w:tcBorders>
                    <w:tl2br w:val="nil"/>
                    <w:tr2bl w:val="nil"/>
                  </w:tcBorders>
                  <w:vAlign w:val="center"/>
                </w:tcPr>
                <w:p w14:paraId="3434E421">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6C8DCD43">
                  <w:pPr>
                    <w:pStyle w:val="3"/>
                    <w:bidi w:val="0"/>
                    <w:rPr>
                      <w:rFonts w:hint="default"/>
                      <w:color w:val="auto"/>
                      <w:lang w:val="en-US" w:eastAsia="zh-CN"/>
                    </w:rPr>
                  </w:pPr>
                  <w:r>
                    <w:rPr>
                      <w:rFonts w:hint="eastAsia"/>
                      <w:color w:val="auto"/>
                      <w:lang w:val="en-US" w:eastAsia="zh-CN"/>
                    </w:rPr>
                    <w:t>10台</w:t>
                  </w:r>
                </w:p>
              </w:tc>
            </w:tr>
            <w:tr w14:paraId="7FF0D2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7A7F0E13">
                  <w:pPr>
                    <w:pStyle w:val="3"/>
                    <w:bidi w:val="0"/>
                    <w:rPr>
                      <w:rFonts w:hint="default" w:ascii="Times New Roman" w:hAnsi="Times New Roman" w:cs="Times New Roman"/>
                      <w:color w:val="auto"/>
                    </w:rPr>
                  </w:pPr>
                </w:p>
              </w:tc>
              <w:tc>
                <w:tcPr>
                  <w:tcW w:w="1356" w:type="pct"/>
                  <w:tcBorders>
                    <w:tl2br w:val="nil"/>
                    <w:tr2bl w:val="nil"/>
                  </w:tcBorders>
                  <w:vAlign w:val="center"/>
                </w:tcPr>
                <w:p w14:paraId="09999F30">
                  <w:pPr>
                    <w:pStyle w:val="3"/>
                    <w:bidi w:val="0"/>
                    <w:rPr>
                      <w:rFonts w:hint="default"/>
                      <w:color w:val="auto"/>
                      <w:lang w:val="en-US" w:eastAsia="zh-CN"/>
                    </w:rPr>
                  </w:pPr>
                  <w:r>
                    <w:rPr>
                      <w:rFonts w:hint="eastAsia"/>
                      <w:color w:val="auto"/>
                      <w:lang w:val="en-US" w:eastAsia="zh-CN"/>
                    </w:rPr>
                    <w:t>膨化机</w:t>
                  </w:r>
                </w:p>
              </w:tc>
              <w:tc>
                <w:tcPr>
                  <w:tcW w:w="1870" w:type="pct"/>
                  <w:tcBorders>
                    <w:tl2br w:val="nil"/>
                    <w:tr2bl w:val="nil"/>
                  </w:tcBorders>
                  <w:vAlign w:val="center"/>
                </w:tcPr>
                <w:p w14:paraId="1BA77F24">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7560B620">
                  <w:pPr>
                    <w:pStyle w:val="3"/>
                    <w:bidi w:val="0"/>
                    <w:rPr>
                      <w:rFonts w:hint="default"/>
                      <w:color w:val="auto"/>
                      <w:lang w:val="en-US" w:eastAsia="zh-CN"/>
                    </w:rPr>
                  </w:pPr>
                  <w:r>
                    <w:rPr>
                      <w:rFonts w:hint="eastAsia"/>
                      <w:color w:val="auto"/>
                      <w:lang w:val="en-US" w:eastAsia="zh-CN"/>
                    </w:rPr>
                    <w:t>1台</w:t>
                  </w:r>
                </w:p>
              </w:tc>
            </w:tr>
            <w:tr w14:paraId="09B3A0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2AF3C9BC">
                  <w:pPr>
                    <w:pStyle w:val="3"/>
                    <w:bidi w:val="0"/>
                    <w:rPr>
                      <w:rFonts w:hint="default" w:ascii="Times New Roman" w:hAnsi="Times New Roman" w:cs="Times New Roman"/>
                      <w:color w:val="auto"/>
                    </w:rPr>
                  </w:pPr>
                </w:p>
              </w:tc>
              <w:tc>
                <w:tcPr>
                  <w:tcW w:w="1356" w:type="pct"/>
                  <w:tcBorders>
                    <w:tl2br w:val="nil"/>
                    <w:tr2bl w:val="nil"/>
                  </w:tcBorders>
                  <w:vAlign w:val="center"/>
                </w:tcPr>
                <w:p w14:paraId="5F1FD39A">
                  <w:pPr>
                    <w:pStyle w:val="3"/>
                    <w:bidi w:val="0"/>
                    <w:rPr>
                      <w:rFonts w:hint="default"/>
                      <w:color w:val="auto"/>
                      <w:lang w:val="en-US" w:eastAsia="zh-CN"/>
                    </w:rPr>
                  </w:pPr>
                  <w:r>
                    <w:rPr>
                      <w:rFonts w:hint="eastAsia"/>
                      <w:color w:val="auto"/>
                      <w:lang w:val="en-US" w:eastAsia="zh-CN"/>
                    </w:rPr>
                    <w:t>冷干箱</w:t>
                  </w:r>
                </w:p>
              </w:tc>
              <w:tc>
                <w:tcPr>
                  <w:tcW w:w="1870" w:type="pct"/>
                  <w:tcBorders>
                    <w:tl2br w:val="nil"/>
                    <w:tr2bl w:val="nil"/>
                  </w:tcBorders>
                  <w:vAlign w:val="center"/>
                </w:tcPr>
                <w:p w14:paraId="03659FF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6CD59FB9">
                  <w:pPr>
                    <w:pStyle w:val="3"/>
                    <w:bidi w:val="0"/>
                    <w:rPr>
                      <w:rFonts w:hint="default"/>
                      <w:color w:val="auto"/>
                      <w:lang w:val="en-US" w:eastAsia="zh-CN"/>
                    </w:rPr>
                  </w:pPr>
                  <w:r>
                    <w:rPr>
                      <w:rFonts w:hint="eastAsia"/>
                      <w:color w:val="auto"/>
                      <w:lang w:val="en-US" w:eastAsia="zh-CN"/>
                    </w:rPr>
                    <w:t>1台</w:t>
                  </w:r>
                </w:p>
              </w:tc>
            </w:tr>
            <w:tr w14:paraId="73478D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79CC05FA">
                  <w:pPr>
                    <w:pStyle w:val="3"/>
                    <w:bidi w:val="0"/>
                    <w:rPr>
                      <w:rFonts w:hint="default" w:ascii="Times New Roman" w:hAnsi="Times New Roman" w:cs="Times New Roman"/>
                      <w:color w:val="auto"/>
                    </w:rPr>
                  </w:pPr>
                </w:p>
              </w:tc>
              <w:tc>
                <w:tcPr>
                  <w:tcW w:w="1356" w:type="pct"/>
                  <w:tcBorders>
                    <w:tl2br w:val="nil"/>
                    <w:tr2bl w:val="nil"/>
                  </w:tcBorders>
                  <w:vAlign w:val="center"/>
                </w:tcPr>
                <w:p w14:paraId="0F40CD81">
                  <w:pPr>
                    <w:pStyle w:val="3"/>
                    <w:bidi w:val="0"/>
                    <w:rPr>
                      <w:rFonts w:hint="default"/>
                      <w:color w:val="auto"/>
                      <w:lang w:val="en-US" w:eastAsia="zh-CN"/>
                    </w:rPr>
                  </w:pPr>
                  <w:r>
                    <w:rPr>
                      <w:rFonts w:hint="eastAsia"/>
                      <w:color w:val="auto"/>
                      <w:lang w:val="en-US" w:eastAsia="zh-CN"/>
                    </w:rPr>
                    <w:t>分级筛</w:t>
                  </w:r>
                </w:p>
              </w:tc>
              <w:tc>
                <w:tcPr>
                  <w:tcW w:w="1870" w:type="pct"/>
                  <w:tcBorders>
                    <w:tl2br w:val="nil"/>
                    <w:tr2bl w:val="nil"/>
                  </w:tcBorders>
                  <w:vAlign w:val="center"/>
                </w:tcPr>
                <w:p w14:paraId="09C1966E">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3DE2BEDE">
                  <w:pPr>
                    <w:pStyle w:val="3"/>
                    <w:bidi w:val="0"/>
                    <w:rPr>
                      <w:rFonts w:hint="default"/>
                      <w:color w:val="auto"/>
                      <w:lang w:val="en-US" w:eastAsia="zh-CN"/>
                    </w:rPr>
                  </w:pPr>
                  <w:r>
                    <w:rPr>
                      <w:rFonts w:hint="eastAsia"/>
                      <w:color w:val="auto"/>
                      <w:lang w:val="en-US" w:eastAsia="zh-CN"/>
                    </w:rPr>
                    <w:t>2台</w:t>
                  </w:r>
                </w:p>
              </w:tc>
            </w:tr>
            <w:tr w14:paraId="4C92B3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03CDE6A6">
                  <w:pPr>
                    <w:pStyle w:val="3"/>
                    <w:bidi w:val="0"/>
                    <w:rPr>
                      <w:rFonts w:hint="default" w:ascii="Times New Roman" w:hAnsi="Times New Roman" w:cs="Times New Roman"/>
                      <w:color w:val="auto"/>
                    </w:rPr>
                  </w:pPr>
                </w:p>
              </w:tc>
              <w:tc>
                <w:tcPr>
                  <w:tcW w:w="1356" w:type="pct"/>
                  <w:tcBorders>
                    <w:tl2br w:val="nil"/>
                    <w:tr2bl w:val="nil"/>
                  </w:tcBorders>
                  <w:vAlign w:val="center"/>
                </w:tcPr>
                <w:p w14:paraId="49DB447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粉碎机</w:t>
                  </w:r>
                </w:p>
              </w:tc>
              <w:tc>
                <w:tcPr>
                  <w:tcW w:w="1870" w:type="pct"/>
                  <w:tcBorders>
                    <w:tl2br w:val="nil"/>
                    <w:tr2bl w:val="nil"/>
                  </w:tcBorders>
                  <w:vAlign w:val="center"/>
                </w:tcPr>
                <w:p w14:paraId="3EF88B9D">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1928D654">
                  <w:pPr>
                    <w:pStyle w:val="3"/>
                    <w:bidi w:val="0"/>
                    <w:rPr>
                      <w:rFonts w:hint="default"/>
                      <w:color w:val="auto"/>
                      <w:lang w:val="en-US" w:eastAsia="zh-CN"/>
                    </w:rPr>
                  </w:pPr>
                  <w:r>
                    <w:rPr>
                      <w:rFonts w:hint="eastAsia"/>
                      <w:color w:val="auto"/>
                      <w:lang w:val="en-US" w:eastAsia="zh-CN"/>
                    </w:rPr>
                    <w:t>3台</w:t>
                  </w:r>
                </w:p>
              </w:tc>
            </w:tr>
            <w:tr w14:paraId="50B94D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restart"/>
                  <w:tcBorders>
                    <w:tl2br w:val="nil"/>
                    <w:tr2bl w:val="nil"/>
                  </w:tcBorders>
                  <w:vAlign w:val="center"/>
                </w:tcPr>
                <w:p w14:paraId="32240C8D">
                  <w:pPr>
                    <w:pStyle w:val="3"/>
                    <w:bidi w:val="0"/>
                    <w:jc w:val="center"/>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浸出车间</w:t>
                  </w:r>
                </w:p>
              </w:tc>
              <w:tc>
                <w:tcPr>
                  <w:tcW w:w="1356" w:type="pct"/>
                  <w:tcBorders>
                    <w:tl2br w:val="nil"/>
                    <w:tr2bl w:val="nil"/>
                  </w:tcBorders>
                  <w:vAlign w:val="center"/>
                </w:tcPr>
                <w:p w14:paraId="2AD3E8E9">
                  <w:pPr>
                    <w:pStyle w:val="3"/>
                    <w:bidi w:val="0"/>
                    <w:rPr>
                      <w:rFonts w:hint="default"/>
                      <w:color w:val="auto"/>
                      <w:lang w:eastAsia="zh-CN"/>
                    </w:rPr>
                  </w:pPr>
                  <w:r>
                    <w:rPr>
                      <w:rFonts w:hint="eastAsia"/>
                      <w:color w:val="auto"/>
                      <w:lang w:val="en-US" w:eastAsia="zh-CN"/>
                    </w:rPr>
                    <w:t>浸出器</w:t>
                  </w:r>
                </w:p>
              </w:tc>
              <w:tc>
                <w:tcPr>
                  <w:tcW w:w="1870" w:type="pct"/>
                  <w:tcBorders>
                    <w:tl2br w:val="nil"/>
                    <w:tr2bl w:val="nil"/>
                  </w:tcBorders>
                  <w:vAlign w:val="center"/>
                </w:tcPr>
                <w:p w14:paraId="50018F93">
                  <w:pPr>
                    <w:pStyle w:val="3"/>
                    <w:bidi w:val="0"/>
                    <w:ind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6BD4DB1E">
                  <w:pPr>
                    <w:pStyle w:val="3"/>
                    <w:bidi w:val="0"/>
                    <w:rPr>
                      <w:rFonts w:hint="default"/>
                      <w:color w:val="auto"/>
                      <w:lang w:val="en-US" w:eastAsia="zh-CN"/>
                    </w:rPr>
                  </w:pPr>
                  <w:r>
                    <w:rPr>
                      <w:rFonts w:hint="eastAsia"/>
                      <w:color w:val="auto"/>
                      <w:lang w:val="en-US" w:eastAsia="zh-CN"/>
                    </w:rPr>
                    <w:t>1台</w:t>
                  </w:r>
                </w:p>
              </w:tc>
            </w:tr>
            <w:tr w14:paraId="0BA1EE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08150D32">
                  <w:pPr>
                    <w:pStyle w:val="3"/>
                    <w:bidi w:val="0"/>
                    <w:rPr>
                      <w:rFonts w:hint="default" w:ascii="Times New Roman" w:hAnsi="Times New Roman" w:cs="Times New Roman"/>
                      <w:color w:val="auto"/>
                    </w:rPr>
                  </w:pPr>
                </w:p>
              </w:tc>
              <w:tc>
                <w:tcPr>
                  <w:tcW w:w="1356" w:type="pct"/>
                  <w:tcBorders>
                    <w:tl2br w:val="nil"/>
                    <w:tr2bl w:val="nil"/>
                  </w:tcBorders>
                  <w:vAlign w:val="center"/>
                </w:tcPr>
                <w:p w14:paraId="748B1D03">
                  <w:pPr>
                    <w:pStyle w:val="3"/>
                    <w:bidi w:val="0"/>
                    <w:rPr>
                      <w:rFonts w:hint="default"/>
                      <w:color w:val="auto"/>
                      <w:lang w:eastAsia="zh-CN"/>
                    </w:rPr>
                  </w:pPr>
                  <w:r>
                    <w:rPr>
                      <w:rFonts w:hint="eastAsia"/>
                      <w:color w:val="auto"/>
                      <w:lang w:val="en-US" w:eastAsia="zh-CN"/>
                    </w:rPr>
                    <w:t>预脱溶机</w:t>
                  </w:r>
                </w:p>
              </w:tc>
              <w:tc>
                <w:tcPr>
                  <w:tcW w:w="1870" w:type="pct"/>
                  <w:tcBorders>
                    <w:tl2br w:val="nil"/>
                    <w:tr2bl w:val="nil"/>
                  </w:tcBorders>
                  <w:vAlign w:val="center"/>
                </w:tcPr>
                <w:p w14:paraId="405F15AD">
                  <w:pPr>
                    <w:pStyle w:val="3"/>
                    <w:bidi w:val="0"/>
                    <w:ind w:firstLine="0" w:firstLineChars="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443E19CA">
                  <w:pPr>
                    <w:pStyle w:val="3"/>
                    <w:bidi w:val="0"/>
                    <w:rPr>
                      <w:rFonts w:hint="default"/>
                      <w:color w:val="auto"/>
                      <w:lang w:val="en-US" w:eastAsia="zh-CN"/>
                    </w:rPr>
                  </w:pPr>
                  <w:r>
                    <w:rPr>
                      <w:rFonts w:hint="eastAsia"/>
                      <w:color w:val="auto"/>
                      <w:lang w:val="en-US" w:eastAsia="zh-CN"/>
                    </w:rPr>
                    <w:t>1台</w:t>
                  </w:r>
                </w:p>
              </w:tc>
            </w:tr>
            <w:tr w14:paraId="4FD53B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1D35118">
                  <w:pPr>
                    <w:pStyle w:val="3"/>
                    <w:bidi w:val="0"/>
                    <w:rPr>
                      <w:rFonts w:hint="default" w:ascii="Times New Roman" w:hAnsi="Times New Roman" w:cs="Times New Roman"/>
                      <w:color w:val="auto"/>
                    </w:rPr>
                  </w:pPr>
                </w:p>
              </w:tc>
              <w:tc>
                <w:tcPr>
                  <w:tcW w:w="1356" w:type="pct"/>
                  <w:tcBorders>
                    <w:tl2br w:val="nil"/>
                    <w:tr2bl w:val="nil"/>
                  </w:tcBorders>
                  <w:vAlign w:val="center"/>
                </w:tcPr>
                <w:p w14:paraId="260D55E5">
                  <w:pPr>
                    <w:pStyle w:val="3"/>
                    <w:bidi w:val="0"/>
                    <w:rPr>
                      <w:rFonts w:hint="default"/>
                      <w:color w:val="auto"/>
                      <w:lang w:eastAsia="zh-CN"/>
                    </w:rPr>
                  </w:pPr>
                  <w:r>
                    <w:rPr>
                      <w:rFonts w:hint="eastAsia"/>
                      <w:color w:val="auto"/>
                      <w:lang w:val="en-US" w:eastAsia="zh-CN"/>
                    </w:rPr>
                    <w:t>蒸脱机</w:t>
                  </w:r>
                </w:p>
              </w:tc>
              <w:tc>
                <w:tcPr>
                  <w:tcW w:w="1870" w:type="pct"/>
                  <w:tcBorders>
                    <w:tl2br w:val="nil"/>
                    <w:tr2bl w:val="nil"/>
                  </w:tcBorders>
                  <w:vAlign w:val="center"/>
                </w:tcPr>
                <w:p w14:paraId="6DF1BE6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213D3C1E">
                  <w:pPr>
                    <w:pStyle w:val="3"/>
                    <w:bidi w:val="0"/>
                    <w:rPr>
                      <w:rFonts w:hint="default"/>
                      <w:color w:val="auto"/>
                      <w:lang w:val="en-US" w:eastAsia="zh-CN"/>
                    </w:rPr>
                  </w:pPr>
                  <w:r>
                    <w:rPr>
                      <w:rFonts w:hint="eastAsia"/>
                      <w:color w:val="auto"/>
                      <w:lang w:val="en-US" w:eastAsia="zh-CN"/>
                    </w:rPr>
                    <w:t>1台</w:t>
                  </w:r>
                </w:p>
              </w:tc>
            </w:tr>
            <w:tr w14:paraId="3A3C05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6C859F5">
                  <w:pPr>
                    <w:pStyle w:val="3"/>
                    <w:bidi w:val="0"/>
                    <w:rPr>
                      <w:rFonts w:hint="default" w:ascii="Times New Roman" w:hAnsi="Times New Roman" w:cs="Times New Roman"/>
                      <w:color w:val="auto"/>
                    </w:rPr>
                  </w:pPr>
                </w:p>
              </w:tc>
              <w:tc>
                <w:tcPr>
                  <w:tcW w:w="1356" w:type="pct"/>
                  <w:tcBorders>
                    <w:tl2br w:val="nil"/>
                    <w:tr2bl w:val="nil"/>
                  </w:tcBorders>
                  <w:vAlign w:val="center"/>
                </w:tcPr>
                <w:p w14:paraId="1A10C657">
                  <w:pPr>
                    <w:pStyle w:val="3"/>
                    <w:bidi w:val="0"/>
                    <w:rPr>
                      <w:rFonts w:hint="default"/>
                      <w:color w:val="auto"/>
                      <w:lang w:eastAsia="zh-CN"/>
                    </w:rPr>
                  </w:pPr>
                  <w:r>
                    <w:rPr>
                      <w:rFonts w:hint="eastAsia"/>
                      <w:color w:val="auto"/>
                      <w:lang w:val="en-US" w:eastAsia="zh-CN"/>
                    </w:rPr>
                    <w:t>预一蒸发器</w:t>
                  </w:r>
                </w:p>
              </w:tc>
              <w:tc>
                <w:tcPr>
                  <w:tcW w:w="1870" w:type="pct"/>
                  <w:tcBorders>
                    <w:tl2br w:val="nil"/>
                    <w:tr2bl w:val="nil"/>
                  </w:tcBorders>
                  <w:vAlign w:val="center"/>
                </w:tcPr>
                <w:p w14:paraId="6016FA42">
                  <w:pPr>
                    <w:pStyle w:val="3"/>
                    <w:bidi w:val="0"/>
                    <w:ind w:firstLine="0" w:firstLineChars="0"/>
                    <w:rPr>
                      <w:rFonts w:hint="default" w:ascii="Times New Roman" w:hAnsi="Times New Roman" w:eastAsia="宋体" w:cs="Times New Roman"/>
                      <w:color w:val="auto"/>
                      <w:highlight w:val="none"/>
                      <w:lang w:val="en-US" w:eastAsia="zh-CN"/>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2A08EC5D">
                  <w:pPr>
                    <w:pStyle w:val="3"/>
                    <w:bidi w:val="0"/>
                    <w:rPr>
                      <w:rFonts w:hint="default"/>
                      <w:color w:val="auto"/>
                      <w:lang w:val="en-US" w:eastAsia="zh-CN"/>
                    </w:rPr>
                  </w:pPr>
                  <w:r>
                    <w:rPr>
                      <w:rFonts w:hint="eastAsia"/>
                      <w:color w:val="auto"/>
                      <w:lang w:val="en-US" w:eastAsia="zh-CN"/>
                    </w:rPr>
                    <w:t>1台</w:t>
                  </w:r>
                </w:p>
              </w:tc>
            </w:tr>
            <w:tr w14:paraId="0B66D1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3278A8C6">
                  <w:pPr>
                    <w:pStyle w:val="3"/>
                    <w:bidi w:val="0"/>
                    <w:rPr>
                      <w:rFonts w:hint="default" w:ascii="Times New Roman" w:hAnsi="Times New Roman" w:cs="Times New Roman"/>
                      <w:color w:val="auto"/>
                    </w:rPr>
                  </w:pPr>
                </w:p>
              </w:tc>
              <w:tc>
                <w:tcPr>
                  <w:tcW w:w="1356" w:type="pct"/>
                  <w:tcBorders>
                    <w:tl2br w:val="nil"/>
                    <w:tr2bl w:val="nil"/>
                  </w:tcBorders>
                  <w:vAlign w:val="center"/>
                </w:tcPr>
                <w:p w14:paraId="5675A02D">
                  <w:pPr>
                    <w:pStyle w:val="3"/>
                    <w:bidi w:val="0"/>
                    <w:rPr>
                      <w:rFonts w:hint="default"/>
                      <w:color w:val="auto"/>
                      <w:lang w:eastAsia="zh-CN"/>
                    </w:rPr>
                  </w:pPr>
                  <w:r>
                    <w:rPr>
                      <w:rFonts w:hint="eastAsia"/>
                      <w:color w:val="auto"/>
                      <w:lang w:val="en-US" w:eastAsia="zh-CN"/>
                    </w:rPr>
                    <w:t>一蒸蒸发器</w:t>
                  </w:r>
                </w:p>
              </w:tc>
              <w:tc>
                <w:tcPr>
                  <w:tcW w:w="1870" w:type="pct"/>
                  <w:tcBorders>
                    <w:tl2br w:val="nil"/>
                    <w:tr2bl w:val="nil"/>
                  </w:tcBorders>
                  <w:vAlign w:val="center"/>
                </w:tcPr>
                <w:p w14:paraId="6D8CFFC1">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220BB309">
                  <w:pPr>
                    <w:pStyle w:val="3"/>
                    <w:bidi w:val="0"/>
                    <w:rPr>
                      <w:rFonts w:hint="default"/>
                      <w:color w:val="auto"/>
                      <w:lang w:val="en-US" w:eastAsia="zh-CN"/>
                    </w:rPr>
                  </w:pPr>
                  <w:r>
                    <w:rPr>
                      <w:rFonts w:hint="eastAsia"/>
                      <w:color w:val="auto"/>
                      <w:lang w:val="en-US" w:eastAsia="zh-CN"/>
                    </w:rPr>
                    <w:t>1台</w:t>
                  </w:r>
                </w:p>
              </w:tc>
            </w:tr>
            <w:tr w14:paraId="24C72C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277A777A">
                  <w:pPr>
                    <w:pStyle w:val="3"/>
                    <w:bidi w:val="0"/>
                    <w:rPr>
                      <w:rFonts w:hint="default" w:ascii="Times New Roman" w:hAnsi="Times New Roman" w:cs="Times New Roman"/>
                      <w:color w:val="auto"/>
                    </w:rPr>
                  </w:pPr>
                </w:p>
              </w:tc>
              <w:tc>
                <w:tcPr>
                  <w:tcW w:w="1356" w:type="pct"/>
                  <w:tcBorders>
                    <w:tl2br w:val="nil"/>
                    <w:tr2bl w:val="nil"/>
                  </w:tcBorders>
                  <w:vAlign w:val="center"/>
                </w:tcPr>
                <w:p w14:paraId="5DEC21FF">
                  <w:pPr>
                    <w:pStyle w:val="3"/>
                    <w:bidi w:val="0"/>
                    <w:rPr>
                      <w:rFonts w:hint="default"/>
                      <w:color w:val="auto"/>
                      <w:lang w:eastAsia="zh-CN"/>
                    </w:rPr>
                  </w:pPr>
                  <w:r>
                    <w:rPr>
                      <w:rFonts w:hint="eastAsia"/>
                      <w:color w:val="auto"/>
                      <w:lang w:val="en-US" w:eastAsia="zh-CN"/>
                    </w:rPr>
                    <w:t>二蒸蒸发器</w:t>
                  </w:r>
                </w:p>
              </w:tc>
              <w:tc>
                <w:tcPr>
                  <w:tcW w:w="1870" w:type="pct"/>
                  <w:tcBorders>
                    <w:tl2br w:val="nil"/>
                    <w:tr2bl w:val="nil"/>
                  </w:tcBorders>
                  <w:vAlign w:val="center"/>
                </w:tcPr>
                <w:p w14:paraId="3B9C24E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20A02A44">
                  <w:pPr>
                    <w:pStyle w:val="3"/>
                    <w:bidi w:val="0"/>
                    <w:rPr>
                      <w:rFonts w:hint="default"/>
                      <w:color w:val="auto"/>
                      <w:lang w:val="en-US" w:eastAsia="zh-CN"/>
                    </w:rPr>
                  </w:pPr>
                  <w:r>
                    <w:rPr>
                      <w:rFonts w:hint="eastAsia"/>
                      <w:color w:val="auto"/>
                      <w:lang w:val="en-US" w:eastAsia="zh-CN"/>
                    </w:rPr>
                    <w:t>1台</w:t>
                  </w:r>
                </w:p>
              </w:tc>
            </w:tr>
            <w:tr w14:paraId="3FBE75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3EFBE532">
                  <w:pPr>
                    <w:pStyle w:val="3"/>
                    <w:bidi w:val="0"/>
                    <w:rPr>
                      <w:rFonts w:hint="default" w:ascii="Times New Roman" w:hAnsi="Times New Roman" w:cs="Times New Roman"/>
                      <w:color w:val="auto"/>
                    </w:rPr>
                  </w:pPr>
                </w:p>
              </w:tc>
              <w:tc>
                <w:tcPr>
                  <w:tcW w:w="1356" w:type="pct"/>
                  <w:tcBorders>
                    <w:tl2br w:val="nil"/>
                    <w:tr2bl w:val="nil"/>
                  </w:tcBorders>
                  <w:vAlign w:val="center"/>
                </w:tcPr>
                <w:p w14:paraId="19A05EEF">
                  <w:pPr>
                    <w:pStyle w:val="3"/>
                    <w:bidi w:val="0"/>
                    <w:rPr>
                      <w:rFonts w:hint="default"/>
                      <w:color w:val="auto"/>
                      <w:lang w:eastAsia="zh-CN"/>
                    </w:rPr>
                  </w:pPr>
                  <w:r>
                    <w:rPr>
                      <w:rFonts w:hint="eastAsia"/>
                      <w:color w:val="auto"/>
                      <w:lang w:val="en-US" w:eastAsia="zh-CN"/>
                    </w:rPr>
                    <w:t>中间蒸发器</w:t>
                  </w:r>
                </w:p>
              </w:tc>
              <w:tc>
                <w:tcPr>
                  <w:tcW w:w="1870" w:type="pct"/>
                  <w:tcBorders>
                    <w:tl2br w:val="nil"/>
                    <w:tr2bl w:val="nil"/>
                  </w:tcBorders>
                  <w:vAlign w:val="center"/>
                </w:tcPr>
                <w:p w14:paraId="515CD7F6">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2184040B">
                  <w:pPr>
                    <w:pStyle w:val="3"/>
                    <w:bidi w:val="0"/>
                    <w:rPr>
                      <w:rFonts w:hint="default"/>
                      <w:color w:val="auto"/>
                      <w:lang w:val="en-US" w:eastAsia="zh-CN"/>
                    </w:rPr>
                  </w:pPr>
                  <w:r>
                    <w:rPr>
                      <w:rFonts w:hint="eastAsia"/>
                      <w:color w:val="auto"/>
                      <w:lang w:val="en-US" w:eastAsia="zh-CN"/>
                    </w:rPr>
                    <w:t>1台</w:t>
                  </w:r>
                </w:p>
              </w:tc>
            </w:tr>
            <w:tr w14:paraId="144B63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6313FC84">
                  <w:pPr>
                    <w:pStyle w:val="3"/>
                    <w:bidi w:val="0"/>
                    <w:rPr>
                      <w:rFonts w:hint="default" w:ascii="Times New Roman" w:hAnsi="Times New Roman" w:cs="Times New Roman"/>
                      <w:color w:val="auto"/>
                    </w:rPr>
                  </w:pPr>
                </w:p>
              </w:tc>
              <w:tc>
                <w:tcPr>
                  <w:tcW w:w="1356" w:type="pct"/>
                  <w:tcBorders>
                    <w:tl2br w:val="nil"/>
                    <w:tr2bl w:val="nil"/>
                  </w:tcBorders>
                  <w:vAlign w:val="center"/>
                </w:tcPr>
                <w:p w14:paraId="3F4282E6">
                  <w:pPr>
                    <w:pStyle w:val="3"/>
                    <w:bidi w:val="0"/>
                    <w:rPr>
                      <w:rFonts w:hint="eastAsia"/>
                      <w:color w:val="auto"/>
                    </w:rPr>
                  </w:pPr>
                  <w:r>
                    <w:rPr>
                      <w:rFonts w:hint="eastAsia"/>
                      <w:color w:val="auto"/>
                      <w:lang w:val="en-US" w:eastAsia="zh-CN"/>
                    </w:rPr>
                    <w:t>汽提塔</w:t>
                  </w:r>
                </w:p>
              </w:tc>
              <w:tc>
                <w:tcPr>
                  <w:tcW w:w="1870" w:type="pct"/>
                  <w:tcBorders>
                    <w:tl2br w:val="nil"/>
                    <w:tr2bl w:val="nil"/>
                  </w:tcBorders>
                  <w:vAlign w:val="center"/>
                </w:tcPr>
                <w:p w14:paraId="14A5E600">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565127D1">
                  <w:pPr>
                    <w:pStyle w:val="3"/>
                    <w:bidi w:val="0"/>
                    <w:rPr>
                      <w:rFonts w:hint="default"/>
                      <w:color w:val="auto"/>
                      <w:lang w:val="en-US" w:eastAsia="zh-CN"/>
                    </w:rPr>
                  </w:pPr>
                  <w:r>
                    <w:rPr>
                      <w:rFonts w:hint="eastAsia"/>
                      <w:color w:val="auto"/>
                      <w:lang w:val="en-US" w:eastAsia="zh-CN"/>
                    </w:rPr>
                    <w:t>1台</w:t>
                  </w:r>
                </w:p>
              </w:tc>
            </w:tr>
            <w:tr w14:paraId="3BD8D39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290B2A12">
                  <w:pPr>
                    <w:pStyle w:val="3"/>
                    <w:bidi w:val="0"/>
                    <w:rPr>
                      <w:rFonts w:hint="default" w:ascii="Times New Roman" w:hAnsi="Times New Roman" w:cs="Times New Roman"/>
                      <w:color w:val="auto"/>
                    </w:rPr>
                  </w:pPr>
                </w:p>
              </w:tc>
              <w:tc>
                <w:tcPr>
                  <w:tcW w:w="1356" w:type="pct"/>
                  <w:tcBorders>
                    <w:tl2br w:val="nil"/>
                    <w:tr2bl w:val="nil"/>
                  </w:tcBorders>
                  <w:vAlign w:val="center"/>
                </w:tcPr>
                <w:p w14:paraId="2516B00F">
                  <w:pPr>
                    <w:pStyle w:val="3"/>
                    <w:bidi w:val="0"/>
                    <w:rPr>
                      <w:rFonts w:hint="default"/>
                      <w:color w:val="auto"/>
                      <w:lang w:eastAsia="zh-CN"/>
                    </w:rPr>
                  </w:pPr>
                  <w:r>
                    <w:rPr>
                      <w:rFonts w:hint="eastAsia"/>
                      <w:color w:val="auto"/>
                      <w:lang w:val="en-US" w:eastAsia="zh-CN"/>
                    </w:rPr>
                    <w:t>高真空脱溶塔</w:t>
                  </w:r>
                </w:p>
              </w:tc>
              <w:tc>
                <w:tcPr>
                  <w:tcW w:w="1870" w:type="pct"/>
                  <w:tcBorders>
                    <w:tl2br w:val="nil"/>
                    <w:tr2bl w:val="nil"/>
                  </w:tcBorders>
                  <w:vAlign w:val="center"/>
                </w:tcPr>
                <w:p w14:paraId="2B148E18">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56AA8D27">
                  <w:pPr>
                    <w:pStyle w:val="3"/>
                    <w:bidi w:val="0"/>
                    <w:rPr>
                      <w:rFonts w:hint="default"/>
                      <w:color w:val="auto"/>
                      <w:lang w:val="en-US" w:eastAsia="zh-CN"/>
                    </w:rPr>
                  </w:pPr>
                  <w:r>
                    <w:rPr>
                      <w:rFonts w:hint="eastAsia"/>
                      <w:color w:val="auto"/>
                      <w:lang w:val="en-US" w:eastAsia="zh-CN"/>
                    </w:rPr>
                    <w:t>1台</w:t>
                  </w:r>
                </w:p>
              </w:tc>
            </w:tr>
            <w:tr w14:paraId="4B1D03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64999BF4">
                  <w:pPr>
                    <w:pStyle w:val="3"/>
                    <w:bidi w:val="0"/>
                    <w:rPr>
                      <w:rFonts w:hint="default" w:ascii="Times New Roman" w:hAnsi="Times New Roman" w:cs="Times New Roman"/>
                      <w:color w:val="auto"/>
                    </w:rPr>
                  </w:pPr>
                </w:p>
              </w:tc>
              <w:tc>
                <w:tcPr>
                  <w:tcW w:w="1356" w:type="pct"/>
                  <w:tcBorders>
                    <w:tl2br w:val="nil"/>
                    <w:tr2bl w:val="nil"/>
                  </w:tcBorders>
                  <w:vAlign w:val="center"/>
                </w:tcPr>
                <w:p w14:paraId="6D12DB9A">
                  <w:pPr>
                    <w:pStyle w:val="3"/>
                    <w:bidi w:val="0"/>
                    <w:rPr>
                      <w:rFonts w:hint="default"/>
                      <w:color w:val="auto"/>
                      <w:lang w:eastAsia="zh-CN"/>
                    </w:rPr>
                  </w:pPr>
                  <w:r>
                    <w:rPr>
                      <w:rFonts w:hint="eastAsia"/>
                      <w:color w:val="auto"/>
                      <w:lang w:val="en-US" w:eastAsia="zh-CN"/>
                    </w:rPr>
                    <w:t>冷凝器</w:t>
                  </w:r>
                </w:p>
              </w:tc>
              <w:tc>
                <w:tcPr>
                  <w:tcW w:w="1870" w:type="pct"/>
                  <w:tcBorders>
                    <w:tl2br w:val="nil"/>
                    <w:tr2bl w:val="nil"/>
                  </w:tcBorders>
                  <w:vAlign w:val="center"/>
                </w:tcPr>
                <w:p w14:paraId="3700CFB3">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166F9094">
                  <w:pPr>
                    <w:pStyle w:val="3"/>
                    <w:bidi w:val="0"/>
                    <w:rPr>
                      <w:rFonts w:hint="default"/>
                      <w:color w:val="auto"/>
                      <w:lang w:val="en-US" w:eastAsia="zh-CN"/>
                    </w:rPr>
                  </w:pPr>
                  <w:r>
                    <w:rPr>
                      <w:rFonts w:hint="eastAsia"/>
                      <w:color w:val="auto"/>
                      <w:lang w:val="en-US" w:eastAsia="zh-CN"/>
                    </w:rPr>
                    <w:t>7台</w:t>
                  </w:r>
                </w:p>
              </w:tc>
            </w:tr>
            <w:tr w14:paraId="3135C0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5C7518F9">
                  <w:pPr>
                    <w:pStyle w:val="3"/>
                    <w:bidi w:val="0"/>
                    <w:rPr>
                      <w:rFonts w:hint="default" w:ascii="Times New Roman" w:hAnsi="Times New Roman" w:cs="Times New Roman"/>
                      <w:color w:val="auto"/>
                    </w:rPr>
                  </w:pPr>
                </w:p>
              </w:tc>
              <w:tc>
                <w:tcPr>
                  <w:tcW w:w="1356" w:type="pct"/>
                  <w:tcBorders>
                    <w:tl2br w:val="nil"/>
                    <w:tr2bl w:val="nil"/>
                  </w:tcBorders>
                  <w:vAlign w:val="center"/>
                </w:tcPr>
                <w:p w14:paraId="3AD5A85C">
                  <w:pPr>
                    <w:pStyle w:val="3"/>
                    <w:bidi w:val="0"/>
                    <w:rPr>
                      <w:rFonts w:hint="default"/>
                      <w:color w:val="auto"/>
                      <w:lang w:eastAsia="zh-CN"/>
                    </w:rPr>
                  </w:pPr>
                  <w:r>
                    <w:rPr>
                      <w:rFonts w:hint="eastAsia"/>
                      <w:color w:val="auto"/>
                      <w:lang w:val="en-US" w:eastAsia="zh-CN"/>
                    </w:rPr>
                    <w:t>解析塔</w:t>
                  </w:r>
                </w:p>
              </w:tc>
              <w:tc>
                <w:tcPr>
                  <w:tcW w:w="1870" w:type="pct"/>
                  <w:tcBorders>
                    <w:tl2br w:val="nil"/>
                    <w:tr2bl w:val="nil"/>
                  </w:tcBorders>
                  <w:vAlign w:val="center"/>
                </w:tcPr>
                <w:p w14:paraId="48726B8F">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41FA5EFB">
                  <w:pPr>
                    <w:pStyle w:val="3"/>
                    <w:bidi w:val="0"/>
                    <w:rPr>
                      <w:rFonts w:hint="default"/>
                      <w:color w:val="auto"/>
                      <w:lang w:val="en-US" w:eastAsia="zh-CN"/>
                    </w:rPr>
                  </w:pPr>
                  <w:r>
                    <w:rPr>
                      <w:rFonts w:hint="eastAsia"/>
                      <w:color w:val="auto"/>
                      <w:lang w:val="en-US" w:eastAsia="zh-CN"/>
                    </w:rPr>
                    <w:t>1台</w:t>
                  </w:r>
                </w:p>
              </w:tc>
            </w:tr>
            <w:tr w14:paraId="19A09B6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46CB5CA2">
                  <w:pPr>
                    <w:pStyle w:val="3"/>
                    <w:bidi w:val="0"/>
                    <w:rPr>
                      <w:rFonts w:hint="default" w:ascii="Times New Roman" w:hAnsi="Times New Roman" w:cs="Times New Roman"/>
                      <w:color w:val="auto"/>
                    </w:rPr>
                  </w:pPr>
                </w:p>
              </w:tc>
              <w:tc>
                <w:tcPr>
                  <w:tcW w:w="1356" w:type="pct"/>
                  <w:tcBorders>
                    <w:tl2br w:val="nil"/>
                    <w:tr2bl w:val="nil"/>
                  </w:tcBorders>
                  <w:vAlign w:val="center"/>
                </w:tcPr>
                <w:p w14:paraId="4CE8957E">
                  <w:pPr>
                    <w:pStyle w:val="3"/>
                    <w:bidi w:val="0"/>
                    <w:rPr>
                      <w:rFonts w:hint="default"/>
                      <w:color w:val="auto"/>
                      <w:lang w:eastAsia="zh-CN"/>
                    </w:rPr>
                  </w:pPr>
                  <w:r>
                    <w:rPr>
                      <w:rFonts w:hint="eastAsia"/>
                      <w:color w:val="auto"/>
                      <w:lang w:val="en-US" w:eastAsia="zh-CN"/>
                    </w:rPr>
                    <w:t>吸收塔</w:t>
                  </w:r>
                </w:p>
              </w:tc>
              <w:tc>
                <w:tcPr>
                  <w:tcW w:w="1870" w:type="pct"/>
                  <w:tcBorders>
                    <w:tl2br w:val="nil"/>
                    <w:tr2bl w:val="nil"/>
                  </w:tcBorders>
                  <w:vAlign w:val="center"/>
                </w:tcPr>
                <w:p w14:paraId="6C15F1D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3425BF90">
                  <w:pPr>
                    <w:pStyle w:val="3"/>
                    <w:bidi w:val="0"/>
                    <w:rPr>
                      <w:rFonts w:hint="default"/>
                      <w:color w:val="auto"/>
                      <w:lang w:val="en-US" w:eastAsia="zh-CN"/>
                    </w:rPr>
                  </w:pPr>
                  <w:r>
                    <w:rPr>
                      <w:rFonts w:hint="eastAsia"/>
                      <w:color w:val="auto"/>
                      <w:lang w:val="en-US" w:eastAsia="zh-CN"/>
                    </w:rPr>
                    <w:t>1台</w:t>
                  </w:r>
                </w:p>
              </w:tc>
            </w:tr>
            <w:tr w14:paraId="0AFF98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C6861F8">
                  <w:pPr>
                    <w:pStyle w:val="3"/>
                    <w:bidi w:val="0"/>
                    <w:rPr>
                      <w:rFonts w:hint="default" w:ascii="Times New Roman" w:hAnsi="Times New Roman" w:cs="Times New Roman"/>
                      <w:color w:val="auto"/>
                    </w:rPr>
                  </w:pPr>
                </w:p>
              </w:tc>
              <w:tc>
                <w:tcPr>
                  <w:tcW w:w="1356" w:type="pct"/>
                  <w:tcBorders>
                    <w:tl2br w:val="nil"/>
                    <w:tr2bl w:val="nil"/>
                  </w:tcBorders>
                  <w:vAlign w:val="center"/>
                </w:tcPr>
                <w:p w14:paraId="42F4FAF2">
                  <w:pPr>
                    <w:pStyle w:val="3"/>
                    <w:bidi w:val="0"/>
                    <w:rPr>
                      <w:rFonts w:hint="default"/>
                      <w:color w:val="auto"/>
                      <w:lang w:eastAsia="zh-CN"/>
                    </w:rPr>
                  </w:pPr>
                  <w:r>
                    <w:rPr>
                      <w:rFonts w:hint="eastAsia"/>
                      <w:color w:val="auto"/>
                      <w:lang w:val="en-US" w:eastAsia="zh-CN"/>
                    </w:rPr>
                    <w:t>浸出器</w:t>
                  </w:r>
                </w:p>
              </w:tc>
              <w:tc>
                <w:tcPr>
                  <w:tcW w:w="1870" w:type="pct"/>
                  <w:tcBorders>
                    <w:tl2br w:val="nil"/>
                    <w:tr2bl w:val="nil"/>
                  </w:tcBorders>
                  <w:vAlign w:val="center"/>
                </w:tcPr>
                <w:p w14:paraId="6FB97A1E">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4AF341AA">
                  <w:pPr>
                    <w:pStyle w:val="3"/>
                    <w:bidi w:val="0"/>
                    <w:rPr>
                      <w:rFonts w:hint="default"/>
                      <w:color w:val="auto"/>
                      <w:lang w:val="en-US" w:eastAsia="zh-CN"/>
                    </w:rPr>
                  </w:pPr>
                  <w:r>
                    <w:rPr>
                      <w:rFonts w:hint="eastAsia"/>
                      <w:color w:val="auto"/>
                      <w:lang w:val="en-US" w:eastAsia="zh-CN"/>
                    </w:rPr>
                    <w:t>1台</w:t>
                  </w:r>
                </w:p>
              </w:tc>
            </w:tr>
            <w:tr w14:paraId="1F7911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67B4053B">
                  <w:pPr>
                    <w:pStyle w:val="3"/>
                    <w:bidi w:val="0"/>
                    <w:rPr>
                      <w:rFonts w:hint="default" w:ascii="Times New Roman" w:hAnsi="Times New Roman" w:cs="Times New Roman"/>
                      <w:color w:val="auto"/>
                    </w:rPr>
                  </w:pPr>
                </w:p>
              </w:tc>
              <w:tc>
                <w:tcPr>
                  <w:tcW w:w="1356" w:type="pct"/>
                  <w:tcBorders>
                    <w:tl2br w:val="nil"/>
                    <w:tr2bl w:val="nil"/>
                  </w:tcBorders>
                  <w:vAlign w:val="center"/>
                </w:tcPr>
                <w:p w14:paraId="49F88E18">
                  <w:pPr>
                    <w:pStyle w:val="3"/>
                    <w:bidi w:val="0"/>
                    <w:rPr>
                      <w:rFonts w:hint="eastAsia"/>
                      <w:color w:val="auto"/>
                    </w:rPr>
                  </w:pPr>
                  <w:r>
                    <w:rPr>
                      <w:rFonts w:hint="eastAsia"/>
                      <w:color w:val="auto"/>
                      <w:lang w:val="en-US" w:eastAsia="zh-CN"/>
                    </w:rPr>
                    <w:t>预脱溶机</w:t>
                  </w:r>
                </w:p>
              </w:tc>
              <w:tc>
                <w:tcPr>
                  <w:tcW w:w="1870" w:type="pct"/>
                  <w:tcBorders>
                    <w:tl2br w:val="nil"/>
                    <w:tr2bl w:val="nil"/>
                  </w:tcBorders>
                  <w:vAlign w:val="center"/>
                </w:tcPr>
                <w:p w14:paraId="7DF4E6A7">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091D59DC">
                  <w:pPr>
                    <w:pStyle w:val="3"/>
                    <w:bidi w:val="0"/>
                    <w:rPr>
                      <w:rFonts w:hint="default"/>
                      <w:color w:val="auto"/>
                      <w:lang w:val="en-US" w:eastAsia="zh-CN"/>
                    </w:rPr>
                  </w:pPr>
                  <w:r>
                    <w:rPr>
                      <w:rFonts w:hint="eastAsia"/>
                      <w:color w:val="auto"/>
                      <w:lang w:val="en-US" w:eastAsia="zh-CN"/>
                    </w:rPr>
                    <w:t>1台</w:t>
                  </w:r>
                </w:p>
              </w:tc>
            </w:tr>
            <w:tr w14:paraId="2B21DF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014A22A4">
                  <w:pPr>
                    <w:pStyle w:val="3"/>
                    <w:bidi w:val="0"/>
                    <w:rPr>
                      <w:rFonts w:hint="default" w:ascii="Times New Roman" w:hAnsi="Times New Roman" w:cs="Times New Roman"/>
                      <w:color w:val="auto"/>
                    </w:rPr>
                  </w:pPr>
                </w:p>
              </w:tc>
              <w:tc>
                <w:tcPr>
                  <w:tcW w:w="1356" w:type="pct"/>
                  <w:tcBorders>
                    <w:tl2br w:val="nil"/>
                    <w:tr2bl w:val="nil"/>
                  </w:tcBorders>
                  <w:vAlign w:val="center"/>
                </w:tcPr>
                <w:p w14:paraId="0CA5D391">
                  <w:pPr>
                    <w:pStyle w:val="3"/>
                    <w:bidi w:val="0"/>
                    <w:rPr>
                      <w:rFonts w:hint="eastAsia"/>
                      <w:color w:val="auto"/>
                    </w:rPr>
                  </w:pPr>
                  <w:r>
                    <w:rPr>
                      <w:rFonts w:hint="eastAsia"/>
                      <w:color w:val="auto"/>
                      <w:lang w:val="en-US" w:eastAsia="zh-CN"/>
                    </w:rPr>
                    <w:t>蒸脱机</w:t>
                  </w:r>
                </w:p>
              </w:tc>
              <w:tc>
                <w:tcPr>
                  <w:tcW w:w="1870" w:type="pct"/>
                  <w:tcBorders>
                    <w:tl2br w:val="nil"/>
                    <w:tr2bl w:val="nil"/>
                  </w:tcBorders>
                  <w:vAlign w:val="center"/>
                </w:tcPr>
                <w:p w14:paraId="6CBDE54A">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5294F9B6">
                  <w:pPr>
                    <w:pStyle w:val="3"/>
                    <w:bidi w:val="0"/>
                    <w:rPr>
                      <w:rFonts w:hint="default"/>
                      <w:color w:val="auto"/>
                      <w:lang w:val="en-US" w:eastAsia="zh-CN"/>
                    </w:rPr>
                  </w:pPr>
                  <w:r>
                    <w:rPr>
                      <w:rFonts w:hint="eastAsia"/>
                      <w:color w:val="auto"/>
                      <w:lang w:val="en-US" w:eastAsia="zh-CN"/>
                    </w:rPr>
                    <w:t>1台</w:t>
                  </w:r>
                </w:p>
              </w:tc>
            </w:tr>
            <w:tr w14:paraId="04E50ED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5B594E2A">
                  <w:pPr>
                    <w:pStyle w:val="3"/>
                    <w:bidi w:val="0"/>
                    <w:rPr>
                      <w:rFonts w:hint="default" w:ascii="Times New Roman" w:hAnsi="Times New Roman" w:cs="Times New Roman"/>
                      <w:color w:val="auto"/>
                    </w:rPr>
                  </w:pPr>
                </w:p>
              </w:tc>
              <w:tc>
                <w:tcPr>
                  <w:tcW w:w="1356" w:type="pct"/>
                  <w:tcBorders>
                    <w:tl2br w:val="nil"/>
                    <w:tr2bl w:val="nil"/>
                  </w:tcBorders>
                  <w:vAlign w:val="center"/>
                </w:tcPr>
                <w:p w14:paraId="4360460A">
                  <w:pPr>
                    <w:pStyle w:val="3"/>
                    <w:bidi w:val="0"/>
                    <w:rPr>
                      <w:rFonts w:hint="eastAsia"/>
                      <w:color w:val="auto"/>
                    </w:rPr>
                  </w:pPr>
                  <w:r>
                    <w:rPr>
                      <w:rFonts w:hint="eastAsia"/>
                      <w:color w:val="auto"/>
                      <w:lang w:val="en-US" w:eastAsia="zh-CN"/>
                    </w:rPr>
                    <w:t>预一蒸发器</w:t>
                  </w:r>
                </w:p>
              </w:tc>
              <w:tc>
                <w:tcPr>
                  <w:tcW w:w="1870" w:type="pct"/>
                  <w:tcBorders>
                    <w:tl2br w:val="nil"/>
                    <w:tr2bl w:val="nil"/>
                  </w:tcBorders>
                  <w:vAlign w:val="center"/>
                </w:tcPr>
                <w:p w14:paraId="56ADAD0A">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664" w:type="pct"/>
                  <w:tcBorders>
                    <w:tl2br w:val="nil"/>
                    <w:tr2bl w:val="nil"/>
                  </w:tcBorders>
                  <w:vAlign w:val="center"/>
                </w:tcPr>
                <w:p w14:paraId="4DE74EF2">
                  <w:pPr>
                    <w:pStyle w:val="3"/>
                    <w:bidi w:val="0"/>
                    <w:rPr>
                      <w:rFonts w:hint="default"/>
                      <w:color w:val="auto"/>
                      <w:lang w:val="en-US" w:eastAsia="zh-CN"/>
                    </w:rPr>
                  </w:pPr>
                  <w:r>
                    <w:rPr>
                      <w:rFonts w:hint="eastAsia"/>
                      <w:color w:val="auto"/>
                      <w:lang w:val="en-US" w:eastAsia="zh-CN"/>
                    </w:rPr>
                    <w:t>1台</w:t>
                  </w:r>
                </w:p>
              </w:tc>
            </w:tr>
            <w:tr w14:paraId="427A772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8" w:type="pct"/>
                  <w:vMerge w:val="continue"/>
                  <w:tcBorders>
                    <w:tl2br w:val="nil"/>
                    <w:tr2bl w:val="nil"/>
                  </w:tcBorders>
                  <w:vAlign w:val="center"/>
                </w:tcPr>
                <w:p w14:paraId="7C103838">
                  <w:pPr>
                    <w:pStyle w:val="3"/>
                    <w:bidi w:val="0"/>
                    <w:rPr>
                      <w:rFonts w:hint="default" w:ascii="Times New Roman" w:hAnsi="Times New Roman" w:cs="Times New Roman"/>
                      <w:color w:val="auto"/>
                    </w:rPr>
                  </w:pPr>
                </w:p>
              </w:tc>
              <w:tc>
                <w:tcPr>
                  <w:tcW w:w="1356" w:type="pct"/>
                  <w:tcBorders>
                    <w:tl2br w:val="nil"/>
                    <w:tr2bl w:val="nil"/>
                  </w:tcBorders>
                  <w:vAlign w:val="center"/>
                </w:tcPr>
                <w:p w14:paraId="30B38A98">
                  <w:pPr>
                    <w:pStyle w:val="3"/>
                    <w:bidi w:val="0"/>
                    <w:rPr>
                      <w:rFonts w:hint="eastAsia"/>
                      <w:color w:val="auto"/>
                    </w:rPr>
                  </w:pPr>
                  <w:r>
                    <w:rPr>
                      <w:rFonts w:hint="eastAsia"/>
                      <w:color w:val="auto"/>
                      <w:lang w:val="en-US" w:eastAsia="zh-CN"/>
                    </w:rPr>
                    <w:t>一蒸蒸发器</w:t>
                  </w:r>
                </w:p>
              </w:tc>
              <w:tc>
                <w:tcPr>
                  <w:tcW w:w="1870" w:type="pct"/>
                  <w:tcBorders>
                    <w:tl2br w:val="nil"/>
                    <w:tr2bl w:val="nil"/>
                  </w:tcBorders>
                  <w:vAlign w:val="center"/>
                </w:tcPr>
                <w:p w14:paraId="3B85C597">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64" w:type="pct"/>
                  <w:tcBorders>
                    <w:tl2br w:val="nil"/>
                    <w:tr2bl w:val="nil"/>
                  </w:tcBorders>
                  <w:vAlign w:val="center"/>
                </w:tcPr>
                <w:p w14:paraId="16DF8BED">
                  <w:pPr>
                    <w:pStyle w:val="3"/>
                    <w:bidi w:val="0"/>
                    <w:rPr>
                      <w:rFonts w:hint="default"/>
                      <w:color w:val="auto"/>
                      <w:lang w:val="en-US" w:eastAsia="zh-CN"/>
                    </w:rPr>
                  </w:pPr>
                  <w:r>
                    <w:rPr>
                      <w:rFonts w:hint="eastAsia"/>
                      <w:color w:val="auto"/>
                      <w:lang w:val="en-US" w:eastAsia="zh-CN"/>
                    </w:rPr>
                    <w:t>1台</w:t>
                  </w:r>
                </w:p>
              </w:tc>
            </w:tr>
            <w:tr w14:paraId="09398B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restart"/>
                  <w:tcBorders>
                    <w:tl2br w:val="nil"/>
                    <w:tr2bl w:val="nil"/>
                  </w:tcBorders>
                  <w:vAlign w:val="center"/>
                </w:tcPr>
                <w:p w14:paraId="22C5F179">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精炼车间</w:t>
                  </w:r>
                </w:p>
              </w:tc>
              <w:tc>
                <w:tcPr>
                  <w:tcW w:w="1356" w:type="pct"/>
                  <w:tcBorders>
                    <w:tl2br w:val="nil"/>
                    <w:tr2bl w:val="nil"/>
                  </w:tcBorders>
                  <w:vAlign w:val="center"/>
                </w:tcPr>
                <w:p w14:paraId="7611EA38">
                  <w:pPr>
                    <w:pStyle w:val="3"/>
                    <w:bidi w:val="0"/>
                    <w:rPr>
                      <w:rFonts w:hint="eastAsia"/>
                      <w:color w:val="auto"/>
                    </w:rPr>
                  </w:pPr>
                  <w:r>
                    <w:rPr>
                      <w:rFonts w:hint="eastAsia"/>
                      <w:color w:val="auto"/>
                      <w:lang w:val="en-US" w:eastAsia="zh-CN"/>
                    </w:rPr>
                    <w:t>离心机</w:t>
                  </w:r>
                </w:p>
              </w:tc>
              <w:tc>
                <w:tcPr>
                  <w:tcW w:w="1870" w:type="pct"/>
                  <w:tcBorders>
                    <w:tl2br w:val="nil"/>
                    <w:tr2bl w:val="nil"/>
                  </w:tcBorders>
                  <w:vAlign w:val="center"/>
                </w:tcPr>
                <w:p w14:paraId="1C0C2038">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581F54ED">
                  <w:pPr>
                    <w:pStyle w:val="3"/>
                    <w:bidi w:val="0"/>
                    <w:rPr>
                      <w:rFonts w:hint="eastAsia"/>
                      <w:color w:val="auto"/>
                      <w:lang w:val="en-US" w:eastAsia="zh-CN"/>
                    </w:rPr>
                  </w:pPr>
                  <w:r>
                    <w:rPr>
                      <w:rFonts w:hint="eastAsia"/>
                      <w:color w:val="auto"/>
                      <w:lang w:val="en-US" w:eastAsia="zh-CN"/>
                    </w:rPr>
                    <w:t>3台</w:t>
                  </w:r>
                </w:p>
              </w:tc>
            </w:tr>
            <w:tr w14:paraId="566792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70C081F2">
                  <w:pPr>
                    <w:pStyle w:val="3"/>
                    <w:bidi w:val="0"/>
                    <w:rPr>
                      <w:rFonts w:hint="default" w:ascii="Times New Roman" w:hAnsi="Times New Roman" w:cs="Times New Roman"/>
                      <w:color w:val="auto"/>
                    </w:rPr>
                  </w:pPr>
                </w:p>
              </w:tc>
              <w:tc>
                <w:tcPr>
                  <w:tcW w:w="1356" w:type="pct"/>
                  <w:tcBorders>
                    <w:tl2br w:val="nil"/>
                    <w:tr2bl w:val="nil"/>
                  </w:tcBorders>
                  <w:vAlign w:val="center"/>
                </w:tcPr>
                <w:p w14:paraId="19E15FF9">
                  <w:pPr>
                    <w:pStyle w:val="3"/>
                    <w:bidi w:val="0"/>
                    <w:rPr>
                      <w:rFonts w:hint="eastAsia"/>
                      <w:color w:val="auto"/>
                    </w:rPr>
                  </w:pPr>
                  <w:r>
                    <w:rPr>
                      <w:rFonts w:hint="eastAsia"/>
                      <w:color w:val="auto"/>
                      <w:lang w:val="en-US" w:eastAsia="zh-CN"/>
                    </w:rPr>
                    <w:t>离心机</w:t>
                  </w:r>
                </w:p>
              </w:tc>
              <w:tc>
                <w:tcPr>
                  <w:tcW w:w="1870" w:type="pct"/>
                  <w:tcBorders>
                    <w:tl2br w:val="nil"/>
                    <w:tr2bl w:val="nil"/>
                  </w:tcBorders>
                  <w:vAlign w:val="center"/>
                </w:tcPr>
                <w:p w14:paraId="7A4F0084">
                  <w:pPr>
                    <w:pStyle w:val="3"/>
                    <w:bidi w:val="0"/>
                    <w:rPr>
                      <w:rFonts w:hint="eastAsia"/>
                      <w:color w:val="auto"/>
                      <w:lang w:val="en-US" w:eastAsia="zh-CN"/>
                    </w:rPr>
                  </w:pPr>
                  <w:r>
                    <w:rPr>
                      <w:rFonts w:hint="eastAsia"/>
                      <w:color w:val="auto"/>
                      <w:lang w:val="en-US" w:eastAsia="zh-CN"/>
                    </w:rPr>
                    <w:t>PX80</w:t>
                  </w:r>
                </w:p>
              </w:tc>
              <w:tc>
                <w:tcPr>
                  <w:tcW w:w="664" w:type="pct"/>
                  <w:tcBorders>
                    <w:tl2br w:val="nil"/>
                    <w:tr2bl w:val="nil"/>
                  </w:tcBorders>
                  <w:vAlign w:val="center"/>
                </w:tcPr>
                <w:p w14:paraId="17DC15F2">
                  <w:pPr>
                    <w:pStyle w:val="3"/>
                    <w:bidi w:val="0"/>
                    <w:rPr>
                      <w:rFonts w:hint="eastAsia"/>
                      <w:color w:val="auto"/>
                      <w:lang w:val="en-US" w:eastAsia="zh-CN"/>
                    </w:rPr>
                  </w:pPr>
                  <w:r>
                    <w:rPr>
                      <w:rFonts w:hint="eastAsia"/>
                      <w:color w:val="auto"/>
                      <w:lang w:val="en-US" w:eastAsia="zh-CN"/>
                    </w:rPr>
                    <w:t>1台</w:t>
                  </w:r>
                </w:p>
              </w:tc>
            </w:tr>
            <w:tr w14:paraId="085D61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2F1B32D5">
                  <w:pPr>
                    <w:pStyle w:val="3"/>
                    <w:bidi w:val="0"/>
                    <w:rPr>
                      <w:rFonts w:hint="default" w:ascii="Times New Roman" w:hAnsi="Times New Roman" w:cs="Times New Roman"/>
                      <w:color w:val="auto"/>
                    </w:rPr>
                  </w:pPr>
                </w:p>
              </w:tc>
              <w:tc>
                <w:tcPr>
                  <w:tcW w:w="1356" w:type="pct"/>
                  <w:tcBorders>
                    <w:tl2br w:val="nil"/>
                    <w:tr2bl w:val="nil"/>
                  </w:tcBorders>
                  <w:vAlign w:val="center"/>
                </w:tcPr>
                <w:p w14:paraId="3867E3F3">
                  <w:pPr>
                    <w:pStyle w:val="3"/>
                    <w:bidi w:val="0"/>
                    <w:rPr>
                      <w:rFonts w:hint="eastAsia"/>
                      <w:color w:val="auto"/>
                    </w:rPr>
                  </w:pPr>
                  <w:r>
                    <w:rPr>
                      <w:rFonts w:hint="eastAsia"/>
                      <w:color w:val="auto"/>
                      <w:lang w:val="en-US" w:eastAsia="zh-CN"/>
                    </w:rPr>
                    <w:t>真空干燥罐</w:t>
                  </w:r>
                </w:p>
              </w:tc>
              <w:tc>
                <w:tcPr>
                  <w:tcW w:w="1870" w:type="pct"/>
                  <w:tcBorders>
                    <w:tl2br w:val="nil"/>
                    <w:tr2bl w:val="nil"/>
                  </w:tcBorders>
                  <w:vAlign w:val="center"/>
                </w:tcPr>
                <w:p w14:paraId="6608420C">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5C7832B7">
                  <w:pPr>
                    <w:pStyle w:val="3"/>
                    <w:bidi w:val="0"/>
                    <w:rPr>
                      <w:rFonts w:hint="eastAsia"/>
                      <w:color w:val="auto"/>
                      <w:lang w:val="en-US" w:eastAsia="zh-CN"/>
                    </w:rPr>
                  </w:pPr>
                  <w:r>
                    <w:rPr>
                      <w:rFonts w:hint="eastAsia"/>
                      <w:color w:val="auto"/>
                      <w:lang w:val="en-US" w:eastAsia="zh-CN"/>
                    </w:rPr>
                    <w:t>1台</w:t>
                  </w:r>
                </w:p>
              </w:tc>
            </w:tr>
            <w:tr w14:paraId="4A9760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4AAD1685">
                  <w:pPr>
                    <w:pStyle w:val="3"/>
                    <w:bidi w:val="0"/>
                    <w:rPr>
                      <w:rFonts w:hint="default" w:ascii="Times New Roman" w:hAnsi="Times New Roman" w:cs="Times New Roman"/>
                      <w:color w:val="auto"/>
                    </w:rPr>
                  </w:pPr>
                </w:p>
              </w:tc>
              <w:tc>
                <w:tcPr>
                  <w:tcW w:w="1356" w:type="pct"/>
                  <w:tcBorders>
                    <w:tl2br w:val="nil"/>
                    <w:tr2bl w:val="nil"/>
                  </w:tcBorders>
                  <w:vAlign w:val="center"/>
                </w:tcPr>
                <w:p w14:paraId="43323B7C">
                  <w:pPr>
                    <w:pStyle w:val="3"/>
                    <w:bidi w:val="0"/>
                    <w:rPr>
                      <w:rFonts w:hint="eastAsia"/>
                      <w:color w:val="auto"/>
                    </w:rPr>
                  </w:pPr>
                  <w:r>
                    <w:rPr>
                      <w:rFonts w:hint="eastAsia"/>
                      <w:color w:val="auto"/>
                      <w:lang w:val="en-US" w:eastAsia="zh-CN"/>
                    </w:rPr>
                    <w:t>过滤机</w:t>
                  </w:r>
                </w:p>
              </w:tc>
              <w:tc>
                <w:tcPr>
                  <w:tcW w:w="1870" w:type="pct"/>
                  <w:tcBorders>
                    <w:tl2br w:val="nil"/>
                    <w:tr2bl w:val="nil"/>
                  </w:tcBorders>
                  <w:vAlign w:val="center"/>
                </w:tcPr>
                <w:p w14:paraId="446ACDBF">
                  <w:pPr>
                    <w:pStyle w:val="3"/>
                    <w:bidi w:val="0"/>
                    <w:rPr>
                      <w:rFonts w:hint="eastAsia"/>
                      <w:color w:val="auto"/>
                      <w:lang w:val="en-US" w:eastAsia="zh-CN"/>
                    </w:rPr>
                  </w:pPr>
                  <w:r>
                    <w:rPr>
                      <w:rFonts w:hint="eastAsia"/>
                      <w:color w:val="auto"/>
                      <w:lang w:val="en-US" w:eastAsia="zh-CN"/>
                    </w:rPr>
                    <w:t>80</w:t>
                  </w:r>
                </w:p>
              </w:tc>
              <w:tc>
                <w:tcPr>
                  <w:tcW w:w="664" w:type="pct"/>
                  <w:tcBorders>
                    <w:tl2br w:val="nil"/>
                    <w:tr2bl w:val="nil"/>
                  </w:tcBorders>
                  <w:vAlign w:val="center"/>
                </w:tcPr>
                <w:p w14:paraId="6A95A929">
                  <w:pPr>
                    <w:pStyle w:val="3"/>
                    <w:bidi w:val="0"/>
                    <w:rPr>
                      <w:rFonts w:hint="eastAsia"/>
                      <w:color w:val="auto"/>
                      <w:lang w:val="en-US" w:eastAsia="zh-CN"/>
                    </w:rPr>
                  </w:pPr>
                  <w:r>
                    <w:rPr>
                      <w:rFonts w:hint="eastAsia"/>
                      <w:color w:val="auto"/>
                      <w:lang w:val="en-US" w:eastAsia="zh-CN"/>
                    </w:rPr>
                    <w:t>3台</w:t>
                  </w:r>
                </w:p>
              </w:tc>
            </w:tr>
            <w:tr w14:paraId="564903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538E4CCD">
                  <w:pPr>
                    <w:pStyle w:val="3"/>
                    <w:bidi w:val="0"/>
                    <w:rPr>
                      <w:rFonts w:hint="default" w:ascii="Times New Roman" w:hAnsi="Times New Roman" w:cs="Times New Roman"/>
                      <w:color w:val="auto"/>
                    </w:rPr>
                  </w:pPr>
                </w:p>
              </w:tc>
              <w:tc>
                <w:tcPr>
                  <w:tcW w:w="1356" w:type="pct"/>
                  <w:tcBorders>
                    <w:tl2br w:val="nil"/>
                    <w:tr2bl w:val="nil"/>
                  </w:tcBorders>
                  <w:vAlign w:val="center"/>
                </w:tcPr>
                <w:p w14:paraId="533E6FEB">
                  <w:pPr>
                    <w:pStyle w:val="3"/>
                    <w:bidi w:val="0"/>
                    <w:rPr>
                      <w:rFonts w:hint="eastAsia"/>
                      <w:color w:val="auto"/>
                    </w:rPr>
                  </w:pPr>
                  <w:r>
                    <w:rPr>
                      <w:rFonts w:hint="eastAsia"/>
                      <w:color w:val="auto"/>
                      <w:lang w:val="en-US" w:eastAsia="zh-CN"/>
                    </w:rPr>
                    <w:t>过滤机</w:t>
                  </w:r>
                </w:p>
              </w:tc>
              <w:tc>
                <w:tcPr>
                  <w:tcW w:w="1870" w:type="pct"/>
                  <w:tcBorders>
                    <w:tl2br w:val="nil"/>
                    <w:tr2bl w:val="nil"/>
                  </w:tcBorders>
                  <w:vAlign w:val="center"/>
                </w:tcPr>
                <w:p w14:paraId="77249DF7">
                  <w:pPr>
                    <w:pStyle w:val="3"/>
                    <w:bidi w:val="0"/>
                    <w:rPr>
                      <w:rFonts w:hint="eastAsia"/>
                      <w:color w:val="auto"/>
                      <w:lang w:val="en-US" w:eastAsia="zh-CN"/>
                    </w:rPr>
                  </w:pPr>
                  <w:r>
                    <w:rPr>
                      <w:rFonts w:hint="eastAsia"/>
                      <w:color w:val="auto"/>
                      <w:lang w:val="en-US" w:eastAsia="zh-CN"/>
                    </w:rPr>
                    <w:t>90</w:t>
                  </w:r>
                </w:p>
              </w:tc>
              <w:tc>
                <w:tcPr>
                  <w:tcW w:w="664" w:type="pct"/>
                  <w:tcBorders>
                    <w:tl2br w:val="nil"/>
                    <w:tr2bl w:val="nil"/>
                  </w:tcBorders>
                  <w:vAlign w:val="center"/>
                </w:tcPr>
                <w:p w14:paraId="4EC7D5C4">
                  <w:pPr>
                    <w:pStyle w:val="3"/>
                    <w:bidi w:val="0"/>
                    <w:rPr>
                      <w:rFonts w:hint="eastAsia"/>
                      <w:color w:val="auto"/>
                      <w:lang w:val="en-US" w:eastAsia="zh-CN"/>
                    </w:rPr>
                  </w:pPr>
                  <w:r>
                    <w:rPr>
                      <w:rFonts w:hint="eastAsia"/>
                      <w:color w:val="auto"/>
                      <w:lang w:val="en-US" w:eastAsia="zh-CN"/>
                    </w:rPr>
                    <w:t>1台</w:t>
                  </w:r>
                </w:p>
              </w:tc>
            </w:tr>
            <w:tr w14:paraId="05C133E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59BE44F4">
                  <w:pPr>
                    <w:pStyle w:val="3"/>
                    <w:bidi w:val="0"/>
                    <w:rPr>
                      <w:rFonts w:hint="default" w:ascii="Times New Roman" w:hAnsi="Times New Roman" w:cs="Times New Roman"/>
                      <w:color w:val="auto"/>
                    </w:rPr>
                  </w:pPr>
                </w:p>
              </w:tc>
              <w:tc>
                <w:tcPr>
                  <w:tcW w:w="1356" w:type="pct"/>
                  <w:tcBorders>
                    <w:tl2br w:val="nil"/>
                    <w:tr2bl w:val="nil"/>
                  </w:tcBorders>
                  <w:vAlign w:val="center"/>
                </w:tcPr>
                <w:p w14:paraId="521A606F">
                  <w:pPr>
                    <w:pStyle w:val="3"/>
                    <w:bidi w:val="0"/>
                    <w:rPr>
                      <w:rFonts w:hint="eastAsia"/>
                      <w:color w:val="auto"/>
                    </w:rPr>
                  </w:pPr>
                  <w:r>
                    <w:rPr>
                      <w:rFonts w:hint="eastAsia"/>
                      <w:color w:val="auto"/>
                      <w:lang w:val="en-US" w:eastAsia="zh-CN"/>
                    </w:rPr>
                    <w:t>脱色塔</w:t>
                  </w:r>
                </w:p>
              </w:tc>
              <w:tc>
                <w:tcPr>
                  <w:tcW w:w="1870" w:type="pct"/>
                  <w:tcBorders>
                    <w:tl2br w:val="nil"/>
                    <w:tr2bl w:val="nil"/>
                  </w:tcBorders>
                  <w:vAlign w:val="center"/>
                </w:tcPr>
                <w:p w14:paraId="4D38748A">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350EEE9F">
                  <w:pPr>
                    <w:pStyle w:val="3"/>
                    <w:bidi w:val="0"/>
                    <w:rPr>
                      <w:rFonts w:hint="eastAsia"/>
                      <w:color w:val="auto"/>
                      <w:lang w:val="en-US" w:eastAsia="zh-CN"/>
                    </w:rPr>
                  </w:pPr>
                  <w:r>
                    <w:rPr>
                      <w:rFonts w:hint="eastAsia"/>
                      <w:color w:val="auto"/>
                      <w:lang w:val="en-US" w:eastAsia="zh-CN"/>
                    </w:rPr>
                    <w:t>1台</w:t>
                  </w:r>
                </w:p>
              </w:tc>
            </w:tr>
            <w:tr w14:paraId="1354F9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AF60A22">
                  <w:pPr>
                    <w:pStyle w:val="3"/>
                    <w:bidi w:val="0"/>
                    <w:rPr>
                      <w:rFonts w:hint="default" w:ascii="Times New Roman" w:hAnsi="Times New Roman" w:cs="Times New Roman"/>
                      <w:color w:val="auto"/>
                    </w:rPr>
                  </w:pPr>
                </w:p>
              </w:tc>
              <w:tc>
                <w:tcPr>
                  <w:tcW w:w="1356" w:type="pct"/>
                  <w:tcBorders>
                    <w:tl2br w:val="nil"/>
                    <w:tr2bl w:val="nil"/>
                  </w:tcBorders>
                  <w:vAlign w:val="center"/>
                </w:tcPr>
                <w:p w14:paraId="68130DD9">
                  <w:pPr>
                    <w:pStyle w:val="3"/>
                    <w:bidi w:val="0"/>
                    <w:rPr>
                      <w:rFonts w:hint="eastAsia"/>
                      <w:color w:val="auto"/>
                    </w:rPr>
                  </w:pPr>
                  <w:r>
                    <w:rPr>
                      <w:rFonts w:hint="eastAsia"/>
                      <w:color w:val="auto"/>
                      <w:lang w:val="en-US" w:eastAsia="zh-CN"/>
                    </w:rPr>
                    <w:t>蒸汽锅炉</w:t>
                  </w:r>
                </w:p>
              </w:tc>
              <w:tc>
                <w:tcPr>
                  <w:tcW w:w="1870" w:type="pct"/>
                  <w:tcBorders>
                    <w:tl2br w:val="nil"/>
                    <w:tr2bl w:val="nil"/>
                  </w:tcBorders>
                  <w:vAlign w:val="center"/>
                </w:tcPr>
                <w:p w14:paraId="198A8292">
                  <w:pPr>
                    <w:pStyle w:val="3"/>
                    <w:bidi w:val="0"/>
                    <w:rPr>
                      <w:rFonts w:hint="eastAsia"/>
                      <w:color w:val="auto"/>
                      <w:lang w:val="en-US" w:eastAsia="zh-CN"/>
                    </w:rPr>
                  </w:pPr>
                  <w:r>
                    <w:rPr>
                      <w:rFonts w:hint="eastAsia"/>
                      <w:color w:val="auto"/>
                      <w:lang w:val="en-US" w:eastAsia="zh-CN"/>
                    </w:rPr>
                    <w:t>NUK-HP-1250</w:t>
                  </w:r>
                </w:p>
              </w:tc>
              <w:tc>
                <w:tcPr>
                  <w:tcW w:w="664" w:type="pct"/>
                  <w:tcBorders>
                    <w:tl2br w:val="nil"/>
                    <w:tr2bl w:val="nil"/>
                  </w:tcBorders>
                  <w:vAlign w:val="center"/>
                </w:tcPr>
                <w:p w14:paraId="3D6E74AC">
                  <w:pPr>
                    <w:pStyle w:val="3"/>
                    <w:bidi w:val="0"/>
                    <w:rPr>
                      <w:rFonts w:hint="eastAsia"/>
                      <w:color w:val="auto"/>
                      <w:lang w:val="en-US" w:eastAsia="zh-CN"/>
                    </w:rPr>
                  </w:pPr>
                  <w:r>
                    <w:rPr>
                      <w:rFonts w:hint="eastAsia"/>
                      <w:color w:val="auto"/>
                      <w:lang w:val="en-US" w:eastAsia="zh-CN"/>
                    </w:rPr>
                    <w:t>1台</w:t>
                  </w:r>
                </w:p>
              </w:tc>
            </w:tr>
            <w:tr w14:paraId="33310D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6192A104">
                  <w:pPr>
                    <w:pStyle w:val="3"/>
                    <w:bidi w:val="0"/>
                    <w:rPr>
                      <w:rFonts w:hint="default" w:ascii="Times New Roman" w:hAnsi="Times New Roman" w:cs="Times New Roman"/>
                      <w:color w:val="auto"/>
                    </w:rPr>
                  </w:pPr>
                </w:p>
              </w:tc>
              <w:tc>
                <w:tcPr>
                  <w:tcW w:w="1356" w:type="pct"/>
                  <w:tcBorders>
                    <w:tl2br w:val="nil"/>
                    <w:tr2bl w:val="nil"/>
                  </w:tcBorders>
                  <w:shd w:val="clear" w:color="auto" w:fill="auto"/>
                  <w:vAlign w:val="center"/>
                </w:tcPr>
                <w:p w14:paraId="30EA57BA">
                  <w:pPr>
                    <w:pStyle w:val="3"/>
                    <w:bidi w:val="0"/>
                    <w:rPr>
                      <w:rFonts w:hint="eastAsia"/>
                      <w:color w:val="auto"/>
                      <w:lang w:val="en-US" w:eastAsia="zh-CN"/>
                    </w:rPr>
                  </w:pPr>
                  <w:r>
                    <w:rPr>
                      <w:rFonts w:hint="eastAsia"/>
                      <w:color w:val="auto"/>
                      <w:lang w:val="en-US" w:eastAsia="zh-CN"/>
                    </w:rPr>
                    <w:t>冷冻机</w:t>
                  </w:r>
                </w:p>
              </w:tc>
              <w:tc>
                <w:tcPr>
                  <w:tcW w:w="1870" w:type="pct"/>
                  <w:tcBorders>
                    <w:tl2br w:val="nil"/>
                    <w:tr2bl w:val="nil"/>
                  </w:tcBorders>
                  <w:vAlign w:val="center"/>
                </w:tcPr>
                <w:p w14:paraId="1853D8CB">
                  <w:pPr>
                    <w:pStyle w:val="3"/>
                    <w:bidi w:val="0"/>
                    <w:rPr>
                      <w:rFonts w:hint="eastAsia"/>
                      <w:color w:val="auto"/>
                      <w:lang w:val="en-US" w:eastAsia="zh-CN"/>
                    </w:rPr>
                  </w:pPr>
                  <w:r>
                    <w:rPr>
                      <w:rFonts w:hint="eastAsia"/>
                      <w:color w:val="auto"/>
                      <w:lang w:val="en-US" w:eastAsia="zh-CN"/>
                    </w:rPr>
                    <w:t>WCFX30S</w:t>
                  </w:r>
                </w:p>
              </w:tc>
              <w:tc>
                <w:tcPr>
                  <w:tcW w:w="664" w:type="pct"/>
                  <w:tcBorders>
                    <w:tl2br w:val="nil"/>
                    <w:tr2bl w:val="nil"/>
                  </w:tcBorders>
                  <w:vAlign w:val="center"/>
                </w:tcPr>
                <w:p w14:paraId="7148DF02">
                  <w:pPr>
                    <w:pStyle w:val="3"/>
                    <w:bidi w:val="0"/>
                    <w:rPr>
                      <w:rFonts w:hint="eastAsia"/>
                      <w:color w:val="auto"/>
                      <w:lang w:val="en-US" w:eastAsia="zh-CN"/>
                    </w:rPr>
                  </w:pPr>
                  <w:r>
                    <w:rPr>
                      <w:rFonts w:hint="eastAsia"/>
                      <w:color w:val="auto"/>
                      <w:lang w:val="en-US" w:eastAsia="zh-CN"/>
                    </w:rPr>
                    <w:t>1台</w:t>
                  </w:r>
                </w:p>
              </w:tc>
            </w:tr>
            <w:tr w14:paraId="1C4D5F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1D358CB3">
                  <w:pPr>
                    <w:pStyle w:val="3"/>
                    <w:bidi w:val="0"/>
                    <w:rPr>
                      <w:rFonts w:hint="default" w:ascii="Times New Roman" w:hAnsi="Times New Roman" w:cs="Times New Roman"/>
                      <w:color w:val="auto"/>
                    </w:rPr>
                  </w:pPr>
                </w:p>
              </w:tc>
              <w:tc>
                <w:tcPr>
                  <w:tcW w:w="1356" w:type="pct"/>
                  <w:tcBorders>
                    <w:tl2br w:val="nil"/>
                    <w:tr2bl w:val="nil"/>
                  </w:tcBorders>
                  <w:vAlign w:val="center"/>
                </w:tcPr>
                <w:p w14:paraId="27B688BC">
                  <w:pPr>
                    <w:pStyle w:val="3"/>
                    <w:bidi w:val="0"/>
                    <w:rPr>
                      <w:rFonts w:hint="eastAsia"/>
                      <w:color w:val="auto"/>
                    </w:rPr>
                  </w:pPr>
                  <w:r>
                    <w:rPr>
                      <w:rFonts w:hint="eastAsia"/>
                      <w:color w:val="auto"/>
                      <w:lang w:val="en-US" w:eastAsia="zh-CN"/>
                    </w:rPr>
                    <w:t>脱臭塔</w:t>
                  </w:r>
                </w:p>
              </w:tc>
              <w:tc>
                <w:tcPr>
                  <w:tcW w:w="1870" w:type="pct"/>
                  <w:tcBorders>
                    <w:tl2br w:val="nil"/>
                    <w:tr2bl w:val="nil"/>
                  </w:tcBorders>
                  <w:vAlign w:val="center"/>
                </w:tcPr>
                <w:p w14:paraId="68F51635">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41E99A2E">
                  <w:pPr>
                    <w:pStyle w:val="3"/>
                    <w:bidi w:val="0"/>
                    <w:rPr>
                      <w:rFonts w:hint="eastAsia"/>
                      <w:color w:val="auto"/>
                      <w:lang w:val="en-US" w:eastAsia="zh-CN"/>
                    </w:rPr>
                  </w:pPr>
                  <w:r>
                    <w:rPr>
                      <w:rFonts w:hint="eastAsia"/>
                      <w:color w:val="auto"/>
                      <w:lang w:val="en-US" w:eastAsia="zh-CN"/>
                    </w:rPr>
                    <w:t>1台</w:t>
                  </w:r>
                </w:p>
              </w:tc>
            </w:tr>
            <w:tr w14:paraId="3A8280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restart"/>
                  <w:tcBorders>
                    <w:tl2br w:val="nil"/>
                    <w:tr2bl w:val="nil"/>
                  </w:tcBorders>
                  <w:vAlign w:val="center"/>
                </w:tcPr>
                <w:p w14:paraId="59E0C675">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小包装车间</w:t>
                  </w:r>
                </w:p>
              </w:tc>
              <w:tc>
                <w:tcPr>
                  <w:tcW w:w="1356" w:type="pct"/>
                  <w:tcBorders>
                    <w:tl2br w:val="nil"/>
                    <w:tr2bl w:val="nil"/>
                  </w:tcBorders>
                  <w:vAlign w:val="center"/>
                </w:tcPr>
                <w:p w14:paraId="46B4FDF0">
                  <w:pPr>
                    <w:pStyle w:val="3"/>
                    <w:bidi w:val="0"/>
                    <w:rPr>
                      <w:rFonts w:hint="eastAsia"/>
                      <w:color w:val="auto"/>
                    </w:rPr>
                  </w:pPr>
                  <w:r>
                    <w:rPr>
                      <w:rFonts w:hint="eastAsia"/>
                      <w:color w:val="auto"/>
                      <w:lang w:val="en-US" w:eastAsia="zh-CN"/>
                    </w:rPr>
                    <w:t>空压机</w:t>
                  </w:r>
                </w:p>
              </w:tc>
              <w:tc>
                <w:tcPr>
                  <w:tcW w:w="1870" w:type="pct"/>
                  <w:tcBorders>
                    <w:tl2br w:val="nil"/>
                    <w:tr2bl w:val="nil"/>
                  </w:tcBorders>
                  <w:vAlign w:val="center"/>
                </w:tcPr>
                <w:p w14:paraId="68AB8EDD">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6CE35B64">
                  <w:pPr>
                    <w:pStyle w:val="3"/>
                    <w:bidi w:val="0"/>
                    <w:ind w:firstLine="0" w:firstLineChars="0"/>
                    <w:rPr>
                      <w:rFonts w:hint="eastAsia"/>
                      <w:color w:val="auto"/>
                      <w:lang w:val="en-US" w:eastAsia="zh-CN"/>
                    </w:rPr>
                  </w:pPr>
                  <w:r>
                    <w:rPr>
                      <w:rFonts w:hint="eastAsia"/>
                      <w:color w:val="auto"/>
                      <w:lang w:val="en-US" w:eastAsia="zh-CN"/>
                    </w:rPr>
                    <w:t>2台</w:t>
                  </w:r>
                </w:p>
              </w:tc>
            </w:tr>
            <w:tr w14:paraId="75776B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375C6687">
                  <w:pPr>
                    <w:pStyle w:val="3"/>
                    <w:bidi w:val="0"/>
                    <w:rPr>
                      <w:rFonts w:hint="default" w:ascii="Times New Roman" w:hAnsi="Times New Roman" w:cs="Times New Roman"/>
                      <w:color w:val="auto"/>
                    </w:rPr>
                  </w:pPr>
                </w:p>
              </w:tc>
              <w:tc>
                <w:tcPr>
                  <w:tcW w:w="1356" w:type="pct"/>
                  <w:tcBorders>
                    <w:tl2br w:val="nil"/>
                    <w:tr2bl w:val="nil"/>
                  </w:tcBorders>
                  <w:vAlign w:val="center"/>
                </w:tcPr>
                <w:p w14:paraId="345B1329">
                  <w:pPr>
                    <w:pStyle w:val="3"/>
                    <w:bidi w:val="0"/>
                    <w:rPr>
                      <w:rFonts w:hint="eastAsia"/>
                      <w:color w:val="auto"/>
                    </w:rPr>
                  </w:pPr>
                  <w:r>
                    <w:rPr>
                      <w:rFonts w:hint="eastAsia"/>
                      <w:color w:val="auto"/>
                      <w:lang w:val="en-US" w:eastAsia="zh-CN"/>
                    </w:rPr>
                    <w:t>冷却塔</w:t>
                  </w:r>
                </w:p>
              </w:tc>
              <w:tc>
                <w:tcPr>
                  <w:tcW w:w="1870" w:type="pct"/>
                  <w:tcBorders>
                    <w:tl2br w:val="nil"/>
                    <w:tr2bl w:val="nil"/>
                  </w:tcBorders>
                  <w:vAlign w:val="center"/>
                </w:tcPr>
                <w:p w14:paraId="0DA756C7">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29CD2AC3">
                  <w:pPr>
                    <w:pStyle w:val="3"/>
                    <w:bidi w:val="0"/>
                    <w:ind w:firstLine="0" w:firstLineChars="0"/>
                    <w:rPr>
                      <w:rFonts w:hint="eastAsia"/>
                      <w:color w:val="auto"/>
                      <w:lang w:val="en-US" w:eastAsia="zh-CN"/>
                    </w:rPr>
                  </w:pPr>
                  <w:r>
                    <w:rPr>
                      <w:rFonts w:hint="eastAsia"/>
                      <w:color w:val="auto"/>
                      <w:lang w:val="en-US" w:eastAsia="zh-CN"/>
                    </w:rPr>
                    <w:t>1台</w:t>
                  </w:r>
                </w:p>
              </w:tc>
            </w:tr>
            <w:tr w14:paraId="2BB82B6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4B3F8E7F">
                  <w:pPr>
                    <w:pStyle w:val="3"/>
                    <w:bidi w:val="0"/>
                    <w:rPr>
                      <w:rFonts w:hint="default" w:ascii="Times New Roman" w:hAnsi="Times New Roman" w:cs="Times New Roman"/>
                      <w:color w:val="auto"/>
                    </w:rPr>
                  </w:pPr>
                </w:p>
              </w:tc>
              <w:tc>
                <w:tcPr>
                  <w:tcW w:w="1356" w:type="pct"/>
                  <w:tcBorders>
                    <w:tl2br w:val="nil"/>
                    <w:tr2bl w:val="nil"/>
                  </w:tcBorders>
                  <w:vAlign w:val="center"/>
                </w:tcPr>
                <w:p w14:paraId="47091ABF">
                  <w:pPr>
                    <w:pStyle w:val="3"/>
                    <w:bidi w:val="0"/>
                    <w:rPr>
                      <w:rFonts w:hint="eastAsia"/>
                      <w:color w:val="auto"/>
                    </w:rPr>
                  </w:pPr>
                  <w:r>
                    <w:rPr>
                      <w:rFonts w:hint="eastAsia"/>
                      <w:color w:val="auto"/>
                      <w:lang w:val="en-US" w:eastAsia="zh-CN"/>
                    </w:rPr>
                    <w:t>冷水机</w:t>
                  </w:r>
                </w:p>
              </w:tc>
              <w:tc>
                <w:tcPr>
                  <w:tcW w:w="1870" w:type="pct"/>
                  <w:tcBorders>
                    <w:tl2br w:val="nil"/>
                    <w:tr2bl w:val="nil"/>
                  </w:tcBorders>
                  <w:vAlign w:val="center"/>
                </w:tcPr>
                <w:p w14:paraId="27B74DCC">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199207AB">
                  <w:pPr>
                    <w:pStyle w:val="3"/>
                    <w:bidi w:val="0"/>
                    <w:ind w:firstLine="0" w:firstLineChars="0"/>
                    <w:rPr>
                      <w:rFonts w:hint="eastAsia"/>
                      <w:color w:val="auto"/>
                      <w:lang w:val="en-US" w:eastAsia="zh-CN"/>
                    </w:rPr>
                  </w:pPr>
                  <w:r>
                    <w:rPr>
                      <w:rFonts w:hint="eastAsia"/>
                      <w:color w:val="auto"/>
                      <w:lang w:val="en-US" w:eastAsia="zh-CN"/>
                    </w:rPr>
                    <w:t>2台</w:t>
                  </w:r>
                </w:p>
              </w:tc>
            </w:tr>
            <w:tr w14:paraId="50A977F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08" w:type="pct"/>
                  <w:vMerge w:val="continue"/>
                  <w:tcBorders>
                    <w:tl2br w:val="nil"/>
                    <w:tr2bl w:val="nil"/>
                  </w:tcBorders>
                  <w:vAlign w:val="center"/>
                </w:tcPr>
                <w:p w14:paraId="2F3D3E88">
                  <w:pPr>
                    <w:pStyle w:val="3"/>
                    <w:bidi w:val="0"/>
                    <w:rPr>
                      <w:rFonts w:hint="default" w:ascii="Times New Roman" w:hAnsi="Times New Roman" w:cs="Times New Roman"/>
                      <w:color w:val="auto"/>
                    </w:rPr>
                  </w:pPr>
                </w:p>
              </w:tc>
              <w:tc>
                <w:tcPr>
                  <w:tcW w:w="1356" w:type="pct"/>
                  <w:tcBorders>
                    <w:tl2br w:val="nil"/>
                    <w:tr2bl w:val="nil"/>
                  </w:tcBorders>
                  <w:vAlign w:val="center"/>
                </w:tcPr>
                <w:p w14:paraId="64CD835F">
                  <w:pPr>
                    <w:pStyle w:val="3"/>
                    <w:bidi w:val="0"/>
                    <w:jc w:val="center"/>
                    <w:rPr>
                      <w:rFonts w:hint="eastAsia"/>
                      <w:color w:val="auto"/>
                    </w:rPr>
                  </w:pPr>
                  <w:r>
                    <w:rPr>
                      <w:rFonts w:hint="eastAsia"/>
                      <w:color w:val="auto"/>
                      <w:lang w:val="en-US" w:eastAsia="zh-CN"/>
                    </w:rPr>
                    <w:t>吹瓶生产线</w:t>
                  </w:r>
                </w:p>
              </w:tc>
              <w:tc>
                <w:tcPr>
                  <w:tcW w:w="1870" w:type="pct"/>
                  <w:tcBorders>
                    <w:tl2br w:val="nil"/>
                    <w:tr2bl w:val="nil"/>
                  </w:tcBorders>
                  <w:vAlign w:val="center"/>
                </w:tcPr>
                <w:p w14:paraId="3D43710B">
                  <w:pPr>
                    <w:pStyle w:val="3"/>
                    <w:bidi w:val="0"/>
                    <w:rPr>
                      <w:rFonts w:hint="default"/>
                      <w:color w:val="auto"/>
                      <w:lang w:val="en-US" w:eastAsia="zh-CN"/>
                    </w:rPr>
                  </w:pPr>
                  <w:r>
                    <w:rPr>
                      <w:rFonts w:hint="eastAsia"/>
                      <w:color w:val="auto"/>
                      <w:lang w:val="en-US" w:eastAsia="zh-CN"/>
                    </w:rPr>
                    <w:t>/</w:t>
                  </w:r>
                </w:p>
              </w:tc>
              <w:tc>
                <w:tcPr>
                  <w:tcW w:w="664" w:type="pct"/>
                  <w:tcBorders>
                    <w:tl2br w:val="nil"/>
                    <w:tr2bl w:val="nil"/>
                  </w:tcBorders>
                  <w:vAlign w:val="center"/>
                </w:tcPr>
                <w:p w14:paraId="661DBC8C">
                  <w:pPr>
                    <w:pStyle w:val="3"/>
                    <w:bidi w:val="0"/>
                    <w:ind w:firstLine="0" w:firstLineChars="0"/>
                    <w:rPr>
                      <w:rFonts w:hint="eastAsia"/>
                      <w:color w:val="auto"/>
                      <w:lang w:val="en-US" w:eastAsia="zh-CN"/>
                    </w:rPr>
                  </w:pPr>
                  <w:r>
                    <w:rPr>
                      <w:rFonts w:hint="eastAsia"/>
                      <w:color w:val="auto"/>
                      <w:lang w:val="en-US" w:eastAsia="zh-CN"/>
                    </w:rPr>
                    <w:t>1条</w:t>
                  </w:r>
                </w:p>
              </w:tc>
            </w:tr>
          </w:tbl>
          <w:p w14:paraId="6D1ED211">
            <w:pPr>
              <w:numPr>
                <w:ilvl w:val="0"/>
                <w:numId w:val="1"/>
              </w:numPr>
              <w:bidi w:val="0"/>
              <w:rPr>
                <w:rFonts w:hint="eastAsia"/>
                <w:color w:val="auto"/>
                <w:lang w:val="en-US" w:eastAsia="zh-CN"/>
              </w:rPr>
            </w:pPr>
            <w:r>
              <w:rPr>
                <w:rFonts w:hint="eastAsia"/>
                <w:color w:val="auto"/>
                <w:lang w:val="en-US" w:eastAsia="zh-CN"/>
              </w:rPr>
              <w:t>现有工程主要原辅材料用量</w:t>
            </w:r>
          </w:p>
          <w:p w14:paraId="16F9BB9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表2.7-3 现有工程主要原辅材料用量一览表</w:t>
            </w:r>
          </w:p>
          <w:tbl>
            <w:tblPr>
              <w:tblStyle w:val="17"/>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87"/>
              <w:gridCol w:w="2558"/>
              <w:gridCol w:w="2224"/>
              <w:gridCol w:w="2517"/>
            </w:tblGrid>
            <w:tr w14:paraId="78DEDEB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trHeight w:val="270" w:hRule="atLeast"/>
                <w:tblHeader/>
                <w:jc w:val="center"/>
              </w:trPr>
              <w:tc>
                <w:tcPr>
                  <w:tcW w:w="648" w:type="pct"/>
                  <w:noWrap w:val="0"/>
                  <w:vAlign w:val="center"/>
                </w:tcPr>
                <w:p w14:paraId="77BB1BB2">
                  <w:pPr>
                    <w:pStyle w:val="3"/>
                    <w:bidi w:val="0"/>
                    <w:rPr>
                      <w:rFonts w:hint="default" w:ascii="Times New Roman" w:hAnsi="Times New Roman" w:cs="Times New Roman"/>
                      <w:color w:val="auto"/>
                    </w:rPr>
                  </w:pPr>
                  <w:r>
                    <w:rPr>
                      <w:rFonts w:hint="default" w:ascii="Times New Roman" w:hAnsi="Times New Roman" w:cs="Times New Roman"/>
                      <w:color w:val="auto"/>
                    </w:rPr>
                    <w:t>序号</w:t>
                  </w:r>
                </w:p>
              </w:tc>
              <w:tc>
                <w:tcPr>
                  <w:tcW w:w="1525" w:type="pct"/>
                  <w:noWrap w:val="0"/>
                  <w:vAlign w:val="center"/>
                </w:tcPr>
                <w:p w14:paraId="03D1FE4A">
                  <w:pPr>
                    <w:pStyle w:val="3"/>
                    <w:bidi w:val="0"/>
                    <w:rPr>
                      <w:rFonts w:hint="default" w:ascii="Times New Roman" w:hAnsi="Times New Roman" w:cs="Times New Roman"/>
                      <w:color w:val="auto"/>
                    </w:rPr>
                  </w:pPr>
                  <w:r>
                    <w:rPr>
                      <w:rFonts w:hint="default" w:ascii="Times New Roman" w:hAnsi="Times New Roman" w:cs="Times New Roman"/>
                      <w:color w:val="auto"/>
                    </w:rPr>
                    <w:t>材料名称</w:t>
                  </w:r>
                </w:p>
              </w:tc>
              <w:tc>
                <w:tcPr>
                  <w:tcW w:w="1326" w:type="pct"/>
                  <w:noWrap w:val="0"/>
                  <w:vAlign w:val="center"/>
                </w:tcPr>
                <w:p w14:paraId="43CEDE01">
                  <w:pPr>
                    <w:pStyle w:val="3"/>
                    <w:bidi w:val="0"/>
                    <w:rPr>
                      <w:rFonts w:hint="default" w:ascii="Times New Roman" w:hAnsi="Times New Roman" w:cs="Times New Roman"/>
                      <w:color w:val="auto"/>
                    </w:rPr>
                  </w:pPr>
                  <w:r>
                    <w:rPr>
                      <w:rFonts w:hint="default" w:ascii="Times New Roman" w:hAnsi="Times New Roman" w:cs="Times New Roman"/>
                      <w:color w:val="auto"/>
                    </w:rPr>
                    <w:t>单位</w:t>
                  </w:r>
                </w:p>
              </w:tc>
              <w:tc>
                <w:tcPr>
                  <w:tcW w:w="1500" w:type="pct"/>
                  <w:noWrap w:val="0"/>
                  <w:vAlign w:val="center"/>
                </w:tcPr>
                <w:p w14:paraId="53A599D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年用量</w:t>
                  </w:r>
                </w:p>
              </w:tc>
            </w:tr>
            <w:tr w14:paraId="0FBDA9D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57D76898">
                  <w:pPr>
                    <w:pStyle w:val="3"/>
                    <w:bidi w:val="0"/>
                    <w:rPr>
                      <w:rFonts w:hint="default" w:ascii="Times New Roman" w:hAnsi="Times New Roman" w:cs="Times New Roman"/>
                      <w:color w:val="auto"/>
                    </w:rPr>
                  </w:pPr>
                  <w:r>
                    <w:rPr>
                      <w:rFonts w:hint="default" w:ascii="Times New Roman" w:hAnsi="Times New Roman" w:cs="Times New Roman"/>
                      <w:color w:val="auto"/>
                    </w:rPr>
                    <w:t>1</w:t>
                  </w:r>
                </w:p>
              </w:tc>
              <w:tc>
                <w:tcPr>
                  <w:tcW w:w="1525" w:type="pct"/>
                  <w:noWrap w:val="0"/>
                  <w:vAlign w:val="center"/>
                </w:tcPr>
                <w:p w14:paraId="2488086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大豆</w:t>
                  </w:r>
                </w:p>
              </w:tc>
              <w:tc>
                <w:tcPr>
                  <w:tcW w:w="1326" w:type="pct"/>
                  <w:noWrap w:val="0"/>
                  <w:vAlign w:val="center"/>
                </w:tcPr>
                <w:p w14:paraId="2C4024CA">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万t</w:t>
                  </w:r>
                  <w:r>
                    <w:rPr>
                      <w:rFonts w:hint="default" w:ascii="Times New Roman" w:hAnsi="Times New Roman" w:cs="Times New Roman"/>
                      <w:color w:val="auto"/>
                    </w:rPr>
                    <w:t>/a</w:t>
                  </w:r>
                </w:p>
              </w:tc>
              <w:tc>
                <w:tcPr>
                  <w:tcW w:w="1500" w:type="pct"/>
                  <w:noWrap w:val="0"/>
                  <w:vAlign w:val="center"/>
                </w:tcPr>
                <w:p w14:paraId="14EC26D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highlight w:val="none"/>
                      <w:lang w:val="en-US" w:eastAsia="zh-CN"/>
                    </w:rPr>
                    <w:t>180</w:t>
                  </w:r>
                </w:p>
              </w:tc>
            </w:tr>
            <w:tr w14:paraId="007A3D6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3FA06A3B">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1525" w:type="pct"/>
                  <w:noWrap w:val="0"/>
                  <w:vAlign w:val="center"/>
                </w:tcPr>
                <w:p w14:paraId="00F465B1">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外购毛油</w:t>
                  </w:r>
                </w:p>
              </w:tc>
              <w:tc>
                <w:tcPr>
                  <w:tcW w:w="1326" w:type="pct"/>
                  <w:noWrap w:val="0"/>
                  <w:vAlign w:val="center"/>
                </w:tcPr>
                <w:p w14:paraId="6FF2CB80">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t/a</w:t>
                  </w:r>
                </w:p>
              </w:tc>
              <w:tc>
                <w:tcPr>
                  <w:tcW w:w="1500" w:type="pct"/>
                  <w:noWrap w:val="0"/>
                  <w:vAlign w:val="center"/>
                </w:tcPr>
                <w:p w14:paraId="109F08AF">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w:t>
                  </w:r>
                </w:p>
              </w:tc>
            </w:tr>
            <w:tr w14:paraId="1422F5C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15" w:hRule="atLeast"/>
                <w:jc w:val="center"/>
              </w:trPr>
              <w:tc>
                <w:tcPr>
                  <w:tcW w:w="648" w:type="pct"/>
                  <w:noWrap w:val="0"/>
                  <w:vAlign w:val="center"/>
                </w:tcPr>
                <w:p w14:paraId="056D1BC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1525" w:type="pct"/>
                  <w:noWrap w:val="0"/>
                  <w:vAlign w:val="center"/>
                </w:tcPr>
                <w:p w14:paraId="2EBFB51D">
                  <w:pPr>
                    <w:pStyle w:val="3"/>
                    <w:bidi w:val="0"/>
                    <w:ind w:firstLine="0" w:firstLineChars="0"/>
                    <w:rPr>
                      <w:rFonts w:hint="default" w:ascii="Times New Roman" w:hAnsi="Times New Roman" w:cs="Times New Roman"/>
                      <w:color w:val="auto"/>
                      <w:lang w:eastAsia="zh-CN"/>
                    </w:rPr>
                  </w:pPr>
                  <w:r>
                    <w:rPr>
                      <w:rFonts w:hint="eastAsia" w:ascii="Times New Roman" w:hAnsi="Times New Roman" w:cs="Times New Roman"/>
                      <w:color w:val="auto"/>
                      <w:lang w:eastAsia="zh-CN"/>
                    </w:rPr>
                    <w:t>外购脱胶油</w:t>
                  </w:r>
                </w:p>
              </w:tc>
              <w:tc>
                <w:tcPr>
                  <w:tcW w:w="1326" w:type="pct"/>
                  <w:noWrap w:val="0"/>
                  <w:vAlign w:val="center"/>
                </w:tcPr>
                <w:p w14:paraId="39991052">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t/a</w:t>
                  </w:r>
                </w:p>
              </w:tc>
              <w:tc>
                <w:tcPr>
                  <w:tcW w:w="1500" w:type="pct"/>
                  <w:noWrap w:val="0"/>
                  <w:vAlign w:val="center"/>
                </w:tcPr>
                <w:p w14:paraId="2B0B6727">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5462</w:t>
                  </w:r>
                </w:p>
              </w:tc>
            </w:tr>
            <w:tr w14:paraId="615E1B3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pct"/>
                  <w:noWrap w:val="0"/>
                  <w:vAlign w:val="center"/>
                </w:tcPr>
                <w:p w14:paraId="7FDEAA2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p>
              </w:tc>
              <w:tc>
                <w:tcPr>
                  <w:tcW w:w="1525" w:type="pct"/>
                  <w:noWrap w:val="0"/>
                  <w:vAlign w:val="center"/>
                </w:tcPr>
                <w:p w14:paraId="7A037360">
                  <w:pPr>
                    <w:pStyle w:val="3"/>
                    <w:bidi w:val="0"/>
                    <w:rPr>
                      <w:rFonts w:hint="default" w:ascii="Times New Roman" w:hAnsi="Times New Roman" w:cs="Times New Roman"/>
                      <w:color w:val="auto"/>
                      <w:lang w:eastAsia="zh-CN"/>
                    </w:rPr>
                  </w:pPr>
                  <w:r>
                    <w:rPr>
                      <w:rFonts w:hint="eastAsia" w:ascii="Times New Roman" w:hAnsi="Times New Roman" w:cs="Times New Roman"/>
                      <w:color w:val="auto"/>
                      <w:highlight w:val="none"/>
                      <w:lang w:eastAsia="zh-CN"/>
                    </w:rPr>
                    <w:t>正己烷</w:t>
                  </w:r>
                </w:p>
              </w:tc>
              <w:tc>
                <w:tcPr>
                  <w:tcW w:w="1326" w:type="pct"/>
                  <w:noWrap w:val="0"/>
                  <w:vAlign w:val="center"/>
                </w:tcPr>
                <w:p w14:paraId="4292CF2F">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t/a</w:t>
                  </w:r>
                </w:p>
              </w:tc>
              <w:tc>
                <w:tcPr>
                  <w:tcW w:w="1500" w:type="pct"/>
                  <w:noWrap w:val="0"/>
                  <w:vAlign w:val="center"/>
                </w:tcPr>
                <w:p w14:paraId="29C17874">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1056</w:t>
                  </w:r>
                </w:p>
              </w:tc>
            </w:tr>
            <w:tr w14:paraId="1AF17CC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7C162A2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w:t>
                  </w:r>
                </w:p>
              </w:tc>
              <w:tc>
                <w:tcPr>
                  <w:tcW w:w="1525" w:type="pct"/>
                  <w:noWrap w:val="0"/>
                  <w:vAlign w:val="center"/>
                </w:tcPr>
                <w:p w14:paraId="55D84E9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磷酸</w:t>
                  </w:r>
                </w:p>
              </w:tc>
              <w:tc>
                <w:tcPr>
                  <w:tcW w:w="1326" w:type="pct"/>
                  <w:noWrap w:val="0"/>
                  <w:vAlign w:val="center"/>
                </w:tcPr>
                <w:p w14:paraId="0E719DA4">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t/a</w:t>
                  </w:r>
                </w:p>
              </w:tc>
              <w:tc>
                <w:tcPr>
                  <w:tcW w:w="1500" w:type="pct"/>
                  <w:noWrap w:val="0"/>
                  <w:vAlign w:val="center"/>
                </w:tcPr>
                <w:p w14:paraId="5FE97D5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197</w:t>
                  </w:r>
                </w:p>
              </w:tc>
            </w:tr>
            <w:tr w14:paraId="1F499BC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7059C02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w:t>
                  </w:r>
                </w:p>
              </w:tc>
              <w:tc>
                <w:tcPr>
                  <w:tcW w:w="1525" w:type="pct"/>
                  <w:noWrap w:val="0"/>
                  <w:vAlign w:val="center"/>
                </w:tcPr>
                <w:p w14:paraId="6D3949A5">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液碱</w:t>
                  </w:r>
                </w:p>
              </w:tc>
              <w:tc>
                <w:tcPr>
                  <w:tcW w:w="1326" w:type="pct"/>
                  <w:noWrap w:val="0"/>
                  <w:vAlign w:val="center"/>
                </w:tcPr>
                <w:p w14:paraId="0E4A25E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t/a</w:t>
                  </w:r>
                </w:p>
              </w:tc>
              <w:tc>
                <w:tcPr>
                  <w:tcW w:w="1500" w:type="pct"/>
                  <w:noWrap w:val="0"/>
                  <w:vAlign w:val="center"/>
                </w:tcPr>
                <w:p w14:paraId="335A974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1146</w:t>
                  </w:r>
                </w:p>
              </w:tc>
            </w:tr>
            <w:tr w14:paraId="3A30A89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095EE4C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7</w:t>
                  </w:r>
                </w:p>
              </w:tc>
              <w:tc>
                <w:tcPr>
                  <w:tcW w:w="1525" w:type="pct"/>
                  <w:noWrap w:val="0"/>
                  <w:vAlign w:val="center"/>
                </w:tcPr>
                <w:p w14:paraId="3EDBD79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白土</w:t>
                  </w:r>
                </w:p>
              </w:tc>
              <w:tc>
                <w:tcPr>
                  <w:tcW w:w="1326" w:type="pct"/>
                  <w:noWrap w:val="0"/>
                  <w:vAlign w:val="center"/>
                </w:tcPr>
                <w:p w14:paraId="5D3C094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t/a</w:t>
                  </w:r>
                </w:p>
              </w:tc>
              <w:tc>
                <w:tcPr>
                  <w:tcW w:w="1500" w:type="pct"/>
                  <w:noWrap w:val="0"/>
                  <w:vAlign w:val="center"/>
                </w:tcPr>
                <w:p w14:paraId="5C8F30F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2294</w:t>
                  </w:r>
                </w:p>
              </w:tc>
            </w:tr>
            <w:tr w14:paraId="7775F13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47AC025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8</w:t>
                  </w:r>
                </w:p>
              </w:tc>
              <w:tc>
                <w:tcPr>
                  <w:tcW w:w="1525" w:type="pct"/>
                  <w:noWrap w:val="0"/>
                  <w:vAlign w:val="center"/>
                </w:tcPr>
                <w:p w14:paraId="275D1799">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瓶坯</w:t>
                  </w:r>
                </w:p>
              </w:tc>
              <w:tc>
                <w:tcPr>
                  <w:tcW w:w="1326" w:type="pct"/>
                  <w:noWrap w:val="0"/>
                  <w:vAlign w:val="center"/>
                </w:tcPr>
                <w:p w14:paraId="73D3BE4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万个/a</w:t>
                  </w:r>
                </w:p>
              </w:tc>
              <w:tc>
                <w:tcPr>
                  <w:tcW w:w="1500" w:type="pct"/>
                  <w:noWrap w:val="0"/>
                  <w:vAlign w:val="center"/>
                </w:tcPr>
                <w:p w14:paraId="0EC015F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114</w:t>
                  </w:r>
                </w:p>
              </w:tc>
            </w:tr>
            <w:tr w14:paraId="58C4EF7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0570F9D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w:t>
                  </w:r>
                </w:p>
              </w:tc>
              <w:tc>
                <w:tcPr>
                  <w:tcW w:w="1525" w:type="pct"/>
                  <w:noWrap w:val="0"/>
                  <w:vAlign w:val="center"/>
                </w:tcPr>
                <w:p w14:paraId="5F59E02A">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rPr>
                    <w:t>机油</w:t>
                  </w:r>
                </w:p>
              </w:tc>
              <w:tc>
                <w:tcPr>
                  <w:tcW w:w="1326" w:type="pct"/>
                  <w:noWrap w:val="0"/>
                  <w:vAlign w:val="center"/>
                </w:tcPr>
                <w:p w14:paraId="086CC314">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rPr>
                    <w:t>t/a</w:t>
                  </w:r>
                </w:p>
              </w:tc>
              <w:tc>
                <w:tcPr>
                  <w:tcW w:w="1500" w:type="pct"/>
                  <w:noWrap w:val="0"/>
                  <w:vAlign w:val="center"/>
                </w:tcPr>
                <w:p w14:paraId="2CE1BCEE">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w:t>
                  </w:r>
                </w:p>
              </w:tc>
            </w:tr>
            <w:tr w14:paraId="11C4B25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648" w:type="pct"/>
                  <w:noWrap w:val="0"/>
                  <w:vAlign w:val="center"/>
                </w:tcPr>
                <w:p w14:paraId="0A2C0BEF">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1525" w:type="pct"/>
                  <w:noWrap w:val="0"/>
                  <w:vAlign w:val="center"/>
                </w:tcPr>
                <w:p w14:paraId="0F99B46F">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rPr>
                    <w:t>抹布、劳保用品</w:t>
                  </w:r>
                </w:p>
              </w:tc>
              <w:tc>
                <w:tcPr>
                  <w:tcW w:w="1326" w:type="pct"/>
                  <w:noWrap w:val="0"/>
                  <w:vAlign w:val="center"/>
                </w:tcPr>
                <w:p w14:paraId="00AD00C7">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rPr>
                    <w:t>t/a</w:t>
                  </w:r>
                </w:p>
              </w:tc>
              <w:tc>
                <w:tcPr>
                  <w:tcW w:w="1500" w:type="pct"/>
                  <w:noWrap w:val="0"/>
                  <w:vAlign w:val="center"/>
                </w:tcPr>
                <w:p w14:paraId="17FB3E80">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w:t>
                  </w:r>
                </w:p>
              </w:tc>
            </w:tr>
            <w:tr w14:paraId="244B027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648" w:type="pct"/>
                  <w:noWrap w:val="0"/>
                  <w:vAlign w:val="center"/>
                </w:tcPr>
                <w:p w14:paraId="6E06892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w:t>
                  </w:r>
                </w:p>
              </w:tc>
              <w:tc>
                <w:tcPr>
                  <w:tcW w:w="1525" w:type="pct"/>
                  <w:noWrap w:val="0"/>
                  <w:vAlign w:val="center"/>
                </w:tcPr>
                <w:p w14:paraId="320CC27F">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lang w:eastAsia="zh-CN"/>
                    </w:rPr>
                    <w:t>蒸汽</w:t>
                  </w:r>
                </w:p>
              </w:tc>
              <w:tc>
                <w:tcPr>
                  <w:tcW w:w="1326" w:type="pct"/>
                  <w:noWrap w:val="0"/>
                  <w:vAlign w:val="center"/>
                </w:tcPr>
                <w:p w14:paraId="6B7B50A0">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t</w:t>
                  </w:r>
                  <w:r>
                    <w:rPr>
                      <w:rFonts w:hint="default" w:ascii="Times New Roman" w:hAnsi="Times New Roman" w:cs="Times New Roman"/>
                      <w:color w:val="auto"/>
                    </w:rPr>
                    <w:t>/a</w:t>
                  </w:r>
                </w:p>
              </w:tc>
              <w:tc>
                <w:tcPr>
                  <w:tcW w:w="1500" w:type="pct"/>
                  <w:noWrap w:val="0"/>
                  <w:vAlign w:val="center"/>
                </w:tcPr>
                <w:p w14:paraId="2CC384D1">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23790</w:t>
                  </w:r>
                </w:p>
              </w:tc>
            </w:tr>
          </w:tbl>
          <w:p w14:paraId="3D44AAAE">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default" w:ascii="Times New Roman" w:hAnsi="Times New Roman" w:cs="Times New Roman"/>
                <w:b/>
                <w:bCs/>
                <w:color w:val="auto"/>
                <w:kern w:val="0"/>
                <w:sz w:val="24"/>
                <w:szCs w:val="24"/>
                <w:lang w:val="en-US" w:eastAsia="zh-CN" w:bidi="ar"/>
              </w:rPr>
            </w:pPr>
            <w:r>
              <w:rPr>
                <w:rFonts w:hint="eastAsia" w:ascii="Times New Roman" w:cs="Times New Roman"/>
                <w:b/>
                <w:bCs/>
                <w:color w:val="auto"/>
                <w:kern w:val="0"/>
                <w:sz w:val="24"/>
                <w:szCs w:val="24"/>
                <w:lang w:val="en-US" w:eastAsia="zh-CN" w:bidi="ar"/>
              </w:rPr>
              <w:t>7.</w:t>
            </w:r>
            <w:r>
              <w:rPr>
                <w:rFonts w:hint="default" w:ascii="Times New Roman" w:hAnsi="Times New Roman" w:cs="Times New Roman"/>
                <w:b/>
                <w:bCs/>
                <w:color w:val="auto"/>
                <w:kern w:val="0"/>
                <w:sz w:val="24"/>
                <w:szCs w:val="24"/>
                <w:lang w:val="en-US" w:eastAsia="zh-CN" w:bidi="ar"/>
              </w:rPr>
              <w:t>3现有工程生产工艺流程</w:t>
            </w:r>
          </w:p>
          <w:p w14:paraId="3A0B54E2">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color w:val="auto"/>
                <w:kern w:val="0"/>
                <w:sz w:val="24"/>
                <w:szCs w:val="24"/>
                <w:lang w:bidi="ar"/>
              </w:rPr>
            </w:pPr>
            <w:r>
              <w:rPr>
                <w:rFonts w:hint="eastAsia" w:ascii="Times New Roman" w:cs="Times New Roman"/>
                <w:color w:val="auto"/>
                <w:kern w:val="0"/>
                <w:sz w:val="24"/>
                <w:szCs w:val="24"/>
                <w:lang w:eastAsia="zh-CN" w:bidi="ar"/>
              </w:rPr>
              <w:t>现有工程的</w:t>
            </w:r>
            <w:r>
              <w:rPr>
                <w:rFonts w:hint="default" w:ascii="Times New Roman" w:hAnsi="Times New Roman" w:cs="Times New Roman"/>
                <w:color w:val="auto"/>
                <w:kern w:val="0"/>
                <w:sz w:val="24"/>
                <w:szCs w:val="24"/>
                <w:lang w:val="en-US" w:eastAsia="zh-CN" w:bidi="ar"/>
              </w:rPr>
              <w:t>预处理生产线、浸出生产线、</w:t>
            </w:r>
            <w:r>
              <w:rPr>
                <w:rFonts w:hint="eastAsia" w:ascii="Times New Roman" w:cs="Times New Roman"/>
                <w:color w:val="auto"/>
                <w:kern w:val="0"/>
                <w:sz w:val="24"/>
                <w:szCs w:val="24"/>
                <w:lang w:val="en-US" w:eastAsia="zh-CN" w:bidi="ar"/>
              </w:rPr>
              <w:t>精炼生产线、</w:t>
            </w:r>
            <w:r>
              <w:rPr>
                <w:rFonts w:hint="default" w:ascii="Times New Roman" w:hAnsi="Times New Roman" w:cs="Times New Roman"/>
                <w:color w:val="auto"/>
                <w:kern w:val="0"/>
                <w:sz w:val="24"/>
                <w:szCs w:val="24"/>
                <w:lang w:val="en-US" w:eastAsia="zh-CN" w:bidi="ar"/>
              </w:rPr>
              <w:t>罐装生产线</w:t>
            </w:r>
            <w:r>
              <w:rPr>
                <w:rFonts w:hint="eastAsia" w:ascii="Times New Roman" w:cs="Times New Roman"/>
                <w:color w:val="auto"/>
                <w:kern w:val="0"/>
                <w:sz w:val="24"/>
                <w:szCs w:val="24"/>
                <w:lang w:val="en-US" w:eastAsia="zh-CN" w:bidi="ar"/>
              </w:rPr>
              <w:t>、溶剂回收系统、制氮系统、大豆提升/转运系统以及蒸汽锅炉，其生产工艺流程</w:t>
            </w:r>
            <w:r>
              <w:rPr>
                <w:rFonts w:hint="default" w:ascii="Times New Roman" w:hAnsi="Times New Roman" w:cs="Times New Roman"/>
                <w:color w:val="auto"/>
                <w:kern w:val="0"/>
                <w:sz w:val="24"/>
                <w:szCs w:val="24"/>
                <w:lang w:val="en-US" w:eastAsia="zh-CN" w:bidi="ar"/>
              </w:rPr>
              <w:t>见图2.</w:t>
            </w:r>
            <w:r>
              <w:rPr>
                <w:rFonts w:hint="eastAsia" w:ascii="Times New Roman" w:cs="Times New Roman"/>
                <w:color w:val="auto"/>
                <w:kern w:val="0"/>
                <w:sz w:val="24"/>
                <w:szCs w:val="24"/>
                <w:lang w:val="en-US" w:eastAsia="zh-CN" w:bidi="ar"/>
              </w:rPr>
              <w:t>4</w:t>
            </w:r>
            <w:r>
              <w:rPr>
                <w:rFonts w:hint="default" w:ascii="Times New Roman" w:hAnsi="Times New Roman" w:cs="Times New Roman"/>
                <w:color w:val="auto"/>
                <w:kern w:val="0"/>
                <w:sz w:val="24"/>
                <w:szCs w:val="24"/>
                <w:lang w:val="en-US" w:eastAsia="zh-CN" w:bidi="ar"/>
              </w:rPr>
              <w:t>、图2.</w:t>
            </w:r>
            <w:r>
              <w:rPr>
                <w:rFonts w:hint="eastAsia" w:ascii="Times New Roman" w:cs="Times New Roman"/>
                <w:color w:val="auto"/>
                <w:kern w:val="0"/>
                <w:sz w:val="24"/>
                <w:szCs w:val="24"/>
                <w:lang w:val="en-US" w:eastAsia="zh-CN" w:bidi="ar"/>
              </w:rPr>
              <w:t>5</w:t>
            </w:r>
            <w:r>
              <w:rPr>
                <w:rFonts w:hint="default" w:ascii="Times New Roman" w:hAnsi="Times New Roman" w:cs="Times New Roman"/>
                <w:color w:val="auto"/>
                <w:kern w:val="0"/>
                <w:sz w:val="24"/>
                <w:szCs w:val="24"/>
                <w:lang w:val="en-US" w:eastAsia="zh-CN" w:bidi="ar"/>
              </w:rPr>
              <w:t>、图2.</w:t>
            </w:r>
            <w:r>
              <w:rPr>
                <w:rFonts w:hint="eastAsia" w:ascii="Times New Roman" w:cs="Times New Roman"/>
                <w:color w:val="auto"/>
                <w:kern w:val="0"/>
                <w:sz w:val="24"/>
                <w:szCs w:val="24"/>
                <w:lang w:val="en-US" w:eastAsia="zh-CN" w:bidi="ar"/>
              </w:rPr>
              <w:t>6</w:t>
            </w:r>
            <w:r>
              <w:rPr>
                <w:rFonts w:hint="default" w:ascii="Times New Roman" w:hAnsi="Times New Roman" w:cs="Times New Roman"/>
                <w:color w:val="auto"/>
                <w:kern w:val="0"/>
                <w:sz w:val="24"/>
                <w:szCs w:val="24"/>
                <w:lang w:val="en-US" w:eastAsia="zh-CN" w:bidi="ar"/>
              </w:rPr>
              <w:t>、图2.</w:t>
            </w:r>
            <w:r>
              <w:rPr>
                <w:rFonts w:hint="eastAsia" w:ascii="Times New Roman" w:cs="Times New Roman"/>
                <w:color w:val="auto"/>
                <w:kern w:val="0"/>
                <w:sz w:val="24"/>
                <w:szCs w:val="24"/>
                <w:lang w:val="en-US" w:eastAsia="zh-CN" w:bidi="ar"/>
              </w:rPr>
              <w:t>7、图2.8、图2.9、图2.10、</w:t>
            </w:r>
            <w:r>
              <w:rPr>
                <w:rFonts w:hint="default" w:ascii="Times New Roman" w:hAnsi="Times New Roman" w:cs="Times New Roman"/>
                <w:color w:val="auto"/>
                <w:kern w:val="0"/>
                <w:sz w:val="24"/>
                <w:szCs w:val="24"/>
                <w:lang w:val="en-US" w:eastAsia="zh-CN" w:bidi="ar"/>
              </w:rPr>
              <w:t>图2.</w:t>
            </w:r>
            <w:r>
              <w:rPr>
                <w:rFonts w:hint="eastAsia" w:ascii="Times New Roman" w:cs="Times New Roman"/>
                <w:color w:val="auto"/>
                <w:kern w:val="0"/>
                <w:sz w:val="24"/>
                <w:szCs w:val="24"/>
                <w:lang w:val="en-US" w:eastAsia="zh-CN" w:bidi="ar"/>
              </w:rPr>
              <w:t>11</w:t>
            </w:r>
            <w:r>
              <w:rPr>
                <w:rFonts w:hint="default" w:ascii="Times New Roman" w:hAnsi="Times New Roman" w:cs="Times New Roman"/>
                <w:color w:val="auto"/>
                <w:kern w:val="0"/>
                <w:sz w:val="24"/>
                <w:szCs w:val="24"/>
                <w:lang w:val="en-US" w:eastAsia="zh-CN" w:bidi="ar"/>
              </w:rPr>
              <w:t>。</w:t>
            </w:r>
          </w:p>
          <w:p w14:paraId="3E6E95B5">
            <w:pPr>
              <w:pStyle w:val="23"/>
              <w:ind w:left="0" w:leftChars="0" w:firstLine="0" w:firstLineChars="0"/>
              <w:jc w:val="center"/>
              <w:rPr>
                <w:color w:val="auto"/>
                <w:kern w:val="0"/>
                <w:sz w:val="24"/>
                <w:szCs w:val="24"/>
                <w:lang w:bidi="ar"/>
              </w:rPr>
            </w:pPr>
            <w:r>
              <w:rPr>
                <w:color w:val="auto"/>
                <w:kern w:val="0"/>
                <w:sz w:val="24"/>
                <w:szCs w:val="24"/>
                <w:lang w:bidi="ar"/>
              </w:rPr>
              <w:object>
                <v:shape id="_x0000_i1028" o:spt="75" type="#_x0000_t75" style="height:164.1pt;width:398.6pt;" o:ole="t" filled="f" o:preferrelative="t" stroked="f" coordsize="21600,21600">
                  <v:path/>
                  <v:fill on="f" focussize="0,0"/>
                  <v:stroke on="f"/>
                  <v:imagedata r:id="rId17" o:title=""/>
                  <o:lock v:ext="edit" aspectratio="f"/>
                  <w10:wrap type="none"/>
                  <w10:anchorlock/>
                </v:shape>
                <o:OLEObject Type="Embed" ProgID="Visio.Drawing.11" ShapeID="_x0000_i1028" DrawAspect="Content" ObjectID="_1468075728" r:id="rId16">
                  <o:LockedField>false</o:LockedField>
                </o:OLEObject>
              </w:object>
            </w:r>
          </w:p>
          <w:p w14:paraId="0993BD93">
            <w:pPr>
              <w:pStyle w:val="23"/>
              <w:ind w:left="0" w:leftChars="0" w:firstLine="0" w:firstLineChars="0"/>
              <w:jc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color w:val="auto"/>
                <w:kern w:val="0"/>
                <w:sz w:val="24"/>
                <w:szCs w:val="24"/>
                <w:lang w:eastAsia="zh-CN" w:bidi="ar"/>
              </w:rPr>
              <w:t>图</w:t>
            </w:r>
            <w:r>
              <w:rPr>
                <w:rFonts w:hint="default" w:ascii="Times New Roman" w:hAnsi="Times New Roman" w:eastAsia="宋体" w:cs="Times New Roman"/>
                <w:color w:val="auto"/>
                <w:kern w:val="0"/>
                <w:sz w:val="24"/>
                <w:szCs w:val="24"/>
                <w:lang w:val="en-US" w:eastAsia="zh-CN" w:bidi="ar"/>
              </w:rPr>
              <w:t>2.</w:t>
            </w:r>
            <w:r>
              <w:rPr>
                <w:rFonts w:hint="eastAsia" w:ascii="Times New Roman" w:eastAsia="宋体" w:cs="Times New Roman"/>
                <w:color w:val="auto"/>
                <w:kern w:val="0"/>
                <w:sz w:val="24"/>
                <w:szCs w:val="24"/>
                <w:lang w:val="en-US" w:eastAsia="zh-CN" w:bidi="ar"/>
              </w:rPr>
              <w:t>4</w:t>
            </w:r>
            <w:r>
              <w:rPr>
                <w:rFonts w:hint="default" w:ascii="Times New Roman" w:hAnsi="Times New Roman" w:eastAsia="宋体" w:cs="Times New Roman"/>
                <w:color w:val="auto"/>
                <w:kern w:val="0"/>
                <w:sz w:val="24"/>
                <w:szCs w:val="24"/>
                <w:lang w:val="en-US" w:eastAsia="zh-CN" w:bidi="ar"/>
              </w:rPr>
              <w:t xml:space="preserve"> 预处理生产线工艺流程图</w:t>
            </w:r>
          </w:p>
          <w:p w14:paraId="07498850">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color w:val="auto"/>
                <w:kern w:val="0"/>
                <w:sz w:val="24"/>
                <w:szCs w:val="24"/>
                <w:lang w:eastAsia="zh-CN" w:bidi="ar"/>
              </w:rPr>
            </w:pPr>
            <w:r>
              <w:rPr>
                <w:rFonts w:hint="eastAsia"/>
                <w:color w:val="auto"/>
                <w:kern w:val="0"/>
                <w:sz w:val="24"/>
                <w:szCs w:val="24"/>
                <w:lang w:eastAsia="zh-CN" w:bidi="ar"/>
              </w:rPr>
              <w:t>工艺流程简介：</w:t>
            </w:r>
          </w:p>
          <w:p w14:paraId="261C1124">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lang w:val="en-US" w:eastAsia="zh-CN" w:bidi="ar"/>
              </w:rPr>
            </w:pPr>
            <w:r>
              <w:rPr>
                <w:rFonts w:hint="default" w:ascii="Times New Roman" w:hAnsi="Times New Roman" w:cs="Times New Roman"/>
                <w:color w:val="auto"/>
                <w:kern w:val="0"/>
                <w:sz w:val="24"/>
                <w:szCs w:val="24"/>
                <w:lang w:val="en-US" w:eastAsia="zh-CN" w:bidi="ar"/>
              </w:rPr>
              <w:t>预处理生产线主要对外购大豆进行除杂、预处理加工，将大豆加工成胚片、豆皮，之后胚片进入浸出生产线加工成大豆毛油、豆粕，豆粕再返回预处理生产线与豆皮破碎、掺入后外卖。</w:t>
            </w:r>
          </w:p>
          <w:p w14:paraId="4E586E3D">
            <w:pPr>
              <w:pStyle w:val="8"/>
              <w:keepNext w:val="0"/>
              <w:keepLines w:val="0"/>
              <w:pageBreakBefore w:val="0"/>
              <w:widowControl w:val="0"/>
              <w:kinsoku/>
              <w:wordWrap/>
              <w:overflowPunct/>
              <w:topLinePunct w:val="0"/>
              <w:bidi w:val="0"/>
              <w:adjustRightInd w:val="0"/>
              <w:snapToGrid w:val="0"/>
              <w:spacing w:after="0" w:line="360" w:lineRule="auto"/>
              <w:ind w:firstLine="480"/>
              <w:textAlignment w:val="auto"/>
              <w:rPr>
                <w:rFonts w:hint="default" w:cs="Times New Roman"/>
                <w:color w:val="auto"/>
                <w:sz w:val="24"/>
                <w:lang w:val="en-US" w:eastAsia="zh-CN"/>
              </w:rPr>
            </w:pPr>
            <w:r>
              <w:rPr>
                <w:rFonts w:hint="default" w:ascii="Times New Roman" w:hAnsi="Times New Roman" w:cs="Times New Roman"/>
                <w:color w:val="auto"/>
                <w:sz w:val="24"/>
              </w:rPr>
              <w:t>称量：大豆</w:t>
            </w:r>
            <w:r>
              <w:rPr>
                <w:rFonts w:hint="eastAsia" w:cs="Times New Roman"/>
                <w:color w:val="auto"/>
                <w:sz w:val="24"/>
                <w:lang w:eastAsia="zh-CN"/>
              </w:rPr>
              <w:t>使用刮板运输机由大豆筒仓输送至预处理散粮秤处</w:t>
            </w:r>
            <w:r>
              <w:rPr>
                <w:rFonts w:hint="default" w:ascii="Times New Roman" w:hAnsi="Times New Roman" w:cs="Times New Roman"/>
                <w:color w:val="auto"/>
                <w:sz w:val="24"/>
              </w:rPr>
              <w:t>称量</w:t>
            </w:r>
            <w:r>
              <w:rPr>
                <w:rFonts w:hint="eastAsia" w:cs="Times New Roman"/>
                <w:color w:val="auto"/>
                <w:sz w:val="24"/>
                <w:lang w:eastAsia="zh-CN"/>
              </w:rPr>
              <w:t>，此环节将产生颗粒物</w:t>
            </w:r>
            <w:r>
              <w:rPr>
                <w:rFonts w:hint="eastAsia" w:cs="Times New Roman"/>
                <w:color w:val="auto"/>
                <w:sz w:val="24"/>
                <w:lang w:val="en-US" w:eastAsia="zh-CN"/>
              </w:rPr>
              <w:t>G1。</w:t>
            </w:r>
          </w:p>
          <w:p w14:paraId="0E420739">
            <w:pPr>
              <w:pStyle w:val="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default" w:ascii="Times New Roman" w:hAnsi="Times New Roman" w:cs="Times New Roman"/>
                <w:color w:val="auto"/>
                <w:sz w:val="24"/>
                <w:szCs w:val="24"/>
                <w:lang w:eastAsia="zh-CN"/>
              </w:rPr>
            </w:pPr>
            <w:r>
              <w:rPr>
                <w:rFonts w:hint="default" w:ascii="Times New Roman" w:hAnsi="Times New Roman" w:cs="Times New Roman"/>
                <w:color w:val="auto"/>
                <w:sz w:val="24"/>
                <w:szCs w:val="24"/>
              </w:rPr>
              <w:t>振动清理：</w:t>
            </w:r>
            <w:r>
              <w:rPr>
                <w:rFonts w:hint="eastAsia" w:cs="Times New Roman"/>
                <w:color w:val="auto"/>
                <w:sz w:val="24"/>
                <w:szCs w:val="24"/>
                <w:lang w:eastAsia="zh-CN"/>
              </w:rPr>
              <w:t>大豆经</w:t>
            </w:r>
            <w:r>
              <w:rPr>
                <w:rFonts w:hint="default" w:ascii="Times New Roman" w:hAnsi="Times New Roman" w:cs="Times New Roman"/>
                <w:color w:val="auto"/>
                <w:sz w:val="24"/>
                <w:szCs w:val="24"/>
              </w:rPr>
              <w:t>称量后</w:t>
            </w:r>
            <w:r>
              <w:rPr>
                <w:rFonts w:hint="eastAsia" w:cs="Times New Roman"/>
                <w:color w:val="auto"/>
                <w:sz w:val="24"/>
                <w:szCs w:val="24"/>
                <w:lang w:eastAsia="zh-CN"/>
              </w:rPr>
              <w:t>进入分级筛，分级筛振动将大豆中混杂的豆梗等杂质等</w:t>
            </w:r>
            <w:r>
              <w:rPr>
                <w:rFonts w:hint="default" w:ascii="Times New Roman" w:hAnsi="Times New Roman" w:cs="Times New Roman"/>
                <w:color w:val="auto"/>
                <w:sz w:val="24"/>
                <w:szCs w:val="24"/>
                <w:lang w:eastAsia="zh-CN"/>
              </w:rPr>
              <w:t>分离出来，此环节将产生颗粒物</w:t>
            </w:r>
            <w:r>
              <w:rPr>
                <w:rFonts w:hint="default" w:ascii="Times New Roman" w:hAnsi="Times New Roman" w:cs="Times New Roman"/>
                <w:color w:val="auto"/>
                <w:sz w:val="24"/>
                <w:szCs w:val="24"/>
                <w:lang w:val="en-US" w:eastAsia="zh-CN"/>
              </w:rPr>
              <w:t>G2</w:t>
            </w:r>
            <w:r>
              <w:rPr>
                <w:rFonts w:hint="default" w:ascii="Times New Roman" w:hAnsi="Times New Roman" w:cs="Times New Roman"/>
                <w:color w:val="auto"/>
                <w:sz w:val="24"/>
                <w:szCs w:val="24"/>
                <w:lang w:eastAsia="zh-CN"/>
              </w:rPr>
              <w:t>、豆梗等杂质</w:t>
            </w:r>
            <w:r>
              <w:rPr>
                <w:rFonts w:hint="default" w:ascii="Times New Roman" w:hAnsi="Times New Roman" w:cs="Times New Roman"/>
                <w:color w:val="auto"/>
                <w:sz w:val="24"/>
                <w:szCs w:val="24"/>
                <w:lang w:val="en-US" w:eastAsia="zh-CN"/>
              </w:rPr>
              <w:t>S1</w:t>
            </w:r>
            <w:r>
              <w:rPr>
                <w:rFonts w:hint="default" w:ascii="Times New Roman" w:hAnsi="Times New Roman" w:cs="Times New Roman"/>
                <w:color w:val="auto"/>
                <w:sz w:val="24"/>
                <w:szCs w:val="24"/>
                <w:lang w:eastAsia="zh-CN"/>
              </w:rPr>
              <w:t>。</w:t>
            </w:r>
          </w:p>
          <w:p w14:paraId="1695602A">
            <w:pPr>
              <w:pStyle w:val="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调质：清理杂质后的大豆通过刮板输送机将其送入调质塔内，</w:t>
            </w:r>
            <w:r>
              <w:rPr>
                <w:rFonts w:hint="default" w:ascii="Times New Roman" w:hAnsi="Times New Roman" w:cs="Times New Roman"/>
                <w:color w:val="auto"/>
                <w:sz w:val="24"/>
                <w:szCs w:val="24"/>
              </w:rPr>
              <w:t>通过蒸汽</w:t>
            </w:r>
            <w:r>
              <w:rPr>
                <w:rFonts w:hint="default" w:ascii="Times New Roman" w:hAnsi="Times New Roman" w:cs="Times New Roman"/>
                <w:color w:val="auto"/>
                <w:sz w:val="24"/>
                <w:szCs w:val="24"/>
                <w:lang w:eastAsia="zh-CN"/>
              </w:rPr>
              <w:t>对</w:t>
            </w:r>
            <w:r>
              <w:rPr>
                <w:rFonts w:hint="default" w:ascii="Times New Roman" w:hAnsi="Times New Roman" w:cs="Times New Roman"/>
                <w:color w:val="auto"/>
                <w:sz w:val="24"/>
                <w:szCs w:val="24"/>
              </w:rPr>
              <w:t>大豆</w:t>
            </w:r>
            <w:r>
              <w:rPr>
                <w:rFonts w:hint="default" w:ascii="Times New Roman" w:hAnsi="Times New Roman" w:cs="Times New Roman"/>
                <w:color w:val="auto"/>
                <w:sz w:val="24"/>
                <w:szCs w:val="24"/>
                <w:lang w:eastAsia="zh-CN"/>
              </w:rPr>
              <w:t>加热</w:t>
            </w:r>
            <w:r>
              <w:rPr>
                <w:rFonts w:hint="default" w:ascii="Times New Roman" w:hAnsi="Times New Roman" w:cs="Times New Roman"/>
                <w:color w:val="auto"/>
                <w:sz w:val="24"/>
                <w:szCs w:val="24"/>
              </w:rPr>
              <w:t>使其软化</w:t>
            </w:r>
            <w:r>
              <w:rPr>
                <w:rFonts w:hint="default" w:ascii="Times New Roman" w:hAnsi="Times New Roman" w:cs="Times New Roman"/>
                <w:color w:val="auto"/>
                <w:sz w:val="24"/>
                <w:szCs w:val="24"/>
                <w:lang w:eastAsia="zh-CN"/>
              </w:rPr>
              <w:t>，蒸汽由园区供汽管网供给，此环节将产生颗粒物</w:t>
            </w:r>
            <w:r>
              <w:rPr>
                <w:rFonts w:hint="default" w:ascii="Times New Roman" w:hAnsi="Times New Roman" w:cs="Times New Roman"/>
                <w:color w:val="auto"/>
                <w:sz w:val="24"/>
                <w:szCs w:val="24"/>
                <w:lang w:val="en-US" w:eastAsia="zh-CN"/>
              </w:rPr>
              <w:t>G3。</w:t>
            </w:r>
          </w:p>
          <w:p w14:paraId="27BA7D52">
            <w:pPr>
              <w:pStyle w:val="8"/>
              <w:keepNext w:val="0"/>
              <w:keepLines w:val="0"/>
              <w:pageBreakBefore w:val="0"/>
              <w:widowControl w:val="0"/>
              <w:kinsoku/>
              <w:wordWrap/>
              <w:overflowPunct/>
              <w:topLinePunct w:val="0"/>
              <w:bidi w:val="0"/>
              <w:adjustRightInd w:val="0"/>
              <w:snapToGrid w:val="0"/>
              <w:spacing w:after="0" w:line="360" w:lineRule="auto"/>
              <w:ind w:firstLine="464" w:firstLineChars="200"/>
              <w:textAlignment w:val="auto"/>
              <w:rPr>
                <w:rFonts w:hint="eastAsia" w:ascii="Times New Roman" w:hAnsi="Times New Roman" w:eastAsia="宋体" w:cs="Times New Roman"/>
                <w:color w:val="auto"/>
                <w:spacing w:val="-4"/>
                <w:sz w:val="24"/>
                <w:szCs w:val="24"/>
                <w:lang w:eastAsia="zh-CN"/>
              </w:rPr>
            </w:pPr>
            <w:r>
              <w:rPr>
                <w:rFonts w:hint="default" w:ascii="Times New Roman" w:hAnsi="Times New Roman" w:cs="Times New Roman"/>
                <w:color w:val="auto"/>
                <w:spacing w:val="-4"/>
                <w:sz w:val="24"/>
                <w:szCs w:val="24"/>
                <w:lang w:eastAsia="zh-CN"/>
              </w:rPr>
              <w:t>脱皮</w:t>
            </w:r>
            <w:r>
              <w:rPr>
                <w:rFonts w:hint="default" w:ascii="Times New Roman" w:hAnsi="Times New Roman" w:cs="Times New Roman"/>
                <w:color w:val="auto"/>
                <w:spacing w:val="-4"/>
                <w:sz w:val="24"/>
                <w:szCs w:val="24"/>
              </w:rPr>
              <w:t>：</w:t>
            </w:r>
            <w:r>
              <w:rPr>
                <w:rFonts w:hint="default" w:ascii="Times New Roman" w:hAnsi="Times New Roman" w:cs="Times New Roman"/>
                <w:color w:val="auto"/>
                <w:spacing w:val="-4"/>
                <w:sz w:val="24"/>
                <w:szCs w:val="24"/>
                <w:lang w:eastAsia="zh-CN"/>
              </w:rPr>
              <w:t>将调质后的大豆通过</w:t>
            </w:r>
            <w:r>
              <w:rPr>
                <w:rFonts w:hint="default" w:ascii="Times New Roman" w:hAnsi="Times New Roman" w:cs="Times New Roman"/>
                <w:color w:val="auto"/>
                <w:sz w:val="24"/>
                <w:szCs w:val="24"/>
                <w:lang w:eastAsia="zh-CN"/>
              </w:rPr>
              <w:t>料斗加入到去皮机脱皮室内，脱皮室</w:t>
            </w:r>
            <w:r>
              <w:rPr>
                <w:rFonts w:hint="default" w:ascii="Times New Roman" w:hAnsi="Times New Roman" w:eastAsia="宋体" w:cs="Times New Roman"/>
                <w:i w:val="0"/>
                <w:iCs w:val="0"/>
                <w:caps w:val="0"/>
                <w:color w:val="auto"/>
                <w:spacing w:val="0"/>
                <w:sz w:val="24"/>
                <w:szCs w:val="24"/>
                <w:shd w:val="clear" w:fill="FFFFFF"/>
                <w:lang w:eastAsia="zh-CN"/>
              </w:rPr>
              <w:t>内</w:t>
            </w:r>
            <w:r>
              <w:rPr>
                <w:rFonts w:hint="default" w:ascii="Times New Roman" w:hAnsi="Times New Roman" w:eastAsia="宋体" w:cs="Times New Roman"/>
                <w:i w:val="0"/>
                <w:iCs w:val="0"/>
                <w:caps w:val="0"/>
                <w:color w:val="auto"/>
                <w:spacing w:val="0"/>
                <w:sz w:val="24"/>
                <w:szCs w:val="24"/>
                <w:shd w:val="clear" w:fill="FFFFFF"/>
              </w:rPr>
              <w:t>两磨盘旋转达到脱皮的目的</w:t>
            </w:r>
            <w:r>
              <w:rPr>
                <w:rFonts w:hint="default" w:ascii="Times New Roman" w:hAnsi="Times New Roman" w:eastAsia="宋体" w:cs="Times New Roman"/>
                <w:i w:val="0"/>
                <w:iCs w:val="0"/>
                <w:caps w:val="0"/>
                <w:color w:val="auto"/>
                <w:spacing w:val="0"/>
                <w:sz w:val="24"/>
                <w:szCs w:val="24"/>
                <w:shd w:val="clear" w:fill="FFFFFF"/>
                <w:lang w:eastAsia="zh-CN"/>
              </w:rPr>
              <w:t>，此环节将产生颗粒物</w:t>
            </w:r>
            <w:r>
              <w:rPr>
                <w:rFonts w:hint="default" w:ascii="Times New Roman" w:hAnsi="Times New Roman" w:cs="Times New Roman"/>
                <w:i w:val="0"/>
                <w:iCs w:val="0"/>
                <w:caps w:val="0"/>
                <w:color w:val="auto"/>
                <w:spacing w:val="0"/>
                <w:sz w:val="24"/>
                <w:szCs w:val="24"/>
                <w:shd w:val="clear" w:fill="FFFFFF"/>
                <w:lang w:val="en-US" w:eastAsia="zh-CN"/>
              </w:rPr>
              <w:t>G4</w:t>
            </w:r>
            <w:r>
              <w:rPr>
                <w:rFonts w:hint="default" w:ascii="Times New Roman" w:hAnsi="Times New Roman" w:eastAsia="宋体" w:cs="Times New Roman"/>
                <w:i w:val="0"/>
                <w:iCs w:val="0"/>
                <w:caps w:val="0"/>
                <w:color w:val="auto"/>
                <w:spacing w:val="0"/>
                <w:sz w:val="24"/>
                <w:szCs w:val="24"/>
                <w:shd w:val="clear" w:fill="FFFFFF"/>
              </w:rPr>
              <w:t>。</w:t>
            </w:r>
          </w:p>
          <w:p w14:paraId="0041311A">
            <w:pPr>
              <w:pStyle w:val="8"/>
              <w:keepNext w:val="0"/>
              <w:keepLines w:val="0"/>
              <w:pageBreakBefore w:val="0"/>
              <w:widowControl w:val="0"/>
              <w:kinsoku/>
              <w:wordWrap/>
              <w:overflowPunct/>
              <w:topLinePunct w:val="0"/>
              <w:bidi w:val="0"/>
              <w:adjustRightInd w:val="0"/>
              <w:snapToGrid w:val="0"/>
              <w:spacing w:after="0" w:line="360" w:lineRule="auto"/>
              <w:ind w:firstLine="488" w:firstLineChars="200"/>
              <w:textAlignment w:val="auto"/>
              <w:rPr>
                <w:rFonts w:hint="default" w:ascii="Times New Roman" w:hAnsi="Times New Roman" w:eastAsia="宋体" w:cs="Times New Roman"/>
                <w:color w:val="auto"/>
                <w:spacing w:val="-4"/>
                <w:sz w:val="24"/>
                <w:szCs w:val="24"/>
                <w:lang w:val="en-US" w:eastAsia="zh-CN"/>
              </w:rPr>
            </w:pPr>
            <w:r>
              <w:rPr>
                <w:rFonts w:hint="eastAsia" w:cs="Times New Roman"/>
                <w:color w:val="auto"/>
                <w:spacing w:val="2"/>
                <w:sz w:val="24"/>
                <w:szCs w:val="24"/>
                <w:lang w:eastAsia="zh-CN"/>
              </w:rPr>
              <w:t>豆仁</w:t>
            </w:r>
            <w:r>
              <w:rPr>
                <w:rFonts w:hint="default" w:ascii="Times New Roman" w:hAnsi="Times New Roman" w:cs="Times New Roman"/>
                <w:color w:val="auto"/>
                <w:spacing w:val="2"/>
                <w:sz w:val="24"/>
                <w:szCs w:val="24"/>
              </w:rPr>
              <w:t>破碎：</w:t>
            </w:r>
            <w:r>
              <w:rPr>
                <w:rFonts w:hint="eastAsia" w:cs="Times New Roman"/>
                <w:color w:val="auto"/>
                <w:spacing w:val="2"/>
                <w:sz w:val="24"/>
                <w:szCs w:val="24"/>
                <w:lang w:eastAsia="zh-CN"/>
              </w:rPr>
              <w:t>大豆经脱皮后将豆皮、豆仁的混合物通过料斗加入到破碎机内，</w:t>
            </w:r>
            <w:r>
              <w:rPr>
                <w:color w:val="auto"/>
                <w:sz w:val="24"/>
                <w:szCs w:val="24"/>
              </w:rPr>
              <w:t>破碎机中的刀具</w:t>
            </w:r>
            <w:r>
              <w:rPr>
                <w:rFonts w:hint="eastAsia"/>
                <w:color w:val="auto"/>
                <w:sz w:val="24"/>
                <w:szCs w:val="24"/>
                <w:lang w:eastAsia="zh-CN"/>
              </w:rPr>
              <w:t>将豆仁切破成</w:t>
            </w:r>
            <w:r>
              <w:rPr>
                <w:rFonts w:hint="default" w:ascii="Times New Roman" w:hAnsi="Times New Roman" w:cs="Times New Roman"/>
                <w:color w:val="auto"/>
                <w:sz w:val="24"/>
                <w:szCs w:val="24"/>
              </w:rPr>
              <w:t>4~6瓣</w:t>
            </w:r>
            <w:r>
              <w:rPr>
                <w:rFonts w:hint="eastAsia" w:cs="Times New Roman"/>
                <w:color w:val="auto"/>
                <w:sz w:val="24"/>
                <w:szCs w:val="24"/>
                <w:lang w:eastAsia="zh-CN"/>
              </w:rPr>
              <w:t>，反复进行</w:t>
            </w:r>
            <w:r>
              <w:rPr>
                <w:rFonts w:hint="eastAsia" w:cs="Times New Roman"/>
                <w:color w:val="auto"/>
                <w:sz w:val="24"/>
                <w:szCs w:val="24"/>
                <w:lang w:val="en-US" w:eastAsia="zh-CN"/>
              </w:rPr>
              <w:t>2次破碎，此环节将产生颗粒物G5</w:t>
            </w:r>
            <w:r>
              <w:rPr>
                <w:rFonts w:hint="default" w:ascii="Times New Roman" w:hAnsi="Times New Roman" w:cs="Times New Roman"/>
                <w:color w:val="auto"/>
                <w:spacing w:val="-4"/>
                <w:sz w:val="24"/>
                <w:szCs w:val="24"/>
              </w:rPr>
              <w:t>。</w:t>
            </w:r>
          </w:p>
          <w:p w14:paraId="45B80265">
            <w:pPr>
              <w:pStyle w:val="8"/>
              <w:keepNext w:val="0"/>
              <w:keepLines w:val="0"/>
              <w:pageBreakBefore w:val="0"/>
              <w:widowControl w:val="0"/>
              <w:kinsoku/>
              <w:wordWrap/>
              <w:overflowPunct/>
              <w:topLinePunct w:val="0"/>
              <w:bidi w:val="0"/>
              <w:adjustRightInd w:val="0"/>
              <w:snapToGrid w:val="0"/>
              <w:spacing w:after="0" w:line="360" w:lineRule="auto"/>
              <w:ind w:firstLine="464" w:firstLineChars="200"/>
              <w:textAlignment w:val="auto"/>
              <w:rPr>
                <w:rFonts w:hint="eastAsia" w:cs="Times New Roman"/>
                <w:color w:val="auto"/>
                <w:spacing w:val="-4"/>
                <w:sz w:val="24"/>
                <w:szCs w:val="24"/>
                <w:lang w:eastAsia="zh-CN"/>
              </w:rPr>
            </w:pPr>
            <w:r>
              <w:rPr>
                <w:rFonts w:hint="eastAsia" w:cs="Times New Roman"/>
                <w:color w:val="auto"/>
                <w:spacing w:val="-4"/>
                <w:sz w:val="24"/>
                <w:szCs w:val="24"/>
                <w:lang w:eastAsia="zh-CN"/>
              </w:rPr>
              <w:t>筛分：豆仁破碎完成后将豆皮与细料的混合物加入到分级筛中，分级筛振动将细料与豆皮进行分离，此环节将产生颗粒物</w:t>
            </w:r>
            <w:r>
              <w:rPr>
                <w:rFonts w:hint="eastAsia" w:cs="Times New Roman"/>
                <w:color w:val="auto"/>
                <w:spacing w:val="-4"/>
                <w:sz w:val="24"/>
                <w:szCs w:val="24"/>
                <w:lang w:val="en-US" w:eastAsia="zh-CN"/>
              </w:rPr>
              <w:t>G9</w:t>
            </w:r>
            <w:r>
              <w:rPr>
                <w:rFonts w:hint="eastAsia" w:cs="Times New Roman"/>
                <w:color w:val="auto"/>
                <w:spacing w:val="-4"/>
                <w:sz w:val="24"/>
                <w:szCs w:val="24"/>
                <w:lang w:eastAsia="zh-CN"/>
              </w:rPr>
              <w:t>。</w:t>
            </w:r>
          </w:p>
          <w:p w14:paraId="71544097">
            <w:pPr>
              <w:pStyle w:val="8"/>
              <w:keepNext w:val="0"/>
              <w:keepLines w:val="0"/>
              <w:pageBreakBefore w:val="0"/>
              <w:widowControl w:val="0"/>
              <w:kinsoku/>
              <w:wordWrap/>
              <w:overflowPunct/>
              <w:topLinePunct w:val="0"/>
              <w:bidi w:val="0"/>
              <w:adjustRightInd w:val="0"/>
              <w:snapToGrid w:val="0"/>
              <w:spacing w:after="0" w:line="360" w:lineRule="auto"/>
              <w:ind w:firstLine="464" w:firstLineChars="200"/>
              <w:textAlignment w:val="auto"/>
              <w:rPr>
                <w:rFonts w:hint="eastAsia" w:eastAsia="宋体" w:cs="Times New Roman"/>
                <w:color w:val="auto"/>
                <w:spacing w:val="-4"/>
                <w:sz w:val="24"/>
                <w:szCs w:val="24"/>
                <w:lang w:eastAsia="zh-CN"/>
              </w:rPr>
            </w:pPr>
            <w:r>
              <w:rPr>
                <w:rFonts w:hint="eastAsia" w:cs="Times New Roman"/>
                <w:color w:val="auto"/>
                <w:spacing w:val="-4"/>
                <w:sz w:val="24"/>
                <w:szCs w:val="24"/>
                <w:lang w:eastAsia="zh-CN"/>
              </w:rPr>
              <w:t>轧胚：将筛分出来的细料通过</w:t>
            </w:r>
            <w:r>
              <w:rPr>
                <w:rFonts w:hint="default" w:ascii="Times New Roman" w:hAnsi="Times New Roman" w:cs="Times New Roman"/>
                <w:color w:val="auto"/>
                <w:spacing w:val="-7"/>
                <w:sz w:val="24"/>
                <w:szCs w:val="24"/>
              </w:rPr>
              <w:t>刮板运输机</w:t>
            </w:r>
            <w:r>
              <w:rPr>
                <w:rFonts w:hint="eastAsia" w:cs="Times New Roman"/>
                <w:color w:val="auto"/>
                <w:spacing w:val="-7"/>
                <w:sz w:val="24"/>
                <w:szCs w:val="24"/>
                <w:lang w:eastAsia="zh-CN"/>
              </w:rPr>
              <w:t>送入轧胚机中，轧胚机中的</w:t>
            </w:r>
            <w:r>
              <w:rPr>
                <w:rFonts w:hint="default" w:ascii="Times New Roman" w:hAnsi="Times New Roman" w:cs="Times New Roman"/>
                <w:color w:val="auto"/>
                <w:sz w:val="24"/>
                <w:szCs w:val="24"/>
              </w:rPr>
              <w:t>辊</w:t>
            </w:r>
            <w:r>
              <w:rPr>
                <w:rFonts w:hint="eastAsia" w:cs="Times New Roman"/>
                <w:color w:val="auto"/>
                <w:sz w:val="24"/>
                <w:szCs w:val="24"/>
                <w:lang w:eastAsia="zh-CN"/>
              </w:rPr>
              <w:t>将细料挤压成约</w:t>
            </w:r>
            <w:r>
              <w:rPr>
                <w:rFonts w:hint="default" w:ascii="Times New Roman" w:hAnsi="Times New Roman" w:eastAsia="Times New Roman" w:cs="Times New Roman"/>
                <w:color w:val="auto"/>
                <w:sz w:val="24"/>
                <w:szCs w:val="24"/>
              </w:rPr>
              <w:t>0.35mm</w:t>
            </w:r>
            <w:r>
              <w:rPr>
                <w:rFonts w:hint="default" w:ascii="Times New Roman" w:hAnsi="Times New Roman" w:cs="Times New Roman"/>
                <w:color w:val="auto"/>
                <w:sz w:val="24"/>
                <w:szCs w:val="24"/>
              </w:rPr>
              <w:t>的胚片，</w:t>
            </w:r>
            <w:r>
              <w:rPr>
                <w:rFonts w:hint="eastAsia" w:cs="Times New Roman"/>
                <w:color w:val="auto"/>
                <w:sz w:val="24"/>
                <w:szCs w:val="24"/>
                <w:lang w:eastAsia="zh-CN"/>
              </w:rPr>
              <w:t>从而</w:t>
            </w:r>
            <w:r>
              <w:rPr>
                <w:rFonts w:hint="default" w:ascii="Times New Roman" w:hAnsi="Times New Roman" w:cs="Times New Roman"/>
                <w:color w:val="auto"/>
                <w:sz w:val="24"/>
                <w:szCs w:val="24"/>
              </w:rPr>
              <w:t>破坏大豆的组织结构，增大接触面积，提高出油率</w:t>
            </w:r>
            <w:r>
              <w:rPr>
                <w:rFonts w:hint="eastAsia" w:cs="Times New Roman"/>
                <w:color w:val="auto"/>
                <w:sz w:val="24"/>
                <w:szCs w:val="24"/>
                <w:lang w:eastAsia="zh-CN"/>
              </w:rPr>
              <w:t>，此环节将产生颗粒物</w:t>
            </w:r>
            <w:r>
              <w:rPr>
                <w:rFonts w:hint="eastAsia" w:cs="Times New Roman"/>
                <w:color w:val="auto"/>
                <w:sz w:val="24"/>
                <w:szCs w:val="24"/>
                <w:lang w:val="en-US" w:eastAsia="zh-CN"/>
              </w:rPr>
              <w:t>G7</w:t>
            </w:r>
            <w:r>
              <w:rPr>
                <w:rFonts w:hint="default" w:ascii="Times New Roman" w:hAnsi="Times New Roman" w:cs="Times New Roman"/>
                <w:color w:val="auto"/>
                <w:spacing w:val="-4"/>
                <w:sz w:val="24"/>
                <w:szCs w:val="24"/>
              </w:rPr>
              <w:t>。</w:t>
            </w:r>
          </w:p>
          <w:p w14:paraId="4B18AA16">
            <w:pPr>
              <w:pStyle w:val="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eastAsia" w:ascii="Times New Roman" w:hAnsi="Times New Roman" w:eastAsia="宋体" w:cs="Times New Roman"/>
                <w:color w:val="auto"/>
                <w:spacing w:val="-4"/>
                <w:sz w:val="24"/>
                <w:szCs w:val="24"/>
                <w:lang w:eastAsia="zh-CN"/>
              </w:rPr>
            </w:pPr>
            <w:r>
              <w:rPr>
                <w:rFonts w:hint="default" w:ascii="Times New Roman" w:hAnsi="Times New Roman" w:cs="Times New Roman"/>
                <w:color w:val="auto"/>
                <w:sz w:val="24"/>
                <w:szCs w:val="24"/>
              </w:rPr>
              <w:t>膨化冷却：将胚片</w:t>
            </w:r>
            <w:r>
              <w:rPr>
                <w:rFonts w:hint="eastAsia" w:cs="Times New Roman"/>
                <w:color w:val="auto"/>
                <w:sz w:val="24"/>
                <w:szCs w:val="24"/>
                <w:lang w:eastAsia="zh-CN"/>
              </w:rPr>
              <w:t>输送至</w:t>
            </w:r>
            <w:r>
              <w:rPr>
                <w:rFonts w:hint="default" w:ascii="Times New Roman" w:hAnsi="Times New Roman" w:cs="Times New Roman"/>
                <w:color w:val="auto"/>
                <w:sz w:val="24"/>
                <w:szCs w:val="24"/>
              </w:rPr>
              <w:t>膨化机内进行高温高压处理，</w:t>
            </w:r>
            <w:r>
              <w:rPr>
                <w:rFonts w:hint="eastAsia" w:eastAsia="宋体" w:cs="Times New Roman"/>
                <w:color w:val="auto"/>
                <w:sz w:val="24"/>
                <w:szCs w:val="24"/>
                <w:lang w:eastAsia="zh-CN"/>
              </w:rPr>
              <w:t>使</w:t>
            </w:r>
            <w:r>
              <w:rPr>
                <w:rFonts w:hint="eastAsia" w:cs="Times New Roman"/>
                <w:color w:val="auto"/>
                <w:sz w:val="24"/>
                <w:szCs w:val="24"/>
                <w:lang w:eastAsia="zh-CN"/>
              </w:rPr>
              <w:t>豆胚体</w:t>
            </w:r>
            <w:r>
              <w:rPr>
                <w:rFonts w:hint="default" w:ascii="Times New Roman" w:hAnsi="Times New Roman" w:cs="Times New Roman"/>
                <w:color w:val="auto"/>
                <w:sz w:val="24"/>
                <w:szCs w:val="24"/>
              </w:rPr>
              <w:t>积</w:t>
            </w:r>
            <w:r>
              <w:rPr>
                <w:rFonts w:hint="eastAsia" w:cs="Times New Roman"/>
                <w:color w:val="auto"/>
                <w:sz w:val="24"/>
                <w:szCs w:val="24"/>
                <w:lang w:eastAsia="zh-CN"/>
              </w:rPr>
              <w:t>增</w:t>
            </w:r>
            <w:r>
              <w:rPr>
                <w:rFonts w:hint="default" w:ascii="Times New Roman" w:hAnsi="Times New Roman" w:cs="Times New Roman"/>
                <w:color w:val="auto"/>
                <w:sz w:val="24"/>
                <w:szCs w:val="24"/>
              </w:rPr>
              <w:t>大、质地疏松，利于油脂浸出。</w:t>
            </w:r>
            <w:r>
              <w:rPr>
                <w:rFonts w:hint="eastAsia" w:cs="Times New Roman"/>
                <w:color w:val="auto"/>
                <w:sz w:val="24"/>
                <w:szCs w:val="24"/>
                <w:lang w:eastAsia="zh-CN"/>
              </w:rPr>
              <w:t>豆胚膨化完成后</w:t>
            </w:r>
            <w:r>
              <w:rPr>
                <w:rFonts w:hint="default" w:ascii="Times New Roman" w:hAnsi="Times New Roman" w:cs="Times New Roman"/>
                <w:color w:val="auto"/>
                <w:sz w:val="24"/>
                <w:szCs w:val="24"/>
              </w:rPr>
              <w:t>通过逆流冷干机，</w:t>
            </w:r>
            <w:r>
              <w:rPr>
                <w:rFonts w:hint="eastAsia" w:cs="Times New Roman"/>
                <w:color w:val="auto"/>
                <w:sz w:val="24"/>
                <w:szCs w:val="24"/>
                <w:lang w:eastAsia="zh-CN"/>
              </w:rPr>
              <w:t>利用热风将豆胚烘干、冷风将豆胚冷却，从而降低豆胚中的水分，使用的能源为电能，此环节将产生颗粒物</w:t>
            </w:r>
            <w:r>
              <w:rPr>
                <w:rFonts w:hint="eastAsia" w:cs="Times New Roman"/>
                <w:color w:val="auto"/>
                <w:sz w:val="24"/>
                <w:szCs w:val="24"/>
                <w:lang w:val="en-US" w:eastAsia="zh-CN"/>
              </w:rPr>
              <w:t>G8</w:t>
            </w:r>
            <w:r>
              <w:rPr>
                <w:rFonts w:hint="default" w:ascii="Times New Roman" w:hAnsi="Times New Roman" w:cs="Times New Roman"/>
                <w:color w:val="auto"/>
                <w:spacing w:val="-4"/>
                <w:sz w:val="24"/>
                <w:szCs w:val="24"/>
              </w:rPr>
              <w:t>。</w:t>
            </w:r>
          </w:p>
          <w:p w14:paraId="4234AC94">
            <w:pPr>
              <w:pStyle w:val="8"/>
              <w:keepNext w:val="0"/>
              <w:keepLines w:val="0"/>
              <w:pageBreakBefore w:val="0"/>
              <w:widowControl w:val="0"/>
              <w:kinsoku/>
              <w:wordWrap/>
              <w:overflowPunct/>
              <w:topLinePunct w:val="0"/>
              <w:bidi w:val="0"/>
              <w:adjustRightInd w:val="0"/>
              <w:snapToGrid w:val="0"/>
              <w:spacing w:after="0" w:line="360" w:lineRule="auto"/>
              <w:ind w:firstLine="464" w:firstLineChars="200"/>
              <w:textAlignment w:val="auto"/>
              <w:rPr>
                <w:rFonts w:hint="eastAsia" w:cs="Times New Roman"/>
                <w:color w:val="auto"/>
                <w:sz w:val="24"/>
                <w:szCs w:val="24"/>
                <w:lang w:eastAsia="zh-CN"/>
              </w:rPr>
            </w:pPr>
            <w:r>
              <w:rPr>
                <w:rFonts w:hint="eastAsia" w:cs="Times New Roman"/>
                <w:color w:val="auto"/>
                <w:spacing w:val="-4"/>
                <w:sz w:val="24"/>
                <w:szCs w:val="24"/>
                <w:lang w:eastAsia="zh-CN"/>
              </w:rPr>
              <w:t>豆皮破碎：将筛分出来的豆皮通过</w:t>
            </w:r>
            <w:r>
              <w:rPr>
                <w:rFonts w:hint="default" w:ascii="Times New Roman" w:hAnsi="Times New Roman" w:cs="Times New Roman"/>
                <w:color w:val="auto"/>
                <w:spacing w:val="-7"/>
                <w:sz w:val="24"/>
                <w:szCs w:val="24"/>
              </w:rPr>
              <w:t>刮板运输机</w:t>
            </w:r>
            <w:r>
              <w:rPr>
                <w:rFonts w:hint="eastAsia" w:cs="Times New Roman"/>
                <w:color w:val="auto"/>
                <w:spacing w:val="-7"/>
                <w:sz w:val="24"/>
                <w:szCs w:val="24"/>
                <w:lang w:eastAsia="zh-CN"/>
              </w:rPr>
              <w:t>送入破碎机中，</w:t>
            </w:r>
            <w:r>
              <w:rPr>
                <w:color w:val="auto"/>
                <w:sz w:val="24"/>
                <w:szCs w:val="24"/>
              </w:rPr>
              <w:t>破碎机中的刀具</w:t>
            </w:r>
            <w:r>
              <w:rPr>
                <w:rFonts w:hint="eastAsia"/>
                <w:color w:val="auto"/>
                <w:sz w:val="24"/>
                <w:szCs w:val="24"/>
                <w:lang w:eastAsia="zh-CN"/>
              </w:rPr>
              <w:t>将豆皮</w:t>
            </w:r>
            <w:r>
              <w:rPr>
                <w:color w:val="auto"/>
                <w:sz w:val="24"/>
                <w:szCs w:val="24"/>
              </w:rPr>
              <w:t>碎成颗粒状</w:t>
            </w:r>
            <w:r>
              <w:rPr>
                <w:rFonts w:hint="eastAsia" w:cs="Times New Roman"/>
                <w:color w:val="auto"/>
                <w:sz w:val="24"/>
                <w:szCs w:val="24"/>
                <w:lang w:eastAsia="zh-CN"/>
              </w:rPr>
              <w:t>，此环节将产生颗粒物</w:t>
            </w:r>
            <w:r>
              <w:rPr>
                <w:rFonts w:hint="eastAsia" w:cs="Times New Roman"/>
                <w:color w:val="auto"/>
                <w:sz w:val="24"/>
                <w:szCs w:val="24"/>
                <w:lang w:val="en-US" w:eastAsia="zh-CN"/>
              </w:rPr>
              <w:t>G10</w:t>
            </w:r>
            <w:r>
              <w:rPr>
                <w:rFonts w:hint="eastAsia" w:cs="Times New Roman"/>
                <w:color w:val="auto"/>
                <w:sz w:val="24"/>
                <w:szCs w:val="24"/>
                <w:lang w:eastAsia="zh-CN"/>
              </w:rPr>
              <w:t>。</w:t>
            </w:r>
          </w:p>
          <w:p w14:paraId="02105FD2">
            <w:pPr>
              <w:pStyle w:val="8"/>
              <w:keepNext w:val="0"/>
              <w:keepLines w:val="0"/>
              <w:pageBreakBefore w:val="0"/>
              <w:widowControl w:val="0"/>
              <w:kinsoku/>
              <w:wordWrap/>
              <w:overflowPunct/>
              <w:topLinePunct w:val="0"/>
              <w:bidi w:val="0"/>
              <w:adjustRightInd w:val="0"/>
              <w:snapToGrid w:val="0"/>
              <w:spacing w:after="0" w:line="360" w:lineRule="auto"/>
              <w:ind w:firstLine="480" w:firstLineChars="200"/>
              <w:textAlignment w:val="auto"/>
              <w:rPr>
                <w:rFonts w:hint="eastAsia" w:cs="Times New Roman"/>
                <w:color w:val="auto"/>
                <w:sz w:val="24"/>
                <w:szCs w:val="24"/>
                <w:lang w:eastAsia="zh-CN"/>
              </w:rPr>
            </w:pPr>
            <w:r>
              <w:rPr>
                <w:rFonts w:hint="eastAsia" w:cs="Times New Roman"/>
                <w:color w:val="auto"/>
                <w:sz w:val="24"/>
                <w:szCs w:val="24"/>
                <w:lang w:eastAsia="zh-CN"/>
              </w:rPr>
              <w:t>豆粕破碎：将浸出生产线产生的豆粕</w:t>
            </w:r>
            <w:r>
              <w:rPr>
                <w:rFonts w:hint="eastAsia" w:cs="Times New Roman"/>
                <w:color w:val="auto"/>
                <w:spacing w:val="-4"/>
                <w:sz w:val="24"/>
                <w:szCs w:val="24"/>
                <w:lang w:eastAsia="zh-CN"/>
              </w:rPr>
              <w:t>通过</w:t>
            </w:r>
            <w:r>
              <w:rPr>
                <w:rFonts w:hint="default" w:ascii="Times New Roman" w:hAnsi="Times New Roman" w:cs="Times New Roman"/>
                <w:color w:val="auto"/>
                <w:spacing w:val="-7"/>
                <w:sz w:val="24"/>
                <w:szCs w:val="24"/>
              </w:rPr>
              <w:t>刮板运输机</w:t>
            </w:r>
            <w:r>
              <w:rPr>
                <w:rFonts w:hint="eastAsia" w:cs="Times New Roman"/>
                <w:color w:val="auto"/>
                <w:spacing w:val="-7"/>
                <w:sz w:val="24"/>
                <w:szCs w:val="24"/>
                <w:lang w:eastAsia="zh-CN"/>
              </w:rPr>
              <w:t>送入破碎机中破碎，此工序与豆仁、豆皮破碎相同，豆皮将进行两级破碎，中间将通过分级筛进行筛分，筛分出的大粒径的豆粕将返回第一级破碎工序重新破碎，最后将破碎后的豆粕和豆皮混合在一起，此环境将产生颗粒物</w:t>
            </w:r>
            <w:r>
              <w:rPr>
                <w:rFonts w:hint="eastAsia" w:cs="Times New Roman"/>
                <w:color w:val="auto"/>
                <w:spacing w:val="-7"/>
                <w:sz w:val="24"/>
                <w:szCs w:val="24"/>
                <w:lang w:val="en-US" w:eastAsia="zh-CN"/>
              </w:rPr>
              <w:t>G12、G13</w:t>
            </w:r>
            <w:r>
              <w:rPr>
                <w:rFonts w:hint="eastAsia" w:cs="Times New Roman"/>
                <w:color w:val="auto"/>
                <w:spacing w:val="-7"/>
                <w:sz w:val="24"/>
                <w:szCs w:val="24"/>
                <w:lang w:eastAsia="zh-CN"/>
              </w:rPr>
              <w:t>。</w:t>
            </w:r>
          </w:p>
          <w:p w14:paraId="33E644BA">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color w:val="auto"/>
                <w:kern w:val="0"/>
                <w:sz w:val="24"/>
                <w:szCs w:val="24"/>
                <w:lang w:eastAsia="zh-CN" w:bidi="ar"/>
              </w:rPr>
            </w:pPr>
            <w:r>
              <w:rPr>
                <w:rFonts w:hint="eastAsia"/>
                <w:color w:val="auto"/>
                <w:kern w:val="0"/>
                <w:sz w:val="24"/>
                <w:szCs w:val="24"/>
                <w:lang w:eastAsia="zh-CN" w:bidi="ar"/>
              </w:rPr>
              <w:t>打包装车：豆粕、豆皮掺合在一起后，通过</w:t>
            </w:r>
            <w:r>
              <w:rPr>
                <w:rFonts w:hint="default" w:ascii="Times New Roman" w:hAnsi="Times New Roman" w:cs="Times New Roman"/>
                <w:color w:val="auto"/>
                <w:spacing w:val="-7"/>
                <w:sz w:val="24"/>
                <w:szCs w:val="24"/>
              </w:rPr>
              <w:t>刮板运输机</w:t>
            </w:r>
            <w:r>
              <w:rPr>
                <w:rFonts w:hint="eastAsia" w:ascii="Times New Roman" w:cs="Times New Roman"/>
                <w:color w:val="auto"/>
                <w:spacing w:val="-7"/>
                <w:sz w:val="24"/>
                <w:szCs w:val="24"/>
                <w:lang w:eastAsia="zh-CN"/>
              </w:rPr>
              <w:t>、提升机输送至散粕筒仓内暂存，豆粕出仓时</w:t>
            </w:r>
            <w:r>
              <w:rPr>
                <w:rFonts w:hint="eastAsia"/>
                <w:color w:val="auto"/>
                <w:kern w:val="0"/>
                <w:sz w:val="24"/>
                <w:szCs w:val="24"/>
                <w:lang w:eastAsia="zh-CN" w:bidi="ar"/>
              </w:rPr>
              <w:t>通过</w:t>
            </w:r>
            <w:r>
              <w:rPr>
                <w:rFonts w:hint="default" w:ascii="Times New Roman" w:hAnsi="Times New Roman" w:cs="Times New Roman"/>
                <w:color w:val="auto"/>
                <w:spacing w:val="-7"/>
                <w:sz w:val="24"/>
                <w:szCs w:val="24"/>
              </w:rPr>
              <w:t>刮板运输机</w:t>
            </w:r>
            <w:r>
              <w:rPr>
                <w:rFonts w:hint="eastAsia" w:ascii="Times New Roman" w:cs="Times New Roman"/>
                <w:color w:val="auto"/>
                <w:spacing w:val="-7"/>
                <w:sz w:val="24"/>
                <w:szCs w:val="24"/>
                <w:lang w:eastAsia="zh-CN"/>
              </w:rPr>
              <w:t>运至打包线，</w:t>
            </w:r>
            <w:r>
              <w:rPr>
                <w:rFonts w:hint="eastAsia" w:ascii="Times New Roman" w:cs="Times New Roman"/>
                <w:color w:val="auto"/>
                <w:spacing w:val="-7"/>
                <w:sz w:val="24"/>
                <w:szCs w:val="24"/>
                <w:lang w:val="en-US" w:eastAsia="zh-CN"/>
              </w:rPr>
              <w:t>自动包装线吸料口将豆粕吸入到打包机内，打包机内的豆粕达到一定重量后其出料口会自动打开，豆粕通过出料口进入下方的包装袋中，然后封口、贴片从而完成打包，然后装车运走，此环节将产生颗粒物G14。</w:t>
            </w:r>
          </w:p>
          <w:p w14:paraId="6D490BA5">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color w:val="auto"/>
                <w:kern w:val="0"/>
                <w:sz w:val="24"/>
                <w:szCs w:val="24"/>
                <w:lang w:bidi="ar"/>
              </w:rPr>
            </w:pPr>
            <w:r>
              <w:rPr>
                <w:color w:val="auto"/>
                <w:kern w:val="0"/>
                <w:sz w:val="24"/>
                <w:szCs w:val="24"/>
                <w:lang w:bidi="ar"/>
              </w:rPr>
              <w:object>
                <v:shape id="_x0000_i1029" o:spt="75" type="#_x0000_t75" style="height:206pt;width:358pt;" o:ole="t" filled="f" o:preferrelative="t" stroked="f" coordsize="21600,21600">
                  <v:path/>
                  <v:fill on="f" focussize="0,0"/>
                  <v:stroke on="f"/>
                  <v:imagedata r:id="rId19" o:title=""/>
                  <o:lock v:ext="edit" aspectratio="f"/>
                  <w10:wrap type="none"/>
                  <w10:anchorlock/>
                </v:shape>
                <o:OLEObject Type="Embed" ProgID="Visio.Drawing.11" ShapeID="_x0000_i1029" DrawAspect="Content" ObjectID="_1468075729" r:id="rId18">
                  <o:LockedField>false</o:LockedField>
                </o:OLEObject>
              </w:object>
            </w:r>
          </w:p>
          <w:p w14:paraId="2A29F858">
            <w:pPr>
              <w:pStyle w:val="23"/>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color w:val="auto"/>
                <w:kern w:val="0"/>
                <w:sz w:val="24"/>
                <w:szCs w:val="24"/>
                <w:lang w:eastAsia="zh-CN" w:bidi="ar"/>
              </w:rPr>
            </w:pPr>
            <w:r>
              <w:rPr>
                <w:rFonts w:hint="default" w:ascii="Times New Roman" w:hAnsi="Times New Roman" w:cs="Times New Roman"/>
                <w:color w:val="auto"/>
                <w:kern w:val="0"/>
                <w:sz w:val="24"/>
                <w:szCs w:val="24"/>
                <w:lang w:eastAsia="zh-CN" w:bidi="ar"/>
              </w:rPr>
              <w:t>图</w:t>
            </w:r>
            <w:r>
              <w:rPr>
                <w:rFonts w:hint="default" w:ascii="Times New Roman" w:hAnsi="Times New Roman" w:cs="Times New Roman"/>
                <w:color w:val="auto"/>
                <w:kern w:val="0"/>
                <w:sz w:val="24"/>
                <w:szCs w:val="24"/>
                <w:lang w:val="en-US" w:eastAsia="zh-CN" w:bidi="ar"/>
              </w:rPr>
              <w:t>2.</w:t>
            </w:r>
            <w:r>
              <w:rPr>
                <w:rFonts w:hint="eastAsia" w:ascii="Times New Roman" w:cs="Times New Roman"/>
                <w:color w:val="auto"/>
                <w:kern w:val="0"/>
                <w:sz w:val="24"/>
                <w:szCs w:val="24"/>
                <w:lang w:val="en-US" w:eastAsia="zh-CN" w:bidi="ar"/>
              </w:rPr>
              <w:t>5</w:t>
            </w:r>
            <w:r>
              <w:rPr>
                <w:rFonts w:hint="default" w:ascii="Times New Roman" w:hAnsi="Times New Roman" w:cs="Times New Roman"/>
                <w:color w:val="auto"/>
                <w:kern w:val="0"/>
                <w:sz w:val="24"/>
                <w:szCs w:val="24"/>
                <w:lang w:val="en-US" w:eastAsia="zh-CN" w:bidi="ar"/>
              </w:rPr>
              <w:t xml:space="preserve"> 浸出生产线工艺流程图</w:t>
            </w:r>
          </w:p>
          <w:p w14:paraId="0D09EDCD">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color w:val="auto"/>
                <w:kern w:val="0"/>
                <w:sz w:val="24"/>
                <w:szCs w:val="24"/>
                <w:lang w:eastAsia="zh-CN" w:bidi="ar"/>
              </w:rPr>
            </w:pPr>
            <w:r>
              <w:rPr>
                <w:rFonts w:hint="eastAsia"/>
                <w:color w:val="auto"/>
                <w:kern w:val="0"/>
                <w:sz w:val="24"/>
                <w:szCs w:val="24"/>
                <w:lang w:eastAsia="zh-CN" w:bidi="ar"/>
              </w:rPr>
              <w:t>工艺流程简介：</w:t>
            </w:r>
          </w:p>
          <w:p w14:paraId="6CD174AD">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color w:val="auto"/>
                <w:kern w:val="0"/>
                <w:sz w:val="24"/>
                <w:szCs w:val="24"/>
                <w:lang w:val="en-US" w:eastAsia="zh-CN" w:bidi="ar"/>
              </w:rPr>
            </w:pPr>
            <w:r>
              <w:rPr>
                <w:rFonts w:hint="eastAsia"/>
                <w:color w:val="auto"/>
                <w:kern w:val="0"/>
                <w:sz w:val="24"/>
                <w:szCs w:val="24"/>
                <w:lang w:eastAsia="zh-CN" w:bidi="ar"/>
              </w:rPr>
              <w:t>预处理生产线将大豆加工成胚片后进入浸出生产线，</w:t>
            </w:r>
            <w:r>
              <w:rPr>
                <w:rFonts w:hint="eastAsia" w:ascii="Times New Roman" w:cs="Times New Roman"/>
                <w:color w:val="auto"/>
                <w:kern w:val="0"/>
                <w:sz w:val="24"/>
                <w:szCs w:val="24"/>
                <w:lang w:val="en-US" w:eastAsia="zh-CN" w:bidi="ar"/>
              </w:rPr>
              <w:t>胚片再被浸出生产线加工成大豆</w:t>
            </w:r>
            <w:r>
              <w:rPr>
                <w:rFonts w:hint="default" w:ascii="Times New Roman" w:hAnsi="Times New Roman" w:cs="Times New Roman"/>
                <w:color w:val="auto"/>
                <w:kern w:val="0"/>
                <w:sz w:val="24"/>
                <w:szCs w:val="24"/>
                <w:lang w:val="en-US" w:eastAsia="zh-CN" w:bidi="ar"/>
              </w:rPr>
              <w:t>毛油、豆粕。</w:t>
            </w:r>
            <w:r>
              <w:rPr>
                <w:rFonts w:hint="eastAsia" w:ascii="Times New Roman" w:cs="Times New Roman"/>
                <w:color w:val="auto"/>
                <w:kern w:val="0"/>
                <w:sz w:val="24"/>
                <w:szCs w:val="24"/>
                <w:lang w:val="en-US" w:eastAsia="zh-CN" w:bidi="ar"/>
              </w:rPr>
              <w:t>浸出生产线预脱溶、蒸脱、蒸发、气提工序使用的蒸汽均来自园区供汽管网。</w:t>
            </w:r>
          </w:p>
          <w:p w14:paraId="47422A23">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eastAsia="等线"/>
                <w:color w:val="auto"/>
                <w:kern w:val="0"/>
                <w:sz w:val="24"/>
                <w:szCs w:val="24"/>
                <w:lang w:eastAsia="zh-CN" w:bidi="ar"/>
              </w:rPr>
            </w:pPr>
            <w:r>
              <w:rPr>
                <w:rFonts w:hint="eastAsia"/>
                <w:color w:val="auto"/>
                <w:kern w:val="0"/>
                <w:sz w:val="24"/>
                <w:szCs w:val="24"/>
                <w:lang w:eastAsia="zh-CN" w:bidi="ar"/>
              </w:rPr>
              <w:t>浸出：预处理生产线生产胚片经</w:t>
            </w:r>
            <w:r>
              <w:rPr>
                <w:rFonts w:hint="default" w:ascii="Times New Roman" w:hAnsi="Times New Roman" w:cs="Times New Roman"/>
                <w:color w:val="auto"/>
                <w:spacing w:val="-7"/>
                <w:sz w:val="24"/>
                <w:szCs w:val="24"/>
              </w:rPr>
              <w:t>刮板运输机</w:t>
            </w:r>
            <w:r>
              <w:rPr>
                <w:rFonts w:hint="eastAsia" w:ascii="Times New Roman" w:cs="Times New Roman"/>
                <w:color w:val="auto"/>
                <w:spacing w:val="-7"/>
                <w:sz w:val="24"/>
                <w:szCs w:val="24"/>
                <w:lang w:eastAsia="zh-CN"/>
              </w:rPr>
              <w:t>输送至浸出生产线，</w:t>
            </w:r>
            <w:r>
              <w:rPr>
                <w:color w:val="auto"/>
                <w:sz w:val="24"/>
                <w:szCs w:val="24"/>
              </w:rPr>
              <w:t>根据溶剂萃取原理，在浸出器内，用正己烷将大豆胚片中的</w:t>
            </w:r>
            <w:r>
              <w:rPr>
                <w:rFonts w:hint="eastAsia"/>
                <w:color w:val="auto"/>
                <w:sz w:val="24"/>
                <w:szCs w:val="24"/>
                <w:lang w:eastAsia="zh-CN"/>
              </w:rPr>
              <w:t>大豆</w:t>
            </w:r>
            <w:r>
              <w:rPr>
                <w:color w:val="auto"/>
                <w:sz w:val="24"/>
                <w:szCs w:val="24"/>
              </w:rPr>
              <w:t>油提取出来。</w:t>
            </w:r>
            <w:r>
              <w:rPr>
                <w:rFonts w:hint="eastAsia"/>
                <w:color w:val="auto"/>
                <w:sz w:val="24"/>
                <w:szCs w:val="24"/>
              </w:rPr>
              <w:t>胚片</w:t>
            </w:r>
            <w:r>
              <w:rPr>
                <w:color w:val="auto"/>
                <w:sz w:val="24"/>
                <w:szCs w:val="24"/>
              </w:rPr>
              <w:t>进入浸出器，在浸出器中物料受到溶剂的多次逆流浸泡、萃取作用，其中的油脂被浸取出来，完成浸出的</w:t>
            </w:r>
            <w:r>
              <w:rPr>
                <w:rFonts w:hint="eastAsia"/>
                <w:color w:val="auto"/>
                <w:sz w:val="24"/>
                <w:szCs w:val="24"/>
                <w:lang w:eastAsia="zh-CN"/>
              </w:rPr>
              <w:t>湿粕</w:t>
            </w:r>
            <w:r>
              <w:rPr>
                <w:color w:val="auto"/>
                <w:sz w:val="24"/>
                <w:szCs w:val="24"/>
              </w:rPr>
              <w:t>经沥干后从出粕斗排出</w:t>
            </w:r>
            <w:r>
              <w:rPr>
                <w:rFonts w:hint="eastAsia"/>
                <w:color w:val="auto"/>
                <w:sz w:val="24"/>
                <w:szCs w:val="24"/>
                <w:lang w:eastAsia="zh-CN"/>
              </w:rPr>
              <w:t>进入预脱溶、蒸脱工序</w:t>
            </w:r>
            <w:r>
              <w:rPr>
                <w:color w:val="auto"/>
                <w:sz w:val="24"/>
                <w:szCs w:val="24"/>
              </w:rPr>
              <w:t>。</w:t>
            </w:r>
            <w:r>
              <w:rPr>
                <w:color w:val="auto"/>
                <w:spacing w:val="-7"/>
                <w:sz w:val="24"/>
                <w:szCs w:val="24"/>
              </w:rPr>
              <w:t>富含油脂的浓混合油经泵抽出，</w:t>
            </w:r>
            <w:r>
              <w:rPr>
                <w:color w:val="auto"/>
                <w:sz w:val="24"/>
                <w:szCs w:val="24"/>
              </w:rPr>
              <w:t>进入蒸发</w:t>
            </w:r>
            <w:r>
              <w:rPr>
                <w:rFonts w:hint="eastAsia"/>
                <w:color w:val="auto"/>
                <w:sz w:val="24"/>
                <w:szCs w:val="24"/>
                <w:lang w:eastAsia="zh-CN"/>
              </w:rPr>
              <w:t>、</w:t>
            </w:r>
            <w:r>
              <w:rPr>
                <w:color w:val="auto"/>
                <w:sz w:val="24"/>
                <w:szCs w:val="24"/>
              </w:rPr>
              <w:t>汽提</w:t>
            </w:r>
            <w:r>
              <w:rPr>
                <w:rFonts w:hint="eastAsia"/>
                <w:color w:val="auto"/>
                <w:sz w:val="24"/>
                <w:szCs w:val="24"/>
                <w:lang w:eastAsia="zh-CN"/>
              </w:rPr>
              <w:t>工序</w:t>
            </w:r>
            <w:r>
              <w:rPr>
                <w:color w:val="auto"/>
                <w:sz w:val="24"/>
                <w:szCs w:val="24"/>
              </w:rPr>
              <w:t>。</w:t>
            </w:r>
          </w:p>
          <w:p w14:paraId="163B8224">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rPr>
              <w:t>预脱溶：浸出后的固体组分即湿粕，湿粕</w:t>
            </w:r>
            <w:r>
              <w:rPr>
                <w:rFonts w:hint="default" w:ascii="Times New Roman" w:hAnsi="Times New Roman" w:eastAsia="宋体" w:cs="Times New Roman"/>
                <w:b w:val="0"/>
                <w:bCs w:val="0"/>
                <w:color w:val="auto"/>
                <w:sz w:val="24"/>
                <w:szCs w:val="24"/>
                <w:lang w:eastAsia="zh-CN"/>
              </w:rPr>
              <w:t>进入</w:t>
            </w:r>
            <w:r>
              <w:rPr>
                <w:rFonts w:hint="default" w:ascii="Times New Roman" w:hAnsi="Times New Roman" w:eastAsia="宋体" w:cs="Times New Roman"/>
                <w:b w:val="0"/>
                <w:bCs w:val="0"/>
                <w:color w:val="auto"/>
                <w:sz w:val="24"/>
                <w:szCs w:val="24"/>
              </w:rPr>
              <w:t>预脱溶器</w:t>
            </w:r>
            <w:r>
              <w:rPr>
                <w:rFonts w:hint="default" w:ascii="Times New Roman" w:hAnsi="Times New Roman" w:eastAsia="宋体" w:cs="Times New Roman"/>
                <w:b w:val="0"/>
                <w:bCs w:val="0"/>
                <w:color w:val="auto"/>
                <w:sz w:val="24"/>
                <w:szCs w:val="24"/>
                <w:lang w:eastAsia="zh-CN"/>
              </w:rPr>
              <w:t>后采用蒸汽进行间接加热，湿粕中的溶剂气体（</w:t>
            </w:r>
            <w:r>
              <w:rPr>
                <w:rFonts w:hint="default" w:ascii="Times New Roman" w:hAnsi="Times New Roman" w:eastAsia="宋体" w:cs="Times New Roman"/>
                <w:b w:val="0"/>
                <w:bCs w:val="0"/>
                <w:color w:val="auto"/>
                <w:sz w:val="24"/>
                <w:szCs w:val="24"/>
              </w:rPr>
              <w:t>正己烷</w:t>
            </w:r>
            <w:r>
              <w:rPr>
                <w:rFonts w:hint="default" w:ascii="Times New Roman" w:hAnsi="Times New Roman" w:eastAsia="宋体" w:cs="Times New Roman"/>
                <w:b w:val="0"/>
                <w:bCs w:val="0"/>
                <w:color w:val="auto"/>
                <w:sz w:val="24"/>
                <w:szCs w:val="24"/>
                <w:lang w:eastAsia="zh-CN"/>
              </w:rPr>
              <w:t>）经加热后从湿粕中初步分离出来进入冷凝器回收</w:t>
            </w:r>
            <w:r>
              <w:rPr>
                <w:rFonts w:hint="eastAsia" w:ascii="Times New Roman" w:eastAsia="宋体" w:cs="Times New Roman"/>
                <w:b w:val="0"/>
                <w:bCs w:val="0"/>
                <w:color w:val="auto"/>
                <w:sz w:val="24"/>
                <w:szCs w:val="24"/>
                <w:lang w:eastAsia="zh-CN"/>
              </w:rPr>
              <w:t>，冷凝回收环节将产生非甲烷总烃</w:t>
            </w:r>
            <w:r>
              <w:rPr>
                <w:rFonts w:hint="eastAsia" w:ascii="Times New Roman" w:eastAsia="宋体" w:cs="Times New Roman"/>
                <w:b w:val="0"/>
                <w:bCs w:val="0"/>
                <w:color w:val="auto"/>
                <w:sz w:val="24"/>
                <w:szCs w:val="24"/>
                <w:lang w:val="en-US" w:eastAsia="zh-CN"/>
              </w:rPr>
              <w:t>G15</w:t>
            </w:r>
            <w:r>
              <w:rPr>
                <w:rFonts w:hint="default" w:ascii="Times New Roman" w:hAnsi="Times New Roman" w:eastAsia="宋体" w:cs="Times New Roman"/>
                <w:b w:val="0"/>
                <w:bCs w:val="0"/>
                <w:color w:val="auto"/>
                <w:sz w:val="24"/>
                <w:szCs w:val="24"/>
                <w:lang w:eastAsia="zh-CN"/>
              </w:rPr>
              <w:t>。</w:t>
            </w:r>
          </w:p>
          <w:p w14:paraId="67D2984F">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eastAsia="zh-CN"/>
              </w:rPr>
              <w:t>蒸脱：湿粕经预脱溶后进入蒸脱工序，</w:t>
            </w:r>
            <w:r>
              <w:rPr>
                <w:rFonts w:hint="default" w:ascii="Times New Roman" w:hAnsi="Times New Roman" w:eastAsia="宋体" w:cs="Times New Roman"/>
                <w:b w:val="0"/>
                <w:bCs w:val="0"/>
                <w:color w:val="auto"/>
                <w:spacing w:val="-1"/>
                <w:sz w:val="24"/>
                <w:szCs w:val="24"/>
                <w:lang w:eastAsia="zh-CN"/>
              </w:rPr>
              <w:t>蒸脱工序</w:t>
            </w:r>
            <w:r>
              <w:rPr>
                <w:rFonts w:hint="default" w:ascii="Times New Roman" w:hAnsi="Times New Roman" w:eastAsia="宋体" w:cs="Times New Roman"/>
                <w:b w:val="0"/>
                <w:bCs w:val="0"/>
                <w:color w:val="auto"/>
                <w:spacing w:val="-1"/>
                <w:sz w:val="24"/>
                <w:szCs w:val="24"/>
              </w:rPr>
              <w:t>主要是利用蒸汽穿过料层</w:t>
            </w:r>
            <w:r>
              <w:rPr>
                <w:rFonts w:hint="default" w:ascii="Times New Roman" w:hAnsi="Times New Roman" w:eastAsia="宋体" w:cs="Times New Roman"/>
                <w:b w:val="0"/>
                <w:bCs w:val="0"/>
                <w:color w:val="auto"/>
                <w:spacing w:val="-1"/>
                <w:sz w:val="24"/>
                <w:szCs w:val="24"/>
                <w:lang w:eastAsia="zh-CN"/>
              </w:rPr>
              <w:t>直接</w:t>
            </w:r>
            <w:r>
              <w:rPr>
                <w:rFonts w:hint="eastAsia" w:ascii="Times New Roman" w:eastAsia="宋体" w:cs="Times New Roman"/>
                <w:b w:val="0"/>
                <w:bCs w:val="0"/>
                <w:color w:val="auto"/>
                <w:spacing w:val="-1"/>
                <w:sz w:val="24"/>
                <w:szCs w:val="24"/>
                <w:lang w:eastAsia="zh-CN"/>
              </w:rPr>
              <w:t>对</w:t>
            </w:r>
            <w:r>
              <w:rPr>
                <w:rFonts w:hint="default" w:ascii="Times New Roman" w:hAnsi="Times New Roman" w:eastAsia="宋体" w:cs="Times New Roman"/>
                <w:b w:val="0"/>
                <w:bCs w:val="0"/>
                <w:color w:val="auto"/>
                <w:spacing w:val="-1"/>
                <w:sz w:val="24"/>
                <w:szCs w:val="24"/>
                <w:lang w:eastAsia="zh-CN"/>
              </w:rPr>
              <w:t>湿粕进行加热</w:t>
            </w:r>
            <w:r>
              <w:rPr>
                <w:rFonts w:hint="default" w:ascii="Times New Roman" w:hAnsi="Times New Roman" w:eastAsia="宋体" w:cs="Times New Roman"/>
                <w:b w:val="0"/>
                <w:bCs w:val="0"/>
                <w:color w:val="auto"/>
                <w:spacing w:val="-1"/>
                <w:sz w:val="24"/>
                <w:szCs w:val="24"/>
              </w:rPr>
              <w:t>，</w:t>
            </w:r>
            <w:r>
              <w:rPr>
                <w:rFonts w:hint="default" w:ascii="Times New Roman" w:hAnsi="Times New Roman" w:eastAsia="宋体" w:cs="Times New Roman"/>
                <w:b w:val="0"/>
                <w:bCs w:val="0"/>
                <w:color w:val="auto"/>
                <w:sz w:val="24"/>
                <w:szCs w:val="24"/>
                <w:lang w:eastAsia="zh-CN"/>
              </w:rPr>
              <w:t>湿粕中的溶剂气体（</w:t>
            </w:r>
            <w:r>
              <w:rPr>
                <w:rFonts w:hint="default" w:ascii="Times New Roman" w:hAnsi="Times New Roman" w:eastAsia="宋体" w:cs="Times New Roman"/>
                <w:b w:val="0"/>
                <w:bCs w:val="0"/>
                <w:color w:val="auto"/>
                <w:sz w:val="24"/>
                <w:szCs w:val="24"/>
              </w:rPr>
              <w:t>正己烷</w:t>
            </w:r>
            <w:r>
              <w:rPr>
                <w:rFonts w:hint="default" w:ascii="Times New Roman" w:hAnsi="Times New Roman" w:eastAsia="宋体" w:cs="Times New Roman"/>
                <w:b w:val="0"/>
                <w:bCs w:val="0"/>
                <w:color w:val="auto"/>
                <w:sz w:val="24"/>
                <w:szCs w:val="24"/>
                <w:lang w:eastAsia="zh-CN"/>
              </w:rPr>
              <w:t>）经蒸汽直接加热后进一步被分离出来进入冷凝器回收</w:t>
            </w:r>
            <w:r>
              <w:rPr>
                <w:rFonts w:hint="eastAsia" w:ascii="Times New Roman" w:eastAsia="宋体" w:cs="Times New Roman"/>
                <w:b w:val="0"/>
                <w:bCs w:val="0"/>
                <w:color w:val="auto"/>
                <w:sz w:val="24"/>
                <w:szCs w:val="24"/>
                <w:lang w:eastAsia="zh-CN"/>
              </w:rPr>
              <w:t>，冷凝回收环节将产生非甲烷总烃</w:t>
            </w:r>
            <w:r>
              <w:rPr>
                <w:rFonts w:hint="eastAsia" w:ascii="Times New Roman" w:eastAsia="宋体" w:cs="Times New Roman"/>
                <w:b w:val="0"/>
                <w:bCs w:val="0"/>
                <w:color w:val="auto"/>
                <w:sz w:val="24"/>
                <w:szCs w:val="24"/>
                <w:lang w:val="en-US" w:eastAsia="zh-CN"/>
              </w:rPr>
              <w:t>G15</w:t>
            </w:r>
            <w:r>
              <w:rPr>
                <w:rFonts w:hint="default" w:ascii="Times New Roman" w:hAnsi="Times New Roman" w:eastAsia="宋体" w:cs="Times New Roman"/>
                <w:b w:val="0"/>
                <w:bCs w:val="0"/>
                <w:color w:val="auto"/>
                <w:sz w:val="24"/>
                <w:szCs w:val="24"/>
                <w:lang w:eastAsia="zh-CN"/>
              </w:rPr>
              <w:t>。</w:t>
            </w:r>
          </w:p>
          <w:p w14:paraId="15529207">
            <w:pPr>
              <w:bidi w:val="0"/>
              <w:rPr>
                <w:rFonts w:hint="default"/>
                <w:color w:val="auto"/>
              </w:rPr>
            </w:pPr>
            <w:r>
              <w:rPr>
                <w:rFonts w:hint="default" w:ascii="Times New Roman" w:hAnsi="Times New Roman" w:eastAsia="宋体" w:cs="Times New Roman"/>
                <w:b w:val="0"/>
                <w:bCs w:val="0"/>
                <w:color w:val="auto"/>
                <w:szCs w:val="24"/>
              </w:rPr>
              <w:t>干燥冷却：蒸脱后的</w:t>
            </w:r>
            <w:r>
              <w:rPr>
                <w:rFonts w:hint="default" w:ascii="Times New Roman" w:hAnsi="Times New Roman" w:eastAsia="宋体" w:cs="Times New Roman"/>
                <w:b w:val="0"/>
                <w:bCs w:val="0"/>
                <w:color w:val="auto"/>
                <w:szCs w:val="24"/>
                <w:lang w:eastAsia="zh-CN"/>
              </w:rPr>
              <w:t>湿粕进入干燥冷却工段，首先采用电加热空气，再</w:t>
            </w:r>
            <w:r>
              <w:rPr>
                <w:rFonts w:hint="eastAsia" w:cs="Times New Roman"/>
                <w:b w:val="0"/>
                <w:bCs w:val="0"/>
                <w:color w:val="auto"/>
                <w:szCs w:val="24"/>
                <w:lang w:eastAsia="zh-CN"/>
              </w:rPr>
              <w:t>将</w:t>
            </w:r>
            <w:r>
              <w:rPr>
                <w:rFonts w:hint="default" w:ascii="Times New Roman" w:hAnsi="Times New Roman" w:eastAsia="宋体" w:cs="Times New Roman"/>
                <w:b w:val="0"/>
                <w:bCs w:val="0"/>
                <w:color w:val="auto"/>
                <w:szCs w:val="24"/>
                <w:lang w:eastAsia="zh-CN"/>
              </w:rPr>
              <w:t>加热空气引至湿粕将其水分烘干，然后再采用</w:t>
            </w:r>
            <w:r>
              <w:rPr>
                <w:rFonts w:hint="eastAsia" w:cs="Times New Roman"/>
                <w:b w:val="0"/>
                <w:bCs w:val="0"/>
                <w:color w:val="auto"/>
                <w:szCs w:val="24"/>
                <w:lang w:eastAsia="zh-CN"/>
              </w:rPr>
              <w:t>冷风机吹</w:t>
            </w:r>
            <w:r>
              <w:rPr>
                <w:rFonts w:hint="default" w:ascii="Times New Roman" w:hAnsi="Times New Roman" w:eastAsia="宋体" w:cs="Times New Roman"/>
                <w:b w:val="0"/>
                <w:bCs w:val="0"/>
                <w:color w:val="auto"/>
                <w:szCs w:val="24"/>
              </w:rPr>
              <w:t>冷风</w:t>
            </w:r>
            <w:r>
              <w:rPr>
                <w:rFonts w:hint="default" w:ascii="Times New Roman" w:hAnsi="Times New Roman" w:eastAsia="宋体" w:cs="Times New Roman"/>
                <w:b w:val="0"/>
                <w:bCs w:val="0"/>
                <w:color w:val="auto"/>
                <w:szCs w:val="24"/>
                <w:lang w:eastAsia="zh-CN"/>
              </w:rPr>
              <w:t>将其冷却</w:t>
            </w:r>
            <w:r>
              <w:rPr>
                <w:rFonts w:hint="eastAsia" w:cs="Times New Roman"/>
                <w:b w:val="0"/>
                <w:bCs w:val="0"/>
                <w:color w:val="auto"/>
                <w:szCs w:val="24"/>
                <w:lang w:eastAsia="zh-CN"/>
              </w:rPr>
              <w:t>，此环节</w:t>
            </w:r>
            <w:r>
              <w:rPr>
                <w:rFonts w:hint="eastAsia"/>
                <w:color w:val="auto"/>
                <w:lang w:eastAsia="zh-CN"/>
              </w:rPr>
              <w:t>将产生非甲烷总烃、颗粒物</w:t>
            </w:r>
            <w:r>
              <w:rPr>
                <w:rFonts w:hint="eastAsia"/>
                <w:color w:val="auto"/>
                <w:lang w:val="en-US" w:eastAsia="zh-CN"/>
              </w:rPr>
              <w:t>G16</w:t>
            </w:r>
            <w:r>
              <w:rPr>
                <w:rFonts w:hint="default"/>
                <w:color w:val="auto"/>
              </w:rPr>
              <w:t>。</w:t>
            </w:r>
          </w:p>
          <w:p w14:paraId="099A525C">
            <w:pPr>
              <w:bidi w:val="0"/>
              <w:rPr>
                <w:rFonts w:hint="eastAsia"/>
                <w:color w:val="auto"/>
              </w:rPr>
            </w:pPr>
            <w:r>
              <w:rPr>
                <w:rFonts w:hint="default"/>
                <w:color w:val="auto"/>
                <w:lang w:eastAsia="zh-CN"/>
              </w:rPr>
              <w:t>蒸发：</w:t>
            </w:r>
            <w:r>
              <w:rPr>
                <w:rFonts w:hint="eastAsia"/>
                <w:color w:val="auto"/>
                <w:lang w:eastAsia="zh-CN"/>
              </w:rPr>
              <w:t>胚片浸出后</w:t>
            </w:r>
            <w:r>
              <w:rPr>
                <w:color w:val="auto"/>
              </w:rPr>
              <w:t>得到的混合油</w:t>
            </w:r>
            <w:r>
              <w:rPr>
                <w:rFonts w:hint="eastAsia"/>
                <w:color w:val="auto"/>
                <w:lang w:eastAsia="zh-CN"/>
              </w:rPr>
              <w:t>进入蒸发工段</w:t>
            </w:r>
            <w:r>
              <w:rPr>
                <w:rFonts w:hint="eastAsia"/>
                <w:color w:val="auto"/>
              </w:rPr>
              <w:t>，</w:t>
            </w:r>
            <w:r>
              <w:rPr>
                <w:color w:val="auto"/>
              </w:rPr>
              <w:t>利用溶剂正己烷的沸点比</w:t>
            </w:r>
            <w:r>
              <w:rPr>
                <w:rFonts w:hint="eastAsia"/>
                <w:color w:val="auto"/>
                <w:lang w:eastAsia="zh-CN"/>
              </w:rPr>
              <w:t>混合油</w:t>
            </w:r>
            <w:r>
              <w:rPr>
                <w:color w:val="auto"/>
              </w:rPr>
              <w:t>沸点低的</w:t>
            </w:r>
            <w:r>
              <w:rPr>
                <w:rFonts w:hint="eastAsia"/>
                <w:color w:val="auto"/>
                <w:lang w:eastAsia="zh-CN"/>
              </w:rPr>
              <w:t>特点</w:t>
            </w:r>
            <w:r>
              <w:rPr>
                <w:color w:val="auto"/>
              </w:rPr>
              <w:t>，采用蒸汽</w:t>
            </w:r>
            <w:r>
              <w:rPr>
                <w:rFonts w:hint="eastAsia"/>
                <w:color w:val="auto"/>
                <w:lang w:eastAsia="zh-CN"/>
              </w:rPr>
              <w:t>间接</w:t>
            </w:r>
            <w:r>
              <w:rPr>
                <w:color w:val="auto"/>
              </w:rPr>
              <w:t>加热混合油使正己烷</w:t>
            </w:r>
            <w:r>
              <w:rPr>
                <w:rFonts w:hint="eastAsia"/>
                <w:color w:val="auto"/>
                <w:lang w:eastAsia="zh-CN"/>
              </w:rPr>
              <w:t>迅速蒸汽化，从</w:t>
            </w:r>
            <w:r>
              <w:rPr>
                <w:color w:val="auto"/>
              </w:rPr>
              <w:t>而</w:t>
            </w:r>
            <w:r>
              <w:rPr>
                <w:rFonts w:hint="eastAsia"/>
                <w:color w:val="auto"/>
                <w:lang w:eastAsia="zh-CN"/>
              </w:rPr>
              <w:t>将</w:t>
            </w:r>
            <w:r>
              <w:rPr>
                <w:color w:val="auto"/>
              </w:rPr>
              <w:t>正己烷</w:t>
            </w:r>
            <w:r>
              <w:rPr>
                <w:rFonts w:hint="eastAsia"/>
                <w:color w:val="auto"/>
                <w:lang w:eastAsia="zh-CN"/>
              </w:rPr>
              <w:t>与大豆毛油分离</w:t>
            </w:r>
            <w:r>
              <w:rPr>
                <w:rFonts w:hint="eastAsia"/>
                <w:color w:val="auto"/>
              </w:rPr>
              <w:t>，</w:t>
            </w:r>
            <w:r>
              <w:rPr>
                <w:rFonts w:hint="eastAsia"/>
                <w:color w:val="auto"/>
                <w:lang w:eastAsia="zh-CN"/>
              </w:rPr>
              <w:t>分离出的</w:t>
            </w:r>
            <w:r>
              <w:rPr>
                <w:rFonts w:hint="default"/>
                <w:color w:val="auto"/>
                <w:lang w:eastAsia="zh-CN"/>
              </w:rPr>
              <w:t>溶剂气体（</w:t>
            </w:r>
            <w:r>
              <w:rPr>
                <w:rFonts w:hint="default"/>
                <w:color w:val="auto"/>
              </w:rPr>
              <w:t>正己烷</w:t>
            </w:r>
            <w:r>
              <w:rPr>
                <w:rFonts w:hint="default"/>
                <w:color w:val="auto"/>
                <w:lang w:eastAsia="zh-CN"/>
              </w:rPr>
              <w:t>）经进入冷凝器回收</w:t>
            </w:r>
            <w:r>
              <w:rPr>
                <w:rFonts w:hint="eastAsia" w:ascii="Times New Roman" w:eastAsia="宋体" w:cs="Times New Roman"/>
                <w:b w:val="0"/>
                <w:bCs w:val="0"/>
                <w:color w:val="auto"/>
                <w:sz w:val="24"/>
                <w:szCs w:val="24"/>
                <w:lang w:eastAsia="zh-CN"/>
              </w:rPr>
              <w:t>，冷凝回收环节将产生非甲烷总烃</w:t>
            </w:r>
            <w:r>
              <w:rPr>
                <w:rFonts w:hint="eastAsia" w:ascii="Times New Roman" w:eastAsia="宋体" w:cs="Times New Roman"/>
                <w:b w:val="0"/>
                <w:bCs w:val="0"/>
                <w:color w:val="auto"/>
                <w:sz w:val="24"/>
                <w:szCs w:val="24"/>
                <w:lang w:val="en-US" w:eastAsia="zh-CN"/>
              </w:rPr>
              <w:t>G15</w:t>
            </w:r>
            <w:r>
              <w:rPr>
                <w:rFonts w:hint="eastAsia"/>
                <w:color w:val="auto"/>
              </w:rPr>
              <w:t>。</w:t>
            </w:r>
          </w:p>
          <w:p w14:paraId="10CA26B6">
            <w:pPr>
              <w:bidi w:val="0"/>
              <w:rPr>
                <w:rFonts w:hint="eastAsia"/>
                <w:color w:val="auto"/>
                <w:lang w:val="en-US" w:eastAsia="zh-CN"/>
              </w:rPr>
            </w:pPr>
            <w:r>
              <w:rPr>
                <w:rFonts w:hint="eastAsia"/>
                <w:color w:val="auto"/>
                <w:lang w:eastAsia="zh-CN"/>
              </w:rPr>
              <w:t>汽提：混合油经蒸发后进入汽提工段，混合油由汽提塔</w:t>
            </w:r>
            <w:r>
              <w:rPr>
                <w:rFonts w:hint="eastAsia"/>
                <w:color w:val="auto"/>
              </w:rPr>
              <w:t>顶部喷入</w:t>
            </w:r>
            <w:r>
              <w:rPr>
                <w:rFonts w:hint="eastAsia"/>
                <w:color w:val="auto"/>
                <w:lang w:eastAsia="zh-CN"/>
              </w:rPr>
              <w:t>，蒸汽由汽提塔底部</w:t>
            </w:r>
            <w:r>
              <w:rPr>
                <w:rFonts w:hint="eastAsia"/>
                <w:color w:val="auto"/>
              </w:rPr>
              <w:t>喷入</w:t>
            </w:r>
            <w:r>
              <w:rPr>
                <w:rFonts w:hint="eastAsia"/>
                <w:color w:val="auto"/>
                <w:lang w:eastAsia="zh-CN"/>
              </w:rPr>
              <w:t>对混合油直接进行加热，</w:t>
            </w:r>
            <w:r>
              <w:rPr>
                <w:color w:val="auto"/>
              </w:rPr>
              <w:t>由于混合油与水不相溶，向沸点很高的浓混合油内通入一定压力的直接蒸汽，同时在设备的夹套内通入</w:t>
            </w:r>
            <w:r>
              <w:rPr>
                <w:rFonts w:hint="eastAsia"/>
                <w:color w:val="auto"/>
                <w:lang w:eastAsia="zh-CN"/>
              </w:rPr>
              <w:t>蒸汽间接加热，</w:t>
            </w:r>
            <w:r>
              <w:rPr>
                <w:color w:val="auto"/>
              </w:rPr>
              <w:t>使通入混合油的直接蒸汽不致冷凝</w:t>
            </w:r>
            <w:r>
              <w:rPr>
                <w:rFonts w:hint="eastAsia"/>
                <w:color w:val="auto"/>
                <w:lang w:eastAsia="zh-CN"/>
              </w:rPr>
              <w:t>，从而使混合油中的</w:t>
            </w:r>
            <w:r>
              <w:rPr>
                <w:rFonts w:hint="default"/>
                <w:color w:val="auto"/>
                <w:lang w:eastAsia="zh-CN"/>
              </w:rPr>
              <w:t>溶剂气体（</w:t>
            </w:r>
            <w:r>
              <w:rPr>
                <w:rFonts w:hint="default"/>
                <w:color w:val="auto"/>
              </w:rPr>
              <w:t>正己烷</w:t>
            </w:r>
            <w:r>
              <w:rPr>
                <w:rFonts w:hint="default"/>
                <w:color w:val="auto"/>
                <w:lang w:eastAsia="zh-CN"/>
              </w:rPr>
              <w:t>）</w:t>
            </w:r>
            <w:r>
              <w:rPr>
                <w:rFonts w:hint="eastAsia"/>
                <w:color w:val="auto"/>
                <w:lang w:eastAsia="zh-CN"/>
              </w:rPr>
              <w:t>进一步被分离，</w:t>
            </w:r>
            <w:r>
              <w:rPr>
                <w:color w:val="auto"/>
              </w:rPr>
              <w:t>未凝结的蒸汽夹带</w:t>
            </w:r>
            <w:r>
              <w:rPr>
                <w:rFonts w:hint="default"/>
                <w:color w:val="auto"/>
                <w:lang w:eastAsia="zh-CN"/>
              </w:rPr>
              <w:t>溶剂气体（</w:t>
            </w:r>
            <w:r>
              <w:rPr>
                <w:rFonts w:hint="default"/>
                <w:color w:val="auto"/>
              </w:rPr>
              <w:t>正己烷</w:t>
            </w:r>
            <w:r>
              <w:rPr>
                <w:rFonts w:hint="default"/>
                <w:color w:val="auto"/>
                <w:lang w:eastAsia="zh-CN"/>
              </w:rPr>
              <w:t>）入冷凝器回收</w:t>
            </w:r>
            <w:r>
              <w:rPr>
                <w:rFonts w:hint="eastAsia" w:ascii="Times New Roman" w:eastAsia="宋体" w:cs="Times New Roman"/>
                <w:b w:val="0"/>
                <w:bCs w:val="0"/>
                <w:color w:val="auto"/>
                <w:sz w:val="24"/>
                <w:szCs w:val="24"/>
                <w:lang w:eastAsia="zh-CN"/>
              </w:rPr>
              <w:t>，冷凝回收环节将产生非甲烷总烃</w:t>
            </w:r>
            <w:r>
              <w:rPr>
                <w:rFonts w:hint="eastAsia" w:ascii="Times New Roman" w:eastAsia="宋体" w:cs="Times New Roman"/>
                <w:b w:val="0"/>
                <w:bCs w:val="0"/>
                <w:color w:val="auto"/>
                <w:sz w:val="24"/>
                <w:szCs w:val="24"/>
                <w:lang w:val="en-US" w:eastAsia="zh-CN"/>
              </w:rPr>
              <w:t>G15</w:t>
            </w:r>
            <w:r>
              <w:rPr>
                <w:rFonts w:hint="default"/>
                <w:color w:val="auto"/>
                <w:lang w:eastAsia="zh-CN"/>
              </w:rPr>
              <w:t>。</w:t>
            </w:r>
          </w:p>
          <w:p w14:paraId="1F5E4AE7">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cs="Times New Roman"/>
                <w:b w:val="0"/>
                <w:bCs w:val="0"/>
                <w:color w:val="auto"/>
                <w:sz w:val="24"/>
                <w:szCs w:val="24"/>
                <w:lang w:eastAsia="zh-CN"/>
              </w:rPr>
            </w:pPr>
          </w:p>
          <w:p w14:paraId="3C18E720">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object>
                <v:shape id="_x0000_i1030" o:spt="75" type="#_x0000_t75" style="height:149.25pt;width:418.5pt;" o:ole="t" filled="f" o:preferrelative="t" stroked="f" coordsize="21600,21600">
                  <v:path/>
                  <v:fill on="f" focussize="0,0"/>
                  <v:stroke on="f"/>
                  <v:imagedata r:id="rId21" o:title=""/>
                  <o:lock v:ext="edit" aspectratio="f"/>
                  <w10:wrap type="none"/>
                  <w10:anchorlock/>
                </v:shape>
                <o:OLEObject Type="Embed" ProgID="Visio.Drawing.11" ShapeID="_x0000_i1030" DrawAspect="Content" ObjectID="_1468075730" r:id="rId20">
                  <o:LockedField>false</o:LockedField>
                </o:OLEObject>
              </w:object>
            </w:r>
          </w:p>
          <w:p w14:paraId="4AA55411">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center"/>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图</w:t>
            </w:r>
            <w:r>
              <w:rPr>
                <w:rFonts w:hint="default" w:ascii="Times New Roman" w:hAnsi="Times New Roman" w:cs="Times New Roman"/>
                <w:b w:val="0"/>
                <w:bCs w:val="0"/>
                <w:color w:val="auto"/>
                <w:sz w:val="24"/>
                <w:szCs w:val="24"/>
                <w:lang w:val="en-US" w:eastAsia="zh-CN"/>
              </w:rPr>
              <w:t>2.</w:t>
            </w:r>
            <w:r>
              <w:rPr>
                <w:rFonts w:hint="eastAsia" w:ascii="Times New Roman" w:cs="Times New Roman"/>
                <w:b w:val="0"/>
                <w:bCs w:val="0"/>
                <w:color w:val="auto"/>
                <w:sz w:val="24"/>
                <w:szCs w:val="24"/>
                <w:lang w:val="en-US" w:eastAsia="zh-CN"/>
              </w:rPr>
              <w:t>6</w:t>
            </w:r>
            <w:r>
              <w:rPr>
                <w:rFonts w:hint="default" w:ascii="Times New Roman" w:hAnsi="Times New Roman" w:cs="Times New Roman"/>
                <w:b w:val="0"/>
                <w:bCs w:val="0"/>
                <w:color w:val="auto"/>
                <w:sz w:val="24"/>
                <w:szCs w:val="24"/>
                <w:lang w:val="en-US" w:eastAsia="zh-CN"/>
              </w:rPr>
              <w:t xml:space="preserve"> 精炼生产线生产工艺流程图</w:t>
            </w:r>
          </w:p>
          <w:p w14:paraId="2B696DCF">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工艺流程简介：</w:t>
            </w:r>
          </w:p>
          <w:p w14:paraId="2AADA760">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eastAsia" w:ascii="Times New Roman" w:cs="Times New Roman"/>
                <w:b w:val="0"/>
                <w:bCs w:val="0"/>
                <w:color w:val="auto"/>
                <w:sz w:val="24"/>
                <w:szCs w:val="24"/>
                <w:lang w:val="en-US" w:eastAsia="zh-CN"/>
              </w:rPr>
              <w:t>现有工程</w:t>
            </w:r>
            <w:r>
              <w:rPr>
                <w:rFonts w:hint="default" w:ascii="Times New Roman" w:hAnsi="Times New Roman" w:cs="Times New Roman"/>
                <w:b w:val="0"/>
                <w:bCs w:val="0"/>
                <w:color w:val="auto"/>
                <w:sz w:val="24"/>
                <w:szCs w:val="24"/>
                <w:lang w:val="en-US" w:eastAsia="zh-CN"/>
              </w:rPr>
              <w:t>精炼生产线加工的</w:t>
            </w:r>
            <w:r>
              <w:rPr>
                <w:rFonts w:hint="eastAsia" w:ascii="Times New Roman" w:cs="Times New Roman"/>
                <w:b w:val="0"/>
                <w:bCs w:val="0"/>
                <w:color w:val="auto"/>
                <w:sz w:val="24"/>
                <w:szCs w:val="24"/>
                <w:lang w:val="en-US" w:eastAsia="zh-CN"/>
              </w:rPr>
              <w:t>原材料为毛油、脱胶油</w:t>
            </w:r>
            <w:r>
              <w:rPr>
                <w:rFonts w:hint="default" w:ascii="Times New Roman" w:hAnsi="Times New Roman" w:cs="Times New Roman"/>
                <w:b w:val="0"/>
                <w:bCs w:val="0"/>
                <w:color w:val="auto"/>
                <w:sz w:val="24"/>
                <w:szCs w:val="24"/>
                <w:highlight w:val="none"/>
                <w:lang w:val="en-US" w:eastAsia="zh-CN"/>
              </w:rPr>
              <w:t>，毛油</w:t>
            </w:r>
            <w:r>
              <w:rPr>
                <w:rFonts w:hint="eastAsia" w:ascii="Times New Roman" w:cs="Times New Roman"/>
                <w:b w:val="0"/>
                <w:bCs w:val="0"/>
                <w:color w:val="auto"/>
                <w:sz w:val="24"/>
                <w:szCs w:val="24"/>
                <w:highlight w:val="none"/>
                <w:lang w:val="en-US" w:eastAsia="zh-CN"/>
              </w:rPr>
              <w:t>加工量</w:t>
            </w:r>
            <w:r>
              <w:rPr>
                <w:rFonts w:hint="default" w:ascii="Times New Roman" w:hAnsi="Times New Roman" w:cs="Times New Roman"/>
                <w:b w:val="0"/>
                <w:bCs w:val="0"/>
                <w:color w:val="auto"/>
                <w:sz w:val="24"/>
                <w:szCs w:val="24"/>
                <w:highlight w:val="none"/>
                <w:lang w:val="en-US" w:eastAsia="zh-CN"/>
              </w:rPr>
              <w:t>为</w:t>
            </w:r>
            <w:r>
              <w:rPr>
                <w:rFonts w:hint="eastAsia" w:ascii="Times New Roman" w:cs="Times New Roman"/>
                <w:b w:val="0"/>
                <w:bCs w:val="0"/>
                <w:color w:val="auto"/>
                <w:sz w:val="24"/>
                <w:szCs w:val="24"/>
                <w:highlight w:val="none"/>
                <w:lang w:val="en-US" w:eastAsia="zh-CN"/>
              </w:rPr>
              <w:t>1092</w:t>
            </w:r>
            <w:r>
              <w:rPr>
                <w:rFonts w:hint="default" w:ascii="Times New Roman" w:hAnsi="Times New Roman" w:cs="Times New Roman"/>
                <w:b w:val="0"/>
                <w:bCs w:val="0"/>
                <w:color w:val="auto"/>
                <w:sz w:val="24"/>
                <w:szCs w:val="24"/>
                <w:highlight w:val="none"/>
                <w:lang w:val="en-US" w:eastAsia="zh-CN"/>
              </w:rPr>
              <w:t>t/d，即</w:t>
            </w:r>
            <w:r>
              <w:rPr>
                <w:rFonts w:hint="eastAsia" w:ascii="Times New Roman" w:cs="Times New Roman"/>
                <w:b w:val="0"/>
                <w:bCs w:val="0"/>
                <w:color w:val="auto"/>
                <w:sz w:val="24"/>
                <w:szCs w:val="24"/>
                <w:highlight w:val="none"/>
                <w:lang w:val="en-US" w:eastAsia="zh-CN"/>
              </w:rPr>
              <w:t>32.23</w:t>
            </w:r>
            <w:r>
              <w:rPr>
                <w:rFonts w:hint="default" w:ascii="Times New Roman" w:hAnsi="Times New Roman" w:cs="Times New Roman"/>
                <w:b w:val="0"/>
                <w:bCs w:val="0"/>
                <w:color w:val="auto"/>
                <w:sz w:val="24"/>
                <w:szCs w:val="24"/>
                <w:highlight w:val="none"/>
                <w:lang w:val="en-US" w:eastAsia="zh-CN"/>
              </w:rPr>
              <w:t>万t/a</w:t>
            </w:r>
            <w:r>
              <w:rPr>
                <w:rFonts w:hint="eastAsia" w:ascii="Times New Roman" w:cs="Times New Roman"/>
                <w:b w:val="0"/>
                <w:bCs w:val="0"/>
                <w:color w:val="auto"/>
                <w:sz w:val="24"/>
                <w:szCs w:val="24"/>
                <w:highlight w:val="none"/>
                <w:lang w:val="en-US" w:eastAsia="zh-CN"/>
              </w:rPr>
              <w:t>（全年工作天数为295天）</w:t>
            </w:r>
            <w:r>
              <w:rPr>
                <w:rFonts w:hint="default" w:ascii="Times New Roman" w:hAnsi="Times New Roman" w:cs="Times New Roman"/>
                <w:b w:val="0"/>
                <w:bCs w:val="0"/>
                <w:color w:val="auto"/>
                <w:sz w:val="24"/>
                <w:szCs w:val="24"/>
                <w:highlight w:val="none"/>
                <w:lang w:val="en-US" w:eastAsia="zh-CN"/>
              </w:rPr>
              <w:t>；</w:t>
            </w:r>
            <w:r>
              <w:rPr>
                <w:rFonts w:hint="eastAsia" w:ascii="Times New Roman" w:cs="Times New Roman"/>
                <w:b w:val="0"/>
                <w:bCs w:val="0"/>
                <w:color w:val="auto"/>
                <w:sz w:val="24"/>
                <w:szCs w:val="24"/>
                <w:lang w:val="en-US" w:eastAsia="zh-CN"/>
              </w:rPr>
              <w:t>脱胶油加工量</w:t>
            </w:r>
            <w:r>
              <w:rPr>
                <w:rFonts w:hint="eastAsia" w:ascii="Times New Roman" w:cs="Times New Roman"/>
                <w:b w:val="0"/>
                <w:bCs w:val="0"/>
                <w:color w:val="auto"/>
                <w:sz w:val="24"/>
                <w:szCs w:val="24"/>
                <w:highlight w:val="none"/>
                <w:lang w:val="en-US" w:eastAsia="zh-CN"/>
              </w:rPr>
              <w:t>1092</w:t>
            </w:r>
            <w:r>
              <w:rPr>
                <w:rFonts w:hint="default" w:ascii="Times New Roman" w:hAnsi="Times New Roman" w:cs="Times New Roman"/>
                <w:b w:val="0"/>
                <w:bCs w:val="0"/>
                <w:color w:val="auto"/>
                <w:sz w:val="24"/>
                <w:szCs w:val="24"/>
                <w:highlight w:val="none"/>
                <w:lang w:val="en-US" w:eastAsia="zh-CN"/>
              </w:rPr>
              <w:t>t/d，即</w:t>
            </w:r>
            <w:r>
              <w:rPr>
                <w:rFonts w:hint="eastAsia" w:ascii="Times New Roman" w:cs="Times New Roman"/>
                <w:b w:val="0"/>
                <w:bCs w:val="0"/>
                <w:color w:val="auto"/>
                <w:sz w:val="24"/>
                <w:szCs w:val="24"/>
                <w:highlight w:val="none"/>
                <w:lang w:val="en-US" w:eastAsia="zh-CN"/>
              </w:rPr>
              <w:t>5462</w:t>
            </w:r>
            <w:r>
              <w:rPr>
                <w:rFonts w:hint="default" w:ascii="Times New Roman" w:hAnsi="Times New Roman" w:cs="Times New Roman"/>
                <w:b w:val="0"/>
                <w:bCs w:val="0"/>
                <w:color w:val="auto"/>
                <w:sz w:val="24"/>
                <w:szCs w:val="24"/>
                <w:highlight w:val="none"/>
                <w:lang w:val="en-US" w:eastAsia="zh-CN"/>
              </w:rPr>
              <w:t>t/a</w:t>
            </w:r>
            <w:r>
              <w:rPr>
                <w:rFonts w:hint="eastAsia" w:ascii="Times New Roman" w:cs="Times New Roman"/>
                <w:b w:val="0"/>
                <w:bCs w:val="0"/>
                <w:color w:val="auto"/>
                <w:sz w:val="24"/>
                <w:szCs w:val="24"/>
                <w:highlight w:val="none"/>
                <w:lang w:val="en-US" w:eastAsia="zh-CN"/>
              </w:rPr>
              <w:t>（全年工作天数为5天）。</w:t>
            </w:r>
            <w:r>
              <w:rPr>
                <w:rFonts w:hint="eastAsia" w:ascii="Times New Roman" w:cs="Times New Roman"/>
                <w:b w:val="0"/>
                <w:bCs w:val="0"/>
                <w:color w:val="auto"/>
                <w:sz w:val="24"/>
                <w:szCs w:val="24"/>
                <w:lang w:val="en-US" w:eastAsia="zh-CN"/>
              </w:rPr>
              <w:t>精炼生产线换热/加热、酸化、离心分离、水洗、真空干燥、吸附脱色、过滤、油油换热、真空脱臭、精滤等工序与图2.2描述的生产工艺流程相同，本评价不再进行赘述。</w:t>
            </w:r>
          </w:p>
          <w:p w14:paraId="34A5BE3B">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color w:val="auto"/>
                <w:sz w:val="24"/>
                <w:szCs w:val="24"/>
                <w:lang w:eastAsia="zh-CN"/>
              </w:rPr>
              <w:t>碱炼脱酸工序的与图</w:t>
            </w:r>
            <w:r>
              <w:rPr>
                <w:rFonts w:hint="default" w:ascii="Times New Roman" w:hAnsi="Times New Roman" w:cs="Times New Roman"/>
                <w:color w:val="auto"/>
                <w:sz w:val="24"/>
                <w:szCs w:val="24"/>
                <w:lang w:val="en-US" w:eastAsia="zh-CN"/>
              </w:rPr>
              <w:t>2.2描述的</w:t>
            </w:r>
            <w:r>
              <w:rPr>
                <w:rFonts w:hint="default" w:ascii="Times New Roman" w:hAnsi="Times New Roman" w:cs="Times New Roman"/>
                <w:color w:val="auto"/>
                <w:sz w:val="24"/>
                <w:szCs w:val="24"/>
                <w:lang w:eastAsia="zh-CN"/>
              </w:rPr>
              <w:t>碱炼脱酸工序基本相同，但由于磷脂分线的加入，技改完成后</w:t>
            </w:r>
            <w:r>
              <w:rPr>
                <w:rFonts w:hint="eastAsia" w:ascii="Times New Roman" w:cs="Times New Roman"/>
                <w:color w:val="auto"/>
                <w:sz w:val="24"/>
                <w:szCs w:val="24"/>
                <w:lang w:eastAsia="zh-CN"/>
              </w:rPr>
              <w:t>该</w:t>
            </w:r>
            <w:r>
              <w:rPr>
                <w:rFonts w:hint="default" w:ascii="Times New Roman" w:hAnsi="Times New Roman" w:cs="Times New Roman"/>
                <w:color w:val="auto"/>
                <w:sz w:val="24"/>
                <w:szCs w:val="24"/>
                <w:lang w:eastAsia="zh-CN"/>
              </w:rPr>
              <w:t>工序单位原料的液碱投加量将减少，现有工程的液碱的投加量为</w:t>
            </w:r>
            <w:r>
              <w:rPr>
                <w:rFonts w:hint="default" w:ascii="Times New Roman" w:hAnsi="Times New Roman" w:cs="Times New Roman"/>
                <w:color w:val="auto"/>
                <w:sz w:val="24"/>
                <w:szCs w:val="24"/>
                <w:lang w:val="en-US" w:eastAsia="zh-CN"/>
              </w:rPr>
              <w:t>3.5kg/t-原料，技改完成后的液碱投加量为3.25kg/t-原料。</w:t>
            </w:r>
          </w:p>
          <w:p w14:paraId="7017D7E9">
            <w:pPr>
              <w:pStyle w:val="4"/>
              <w:ind w:left="0" w:leftChars="0" w:firstLine="0" w:firstLineChars="0"/>
              <w:jc w:val="center"/>
              <w:rPr>
                <w:rFonts w:hint="eastAsia"/>
                <w:color w:val="auto"/>
                <w:lang w:val="en-US" w:eastAsia="zh-CN"/>
              </w:rPr>
            </w:pPr>
            <w:r>
              <w:rPr>
                <w:rFonts w:hint="eastAsia"/>
                <w:color w:val="auto"/>
                <w:lang w:val="en-US" w:eastAsia="zh-CN"/>
              </w:rPr>
              <w:object>
                <v:shape id="_x0000_i1031" o:spt="75" type="#_x0000_t75" style="height:106.2pt;width:389.7pt;" o:ole="t" filled="f" o:preferrelative="t" stroked="f" coordsize="21600,21600">
                  <v:path/>
                  <v:fill on="f" focussize="0,0"/>
                  <v:stroke on="f"/>
                  <v:imagedata r:id="rId23" o:title=""/>
                  <o:lock v:ext="edit" aspectratio="f"/>
                  <w10:wrap type="none"/>
                  <w10:anchorlock/>
                </v:shape>
                <o:OLEObject Type="Embed" ProgID="Visio.Drawing.11" ShapeID="_x0000_i1031" DrawAspect="Content" ObjectID="_1468075731" r:id="rId22">
                  <o:LockedField>false</o:LockedField>
                </o:OLEObject>
              </w:object>
            </w:r>
          </w:p>
          <w:p w14:paraId="777FDAFE">
            <w:pPr>
              <w:pStyle w:val="4"/>
              <w:ind w:left="0" w:leftChars="0" w:firstLine="0" w:firstLineChars="0"/>
              <w:jc w:val="center"/>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图2.</w:t>
            </w:r>
            <w:r>
              <w:rPr>
                <w:rFonts w:hint="eastAsia" w:ascii="Times New Roman" w:hAnsi="Times New Roman" w:cs="Times New Roman"/>
                <w:b w:val="0"/>
                <w:bCs w:val="0"/>
                <w:color w:val="auto"/>
                <w:sz w:val="24"/>
                <w:szCs w:val="24"/>
                <w:lang w:val="en-US" w:eastAsia="zh-CN"/>
              </w:rPr>
              <w:t>7</w:t>
            </w:r>
            <w:r>
              <w:rPr>
                <w:rFonts w:hint="default" w:ascii="Times New Roman" w:hAnsi="Times New Roman" w:cs="Times New Roman"/>
                <w:b w:val="0"/>
                <w:bCs w:val="0"/>
                <w:color w:val="auto"/>
                <w:sz w:val="24"/>
                <w:szCs w:val="24"/>
                <w:lang w:val="en-US" w:eastAsia="zh-CN"/>
              </w:rPr>
              <w:t xml:space="preserve"> 溶剂气体回收工艺</w:t>
            </w:r>
            <w:r>
              <w:rPr>
                <w:rFonts w:hint="eastAsia" w:ascii="Times New Roman" w:hAnsi="Times New Roman" w:cs="Times New Roman"/>
                <w:b w:val="0"/>
                <w:bCs w:val="0"/>
                <w:color w:val="auto"/>
                <w:sz w:val="24"/>
                <w:szCs w:val="24"/>
                <w:lang w:val="en-US" w:eastAsia="zh-CN"/>
              </w:rPr>
              <w:t>流程</w:t>
            </w:r>
            <w:r>
              <w:rPr>
                <w:rFonts w:hint="default" w:ascii="Times New Roman" w:hAnsi="Times New Roman" w:cs="Times New Roman"/>
                <w:b w:val="0"/>
                <w:bCs w:val="0"/>
                <w:color w:val="auto"/>
                <w:sz w:val="24"/>
                <w:szCs w:val="24"/>
                <w:lang w:val="en-US" w:eastAsia="zh-CN"/>
              </w:rPr>
              <w:t>图</w:t>
            </w:r>
          </w:p>
          <w:p w14:paraId="518D8474">
            <w:pPr>
              <w:spacing w:line="360" w:lineRule="auto"/>
              <w:ind w:left="0" w:leftChars="0" w:firstLine="0" w:firstLineChars="0"/>
              <w:jc w:val="both"/>
              <w:rPr>
                <w:rFonts w:hint="eastAsia"/>
                <w:b w:val="0"/>
                <w:bCs w:val="0"/>
                <w:color w:val="auto"/>
                <w:sz w:val="24"/>
                <w:szCs w:val="24"/>
                <w:lang w:val="en-US" w:eastAsia="zh-CN"/>
              </w:rPr>
            </w:pPr>
            <w:r>
              <w:rPr>
                <w:rFonts w:hint="eastAsia"/>
                <w:b w:val="0"/>
                <w:bCs w:val="0"/>
                <w:color w:val="auto"/>
                <w:sz w:val="24"/>
                <w:szCs w:val="24"/>
                <w:lang w:val="en-US" w:eastAsia="zh-CN"/>
              </w:rPr>
              <w:t>工艺流程简介：</w:t>
            </w:r>
          </w:p>
          <w:p w14:paraId="1E6D2E8B">
            <w:pPr>
              <w:pStyle w:val="8"/>
              <w:spacing w:after="0" w:line="360" w:lineRule="auto"/>
              <w:ind w:firstLine="480"/>
              <w:rPr>
                <w:rFonts w:hint="eastAsia"/>
                <w:color w:val="auto"/>
                <w:sz w:val="24"/>
                <w:szCs w:val="24"/>
                <w:lang w:val="en-US" w:eastAsia="zh-CN"/>
              </w:rPr>
            </w:pPr>
            <w:r>
              <w:rPr>
                <w:rFonts w:hint="eastAsia"/>
                <w:color w:val="auto"/>
                <w:sz w:val="24"/>
                <w:szCs w:val="24"/>
              </w:rPr>
              <w:t>从</w:t>
            </w:r>
            <w:r>
              <w:rPr>
                <w:rFonts w:hint="eastAsia"/>
                <w:color w:val="auto"/>
                <w:sz w:val="24"/>
                <w:szCs w:val="24"/>
                <w:lang w:eastAsia="zh-CN"/>
              </w:rPr>
              <w:t>浸出生产线产生的</w:t>
            </w:r>
            <w:r>
              <w:rPr>
                <w:rFonts w:hint="eastAsia"/>
                <w:color w:val="auto"/>
                <w:sz w:val="24"/>
                <w:szCs w:val="24"/>
              </w:rPr>
              <w:t>溶剂气体进入冷凝器冷凝，</w:t>
            </w:r>
            <w:r>
              <w:rPr>
                <w:rFonts w:hint="eastAsia"/>
                <w:color w:val="auto"/>
                <w:sz w:val="24"/>
                <w:szCs w:val="24"/>
                <w:lang w:eastAsia="zh-CN"/>
              </w:rPr>
              <w:t>其产生的</w:t>
            </w:r>
            <w:r>
              <w:rPr>
                <w:rFonts w:hint="eastAsia"/>
                <w:color w:val="auto"/>
                <w:sz w:val="24"/>
                <w:szCs w:val="24"/>
              </w:rPr>
              <w:t>冷凝液</w:t>
            </w:r>
            <w:r>
              <w:rPr>
                <w:color w:val="auto"/>
                <w:sz w:val="24"/>
                <w:szCs w:val="24"/>
              </w:rPr>
              <w:t>进入分水器，在分水器中利用水和溶剂的</w:t>
            </w:r>
            <w:r>
              <w:rPr>
                <w:rFonts w:hint="eastAsia" w:eastAsia="宋体"/>
                <w:color w:val="auto"/>
                <w:sz w:val="24"/>
                <w:szCs w:val="24"/>
                <w:lang w:eastAsia="zh-CN"/>
              </w:rPr>
              <w:t>相互</w:t>
            </w:r>
            <w:r>
              <w:rPr>
                <w:color w:val="auto"/>
                <w:sz w:val="24"/>
                <w:szCs w:val="24"/>
              </w:rPr>
              <w:t>溶解性和比重差异</w:t>
            </w:r>
            <w:r>
              <w:rPr>
                <w:rFonts w:hint="eastAsia" w:eastAsia="宋体"/>
                <w:color w:val="auto"/>
                <w:sz w:val="24"/>
                <w:szCs w:val="24"/>
                <w:lang w:eastAsia="zh-CN"/>
              </w:rPr>
              <w:t>，</w:t>
            </w:r>
            <w:r>
              <w:rPr>
                <w:color w:val="auto"/>
                <w:sz w:val="24"/>
                <w:szCs w:val="24"/>
              </w:rPr>
              <w:t>溶剂和水自动分层,</w:t>
            </w:r>
            <w:r>
              <w:rPr>
                <w:rFonts w:hint="eastAsia"/>
                <w:color w:val="auto"/>
                <w:sz w:val="24"/>
                <w:szCs w:val="24"/>
                <w:lang w:eastAsia="zh-CN"/>
              </w:rPr>
              <w:t>上层</w:t>
            </w:r>
            <w:r>
              <w:rPr>
                <w:color w:val="auto"/>
                <w:sz w:val="24"/>
                <w:szCs w:val="24"/>
              </w:rPr>
              <w:t>溶剂</w:t>
            </w:r>
            <w:r>
              <w:rPr>
                <w:rFonts w:hint="eastAsia"/>
                <w:color w:val="auto"/>
                <w:sz w:val="24"/>
                <w:szCs w:val="24"/>
                <w:lang w:eastAsia="zh-CN"/>
              </w:rPr>
              <w:t>（正己烷）被溶剂泵回收至</w:t>
            </w:r>
            <w:r>
              <w:rPr>
                <w:rFonts w:hint="eastAsia"/>
                <w:color w:val="auto"/>
                <w:sz w:val="24"/>
                <w:szCs w:val="24"/>
              </w:rPr>
              <w:t>溶剂罐</w:t>
            </w:r>
            <w:r>
              <w:rPr>
                <w:rFonts w:hint="eastAsia"/>
                <w:color w:val="auto"/>
                <w:sz w:val="24"/>
                <w:szCs w:val="24"/>
                <w:lang w:eastAsia="zh-CN"/>
              </w:rPr>
              <w:t>中回收利用；下层含溶水被水泵加入到</w:t>
            </w:r>
            <w:r>
              <w:rPr>
                <w:rFonts w:hint="eastAsia"/>
                <w:color w:val="auto"/>
                <w:sz w:val="24"/>
                <w:szCs w:val="24"/>
              </w:rPr>
              <w:t>闪蒸罐</w:t>
            </w:r>
            <w:r>
              <w:rPr>
                <w:rFonts w:hint="eastAsia"/>
                <w:color w:val="auto"/>
                <w:sz w:val="24"/>
                <w:szCs w:val="24"/>
                <w:lang w:eastAsia="zh-CN"/>
              </w:rPr>
              <w:t>利用蒸汽进一步对含溶水中的溶剂（正己烷）进行汽提，水蒸气挟带溶剂（正己烷）再次进入冷凝器中</w:t>
            </w:r>
            <w:r>
              <w:rPr>
                <w:rFonts w:hint="eastAsia"/>
                <w:color w:val="auto"/>
                <w:sz w:val="24"/>
                <w:szCs w:val="24"/>
              </w:rPr>
              <w:t>冷凝</w:t>
            </w:r>
            <w:r>
              <w:rPr>
                <w:rFonts w:hint="eastAsia"/>
                <w:color w:val="auto"/>
                <w:sz w:val="24"/>
                <w:szCs w:val="24"/>
                <w:lang w:eastAsia="zh-CN"/>
              </w:rPr>
              <w:t>，进一步回收溶剂（正己烷）。含溶水中的溶剂（正己烷）经进一步回收后产生的含溶废水</w:t>
            </w:r>
            <w:r>
              <w:rPr>
                <w:rFonts w:hint="eastAsia"/>
                <w:color w:val="auto"/>
                <w:sz w:val="24"/>
                <w:szCs w:val="24"/>
                <w:lang w:val="en-US" w:eastAsia="zh-CN"/>
              </w:rPr>
              <w:t>W3进入厂区污水处理站处理达标后排放。</w:t>
            </w:r>
          </w:p>
          <w:p w14:paraId="1ED3560B">
            <w:pPr>
              <w:pStyle w:val="8"/>
              <w:spacing w:after="0" w:line="360" w:lineRule="auto"/>
              <w:ind w:left="0" w:leftChars="0" w:firstLine="0" w:firstLineChars="0"/>
              <w:jc w:val="center"/>
              <w:rPr>
                <w:rFonts w:hint="eastAsia"/>
                <w:b/>
                <w:bCs/>
                <w:color w:val="auto"/>
                <w:sz w:val="24"/>
                <w:szCs w:val="24"/>
                <w:lang w:val="en-US" w:eastAsia="zh-CN"/>
              </w:rPr>
            </w:pPr>
            <w:r>
              <w:rPr>
                <w:rFonts w:hint="eastAsia"/>
                <w:b/>
                <w:bCs/>
                <w:color w:val="auto"/>
                <w:sz w:val="24"/>
                <w:szCs w:val="24"/>
                <w:lang w:val="en-US" w:eastAsia="zh-CN"/>
              </w:rPr>
              <w:object>
                <v:shape id="_x0000_i1032" o:spt="75" type="#_x0000_t75" style="height:47.6pt;width:391.2pt;" o:ole="t" filled="f" o:preferrelative="t" stroked="f" coordsize="21600,21600">
                  <v:path/>
                  <v:fill on="f" focussize="0,0"/>
                  <v:stroke on="f"/>
                  <v:imagedata r:id="rId25" o:title=""/>
                  <o:lock v:ext="edit" aspectratio="t"/>
                  <w10:wrap type="none"/>
                  <w10:anchorlock/>
                </v:shape>
                <o:OLEObject Type="Embed" ProgID="Visio.Drawing.11" ShapeID="_x0000_i1032" DrawAspect="Content" ObjectID="_1468075732" r:id="rId24">
                  <o:LockedField>false</o:LockedField>
                </o:OLEObject>
              </w:object>
            </w:r>
          </w:p>
          <w:p w14:paraId="0C655614">
            <w:pPr>
              <w:jc w:val="center"/>
              <w:rPr>
                <w:rFonts w:hint="default"/>
                <w:b/>
                <w:bCs/>
                <w:color w:val="auto"/>
                <w:sz w:val="24"/>
                <w:szCs w:val="24"/>
                <w:lang w:val="en-US" w:eastAsia="zh-CN"/>
              </w:rPr>
            </w:pPr>
            <w:r>
              <w:rPr>
                <w:rFonts w:hint="default" w:ascii="Times New Roman" w:hAnsi="Times New Roman" w:cs="Times New Roman"/>
                <w:b w:val="0"/>
                <w:bCs w:val="0"/>
                <w:color w:val="auto"/>
                <w:sz w:val="24"/>
                <w:szCs w:val="24"/>
                <w:lang w:val="en-US" w:eastAsia="zh-CN"/>
              </w:rPr>
              <w:t>图2.</w:t>
            </w:r>
            <w:r>
              <w:rPr>
                <w:rFonts w:hint="eastAsia" w:cs="Times New Roman"/>
                <w:b w:val="0"/>
                <w:bCs w:val="0"/>
                <w:color w:val="auto"/>
                <w:sz w:val="24"/>
                <w:szCs w:val="24"/>
                <w:lang w:val="en-US" w:eastAsia="zh-CN"/>
              </w:rPr>
              <w:t>8</w:t>
            </w:r>
            <w:r>
              <w:rPr>
                <w:rFonts w:hint="default" w:ascii="Times New Roman" w:hAnsi="Times New Roman" w:cs="Times New Roman"/>
                <w:b w:val="0"/>
                <w:bCs w:val="0"/>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罐装生产线</w:t>
            </w:r>
            <w:r>
              <w:rPr>
                <w:rFonts w:hint="default" w:ascii="Times New Roman" w:hAnsi="Times New Roman" w:cs="Times New Roman"/>
                <w:b w:val="0"/>
                <w:bCs w:val="0"/>
                <w:color w:val="auto"/>
                <w:sz w:val="24"/>
                <w:szCs w:val="24"/>
                <w:lang w:val="en-US" w:eastAsia="zh-CN"/>
              </w:rPr>
              <w:t>生产工艺流程图</w:t>
            </w:r>
          </w:p>
          <w:p w14:paraId="135A3B05">
            <w:pPr>
              <w:pStyle w:val="4"/>
              <w:spacing w:line="360" w:lineRule="auto"/>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工艺流程简介：</w:t>
            </w:r>
          </w:p>
          <w:p w14:paraId="6B9CA5E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b w:val="0"/>
                <w:bCs w:val="0"/>
                <w:color w:val="auto"/>
                <w:sz w:val="24"/>
                <w:szCs w:val="24"/>
                <w:lang w:val="en-US" w:eastAsia="zh-CN"/>
              </w:rPr>
              <w:t>精炼车间生产的大豆油一部分作为散装油直接油罐车装载后外售，另一部分大豆油</w:t>
            </w:r>
            <w:r>
              <w:rPr>
                <w:rFonts w:hint="default" w:ascii="Times New Roman" w:hAnsi="Times New Roman" w:eastAsia="宋体" w:cs="Times New Roman"/>
                <w:b w:val="0"/>
                <w:bCs w:val="0"/>
                <w:color w:val="auto"/>
                <w:sz w:val="24"/>
                <w:szCs w:val="24"/>
                <w:lang w:val="en-US" w:eastAsia="zh-CN"/>
              </w:rPr>
              <w:t>则进入包装车间，包装成桶装油后外售。</w:t>
            </w:r>
          </w:p>
          <w:p w14:paraId="764431B1">
            <w:pPr>
              <w:spacing w:line="360" w:lineRule="auto"/>
              <w:ind w:firstLine="480" w:firstLineChars="200"/>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吹瓶：将</w:t>
            </w:r>
            <w:r>
              <w:rPr>
                <w:rFonts w:hint="eastAsia" w:eastAsia="宋体" w:cs="Times New Roman"/>
                <w:b w:val="0"/>
                <w:bCs w:val="0"/>
                <w:color w:val="auto"/>
                <w:sz w:val="24"/>
                <w:szCs w:val="24"/>
                <w:lang w:val="en-US" w:eastAsia="zh-CN"/>
              </w:rPr>
              <w:t>瓶坯</w:t>
            </w:r>
            <w:r>
              <w:rPr>
                <w:rFonts w:hint="default" w:ascii="Times New Roman" w:hAnsi="Times New Roman" w:eastAsia="宋体" w:cs="Times New Roman"/>
                <w:color w:val="auto"/>
                <w:sz w:val="24"/>
                <w:lang w:eastAsia="zh-CN"/>
              </w:rPr>
              <w:t>倒叉在吹瓶机的载具上，</w:t>
            </w:r>
            <w:r>
              <w:rPr>
                <w:rFonts w:hint="eastAsia" w:eastAsia="宋体" w:cs="Times New Roman"/>
                <w:color w:val="auto"/>
                <w:sz w:val="24"/>
                <w:lang w:eastAsia="zh-CN"/>
              </w:rPr>
              <w:t>瓶坯</w:t>
            </w:r>
            <w:r>
              <w:rPr>
                <w:rFonts w:hint="default" w:ascii="Times New Roman" w:hAnsi="Times New Roman" w:eastAsia="宋体" w:cs="Times New Roman"/>
                <w:color w:val="auto"/>
                <w:sz w:val="24"/>
                <w:lang w:eastAsia="zh-CN"/>
              </w:rPr>
              <w:t>通过红外线高温灯管照射使受热</w:t>
            </w:r>
            <w:r>
              <w:rPr>
                <w:rFonts w:hint="eastAsia" w:eastAsia="宋体" w:cs="Times New Roman"/>
                <w:color w:val="auto"/>
                <w:sz w:val="24"/>
                <w:lang w:eastAsia="zh-CN"/>
              </w:rPr>
              <w:t>瓶坯</w:t>
            </w:r>
            <w:r>
              <w:rPr>
                <w:rFonts w:hint="default" w:ascii="Times New Roman" w:hAnsi="Times New Roman" w:eastAsia="宋体" w:cs="Times New Roman"/>
                <w:color w:val="auto"/>
                <w:sz w:val="24"/>
                <w:lang w:eastAsia="zh-CN"/>
              </w:rPr>
              <w:t>软化，</w:t>
            </w:r>
            <w:r>
              <w:rPr>
                <w:rFonts w:hint="eastAsia" w:ascii="Times New Roman" w:hAnsi="Times New Roman" w:eastAsia="宋体" w:cs="Times New Roman"/>
                <w:color w:val="auto"/>
                <w:sz w:val="24"/>
                <w:lang w:eastAsia="zh-CN"/>
              </w:rPr>
              <w:t>然后再向</w:t>
            </w:r>
            <w:r>
              <w:rPr>
                <w:rFonts w:hint="eastAsia" w:eastAsia="宋体" w:cs="Times New Roman"/>
                <w:color w:val="auto"/>
                <w:sz w:val="24"/>
                <w:lang w:eastAsia="zh-CN"/>
              </w:rPr>
              <w:t>瓶坯</w:t>
            </w:r>
            <w:r>
              <w:rPr>
                <w:rFonts w:hint="eastAsia" w:cs="Times New Roman"/>
                <w:color w:val="auto"/>
                <w:sz w:val="24"/>
                <w:lang w:eastAsia="zh-CN"/>
              </w:rPr>
              <w:t>中充入氮气使瓶坯膨胀成桶状</w:t>
            </w:r>
            <w:r>
              <w:rPr>
                <w:rFonts w:hint="eastAsia" w:cs="Times New Roman"/>
                <w:color w:val="auto"/>
                <w:sz w:val="24"/>
                <w:highlight w:val="none"/>
                <w:lang w:eastAsia="zh-CN"/>
              </w:rPr>
              <w:t>。瓶坯</w:t>
            </w:r>
            <w:r>
              <w:rPr>
                <w:rFonts w:hint="default" w:ascii="Times New Roman" w:hAnsi="Times New Roman" w:eastAsia="宋体" w:cs="Times New Roman"/>
                <w:color w:val="auto"/>
                <w:sz w:val="24"/>
                <w:highlight w:val="none"/>
              </w:rPr>
              <w:t>材质为</w:t>
            </w:r>
            <w:r>
              <w:rPr>
                <w:rFonts w:hint="eastAsia" w:eastAsia="宋体" w:cs="Times New Roman"/>
                <w:color w:val="auto"/>
                <w:sz w:val="24"/>
                <w:highlight w:val="none"/>
                <w:lang w:val="en-US" w:eastAsia="zh-CN"/>
              </w:rPr>
              <w:t>PET塑料（</w:t>
            </w:r>
            <w:r>
              <w:rPr>
                <w:rFonts w:hint="default" w:ascii="Times New Roman" w:hAnsi="Times New Roman" w:eastAsia="宋体" w:cs="Times New Roman"/>
                <w:color w:val="auto"/>
                <w:sz w:val="24"/>
                <w:highlight w:val="none"/>
              </w:rPr>
              <w:t>聚对苯二甲酸乙二醇酯树脂</w:t>
            </w:r>
            <w:r>
              <w:rPr>
                <w:rFonts w:hint="eastAsia" w:eastAsia="宋体" w:cs="Times New Roman"/>
                <w:color w:val="auto"/>
                <w:sz w:val="24"/>
                <w:highlight w:val="none"/>
                <w:lang w:val="en-US" w:eastAsia="zh-CN"/>
              </w:rPr>
              <w:t>）</w:t>
            </w:r>
            <w:r>
              <w:rPr>
                <w:rFonts w:hint="default" w:ascii="Times New Roman" w:hAnsi="Times New Roman" w:eastAsia="宋体" w:cs="Times New Roman"/>
                <w:color w:val="auto"/>
                <w:sz w:val="24"/>
                <w:highlight w:val="none"/>
              </w:rPr>
              <w:t>，</w:t>
            </w:r>
            <w:r>
              <w:rPr>
                <w:rFonts w:hint="default" w:ascii="Times New Roman" w:hAnsi="Times New Roman" w:eastAsia="宋体" w:cs="Times New Roman"/>
                <w:color w:val="auto"/>
                <w:sz w:val="24"/>
              </w:rPr>
              <w:t>熔点</w:t>
            </w:r>
            <w:r>
              <w:rPr>
                <w:rFonts w:hint="default" w:ascii="Times New Roman" w:hAnsi="Times New Roman" w:eastAsia="宋体" w:cs="Times New Roman"/>
                <w:color w:val="auto"/>
                <w:sz w:val="24"/>
                <w:lang w:eastAsia="zh-CN"/>
              </w:rPr>
              <w:t>温度为</w:t>
            </w:r>
            <w:r>
              <w:rPr>
                <w:rFonts w:hint="default" w:ascii="Times New Roman" w:hAnsi="Times New Roman" w:eastAsia="宋体" w:cs="Times New Roman"/>
                <w:color w:val="auto"/>
                <w:sz w:val="24"/>
              </w:rPr>
              <w:t>250℃~255℃，吹瓶</w:t>
            </w:r>
            <w:r>
              <w:rPr>
                <w:rFonts w:hint="default" w:ascii="Times New Roman" w:hAnsi="Times New Roman" w:eastAsia="宋体" w:cs="Times New Roman"/>
                <w:color w:val="auto"/>
                <w:sz w:val="24"/>
                <w:lang w:eastAsia="zh-CN"/>
              </w:rPr>
              <w:t>加热</w:t>
            </w:r>
            <w:r>
              <w:rPr>
                <w:rFonts w:hint="default" w:ascii="Times New Roman" w:hAnsi="Times New Roman" w:eastAsia="宋体" w:cs="Times New Roman"/>
                <w:color w:val="auto"/>
                <w:sz w:val="24"/>
              </w:rPr>
              <w:t>温度约为85℃~100℃</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eastAsia="zh-CN"/>
              </w:rPr>
              <w:t>此环节将产生非甲烷总烃</w:t>
            </w:r>
            <w:r>
              <w:rPr>
                <w:rFonts w:hint="eastAsia" w:ascii="Times New Roman" w:hAnsi="Times New Roman" w:eastAsia="宋体" w:cs="Times New Roman"/>
                <w:color w:val="auto"/>
                <w:sz w:val="24"/>
                <w:lang w:val="en-US" w:eastAsia="zh-CN"/>
              </w:rPr>
              <w:t>G20。</w:t>
            </w:r>
          </w:p>
          <w:p w14:paraId="3B856C3D">
            <w:pPr>
              <w:pStyle w:val="8"/>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灌装：</w:t>
            </w:r>
            <w:r>
              <w:rPr>
                <w:rFonts w:hint="eastAsia" w:ascii="Times New Roman" w:hAnsi="Times New Roman" w:cs="Times New Roman"/>
                <w:color w:val="auto"/>
                <w:sz w:val="24"/>
                <w:szCs w:val="24"/>
                <w:lang w:eastAsia="zh-CN"/>
              </w:rPr>
              <w:t>油桶制作完成后</w:t>
            </w:r>
            <w:r>
              <w:rPr>
                <w:rFonts w:hint="default" w:ascii="Times New Roman" w:hAnsi="Times New Roman" w:cs="Times New Roman"/>
                <w:color w:val="auto"/>
                <w:sz w:val="24"/>
                <w:szCs w:val="24"/>
              </w:rPr>
              <w:t>利用灌装机将</w:t>
            </w:r>
            <w:r>
              <w:rPr>
                <w:rFonts w:hint="eastAsia" w:ascii="Times New Roman" w:hAnsi="Times New Roman" w:cs="Times New Roman"/>
                <w:color w:val="auto"/>
                <w:sz w:val="24"/>
                <w:szCs w:val="24"/>
                <w:lang w:eastAsia="zh-CN"/>
              </w:rPr>
              <w:t>大豆油</w:t>
            </w:r>
            <w:r>
              <w:rPr>
                <w:rFonts w:hint="default" w:ascii="Times New Roman" w:hAnsi="Times New Roman" w:cs="Times New Roman"/>
                <w:color w:val="auto"/>
                <w:sz w:val="24"/>
                <w:szCs w:val="24"/>
              </w:rPr>
              <w:t>灌装至</w:t>
            </w:r>
            <w:r>
              <w:rPr>
                <w:rFonts w:hint="eastAsia" w:ascii="Times New Roman" w:hAnsi="Times New Roman" w:cs="Times New Roman"/>
                <w:color w:val="auto"/>
                <w:sz w:val="24"/>
                <w:szCs w:val="24"/>
                <w:lang w:eastAsia="zh-CN"/>
              </w:rPr>
              <w:t>包装桶</w:t>
            </w:r>
            <w:r>
              <w:rPr>
                <w:rFonts w:hint="default" w:ascii="Times New Roman" w:hAnsi="Times New Roman" w:cs="Times New Roman"/>
                <w:color w:val="auto"/>
                <w:sz w:val="24"/>
                <w:szCs w:val="24"/>
              </w:rPr>
              <w:t>中。</w:t>
            </w:r>
          </w:p>
          <w:p w14:paraId="420D2B74">
            <w:pPr>
              <w:pStyle w:val="8"/>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压盖及喷码：利用压盖机为灌装好的包装瓶压盖密封，并喷码标明原料产地及生产时间。</w:t>
            </w:r>
          </w:p>
          <w:p w14:paraId="212B4B60">
            <w:pPr>
              <w:pStyle w:val="8"/>
              <w:spacing w:after="0" w:line="360" w:lineRule="auto"/>
              <w:ind w:firstLine="480" w:firstLineChars="200"/>
              <w:rPr>
                <w:rFonts w:hint="eastAsia"/>
                <w:b w:val="0"/>
                <w:bCs w:val="0"/>
                <w:color w:val="auto"/>
                <w:sz w:val="24"/>
                <w:szCs w:val="24"/>
                <w:lang w:val="en-US" w:eastAsia="zh-CN"/>
              </w:rPr>
            </w:pPr>
            <w:r>
              <w:rPr>
                <w:rFonts w:hint="default" w:ascii="Times New Roman" w:hAnsi="Times New Roman" w:cs="Times New Roman"/>
                <w:color w:val="auto"/>
                <w:sz w:val="24"/>
                <w:szCs w:val="24"/>
              </w:rPr>
              <w:t>装箱、码垛及入库：装箱机将包装瓶装箱后、检测、码垛，并入库。</w:t>
            </w:r>
          </w:p>
          <w:p w14:paraId="2E58DF45">
            <w:pPr>
              <w:pStyle w:val="4"/>
              <w:spacing w:line="360" w:lineRule="auto"/>
              <w:ind w:left="0" w:leftChars="0" w:firstLine="0" w:firstLineChars="0"/>
              <w:jc w:val="center"/>
              <w:rPr>
                <w:rFonts w:hint="eastAsia"/>
                <w:b w:val="0"/>
                <w:bCs w:val="0"/>
                <w:color w:val="auto"/>
                <w:sz w:val="24"/>
                <w:szCs w:val="24"/>
                <w:lang w:val="en-US" w:eastAsia="zh-CN"/>
              </w:rPr>
            </w:pPr>
            <w:r>
              <w:rPr>
                <w:rFonts w:hint="eastAsia"/>
                <w:b w:val="0"/>
                <w:bCs w:val="0"/>
                <w:color w:val="auto"/>
                <w:sz w:val="24"/>
                <w:szCs w:val="24"/>
                <w:lang w:val="en-US" w:eastAsia="zh-CN"/>
              </w:rPr>
              <w:object>
                <v:shape id="_x0000_i1033" o:spt="75" type="#_x0000_t75" style="height:50.35pt;width:390.45pt;" o:ole="t" filled="f" o:preferrelative="t" stroked="f" coordsize="21600,21600">
                  <v:path/>
                  <v:fill on="f" focussize="0,0"/>
                  <v:stroke on="f"/>
                  <v:imagedata r:id="rId27" o:title=""/>
                  <o:lock v:ext="edit" aspectratio="f"/>
                  <w10:wrap type="none"/>
                  <w10:anchorlock/>
                </v:shape>
                <o:OLEObject Type="Embed" ProgID="Visio.Drawing.11" ShapeID="_x0000_i1033" DrawAspect="Content" ObjectID="_1468075733" r:id="rId26">
                  <o:LockedField>false</o:LockedField>
                </o:OLEObject>
              </w:object>
            </w:r>
          </w:p>
          <w:p w14:paraId="2C5C2BD4">
            <w:pPr>
              <w:spacing w:line="360" w:lineRule="auto"/>
              <w:jc w:val="center"/>
              <w:rPr>
                <w:rFonts w:hint="eastAsia" w:ascii="宋体" w:hAnsi="宋体" w:eastAsia="宋体" w:cs="宋体"/>
                <w:color w:val="auto"/>
                <w:sz w:val="24"/>
                <w:szCs w:val="24"/>
                <w:lang w:val="en-US" w:eastAsia="zh-CN"/>
              </w:rPr>
            </w:pPr>
            <w:r>
              <w:rPr>
                <w:rFonts w:hint="default" w:ascii="Times New Roman" w:hAnsi="Times New Roman" w:eastAsia="宋体" w:cs="Times New Roman"/>
                <w:color w:val="auto"/>
                <w:sz w:val="24"/>
                <w:szCs w:val="24"/>
                <w:lang w:val="en-US" w:eastAsia="zh-CN"/>
              </w:rPr>
              <w:t>图2.</w:t>
            </w:r>
            <w:r>
              <w:rPr>
                <w:rFonts w:hint="eastAsia"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 xml:space="preserve"> </w:t>
            </w:r>
            <w:r>
              <w:rPr>
                <w:rFonts w:hint="eastAsia" w:ascii="宋体" w:hAnsi="宋体" w:eastAsia="宋体" w:cs="宋体"/>
                <w:color w:val="auto"/>
                <w:sz w:val="24"/>
                <w:szCs w:val="24"/>
                <w:lang w:val="en-US" w:eastAsia="zh-CN"/>
              </w:rPr>
              <w:t>制氮系统生产工艺流程图</w:t>
            </w:r>
          </w:p>
          <w:p w14:paraId="52036051">
            <w:pPr>
              <w:spacing w:line="360" w:lineRule="auto"/>
              <w:ind w:left="0" w:leftChars="0" w:firstLine="0" w:firstLineChars="0"/>
              <w:rPr>
                <w:rFonts w:hint="eastAsia"/>
                <w:b w:val="0"/>
                <w:bCs w:val="0"/>
                <w:color w:val="auto"/>
                <w:sz w:val="24"/>
                <w:szCs w:val="24"/>
                <w:lang w:val="en-US" w:eastAsia="zh-CN"/>
              </w:rPr>
            </w:pPr>
            <w:r>
              <w:rPr>
                <w:rFonts w:hint="eastAsia"/>
                <w:b w:val="0"/>
                <w:bCs w:val="0"/>
                <w:color w:val="auto"/>
                <w:sz w:val="24"/>
                <w:szCs w:val="24"/>
                <w:lang w:val="en-US" w:eastAsia="zh-CN"/>
              </w:rPr>
              <w:t>工艺流程简介：</w:t>
            </w:r>
          </w:p>
          <w:p w14:paraId="494F36A5">
            <w:pPr>
              <w:pStyle w:val="8"/>
              <w:keepNext w:val="0"/>
              <w:keepLines w:val="0"/>
              <w:pageBreakBefore w:val="0"/>
              <w:widowControl w:val="0"/>
              <w:kinsoku/>
              <w:wordWrap/>
              <w:overflowPunct/>
              <w:topLinePunct w:val="0"/>
              <w:autoSpaceDE/>
              <w:autoSpaceDN/>
              <w:bidi w:val="0"/>
              <w:adjustRightInd w:val="0"/>
              <w:snapToGrid w:val="0"/>
              <w:spacing w:after="0" w:line="360" w:lineRule="auto"/>
              <w:ind w:firstLine="472" w:firstLineChars="200"/>
              <w:jc w:val="both"/>
              <w:textAlignment w:val="auto"/>
              <w:rPr>
                <w:rFonts w:hint="default" w:ascii="Times New Roman" w:hAnsi="Times New Roman" w:cs="Times New Roman"/>
                <w:color w:val="auto"/>
                <w:spacing w:val="-3"/>
                <w:sz w:val="24"/>
                <w:szCs w:val="24"/>
              </w:rPr>
            </w:pPr>
            <w:r>
              <w:rPr>
                <w:rFonts w:hint="eastAsia" w:ascii="Times New Roman" w:hAnsi="Times New Roman" w:cs="Times New Roman"/>
                <w:color w:val="auto"/>
                <w:spacing w:val="-2"/>
                <w:sz w:val="24"/>
                <w:szCs w:val="24"/>
                <w:lang w:eastAsia="zh-CN"/>
              </w:rPr>
              <w:t>现有工程建有</w:t>
            </w:r>
            <w:r>
              <w:rPr>
                <w:rFonts w:hint="eastAsia" w:ascii="Times New Roman" w:hAnsi="Times New Roman" w:cs="Times New Roman"/>
                <w:color w:val="auto"/>
                <w:spacing w:val="-2"/>
                <w:sz w:val="24"/>
                <w:szCs w:val="24"/>
                <w:lang w:val="en-US" w:eastAsia="zh-CN"/>
              </w:rPr>
              <w:t>1套制氮系统制备包装车间吹瓶工序需要的氮气。</w:t>
            </w:r>
            <w:r>
              <w:rPr>
                <w:rFonts w:hint="default" w:ascii="Times New Roman" w:hAnsi="Times New Roman" w:cs="Times New Roman"/>
                <w:color w:val="auto"/>
                <w:spacing w:val="-2"/>
                <w:sz w:val="24"/>
                <w:szCs w:val="24"/>
              </w:rPr>
              <w:t>制</w:t>
            </w:r>
            <w:r>
              <w:rPr>
                <w:rFonts w:hint="default" w:ascii="Times New Roman" w:hAnsi="Times New Roman" w:cs="Times New Roman"/>
                <w:color w:val="auto"/>
                <w:spacing w:val="-6"/>
                <w:sz w:val="24"/>
                <w:szCs w:val="24"/>
              </w:rPr>
              <w:t>氮装置包括</w:t>
            </w:r>
            <w:r>
              <w:rPr>
                <w:rFonts w:hint="default" w:ascii="Times New Roman" w:hAnsi="Times New Roman" w:eastAsia="Times New Roman" w:cs="Times New Roman"/>
                <w:color w:val="auto"/>
                <w:sz w:val="24"/>
                <w:szCs w:val="24"/>
              </w:rPr>
              <w:t>1</w:t>
            </w:r>
            <w:r>
              <w:rPr>
                <w:rFonts w:hint="default" w:ascii="Times New Roman" w:hAnsi="Times New Roman" w:cs="Times New Roman"/>
                <w:color w:val="auto"/>
                <w:sz w:val="24"/>
                <w:szCs w:val="24"/>
              </w:rPr>
              <w:t>台空压机、</w:t>
            </w:r>
            <w:r>
              <w:rPr>
                <w:rFonts w:hint="default" w:ascii="Times New Roman" w:hAnsi="Times New Roman" w:eastAsia="Times New Roman" w:cs="Times New Roman"/>
                <w:color w:val="auto"/>
                <w:sz w:val="24"/>
                <w:szCs w:val="24"/>
              </w:rPr>
              <w:t>1</w:t>
            </w:r>
            <w:r>
              <w:rPr>
                <w:rFonts w:hint="default" w:ascii="Times New Roman" w:hAnsi="Times New Roman" w:cs="Times New Roman"/>
                <w:color w:val="auto"/>
                <w:sz w:val="24"/>
                <w:szCs w:val="24"/>
              </w:rPr>
              <w:t>台冷却干燥机、</w:t>
            </w:r>
            <w:r>
              <w:rPr>
                <w:rFonts w:hint="default" w:ascii="Times New Roman" w:hAnsi="Times New Roman" w:eastAsia="Times New Roman" w:cs="Times New Roman"/>
                <w:color w:val="auto"/>
                <w:sz w:val="24"/>
                <w:szCs w:val="24"/>
              </w:rPr>
              <w:t>1</w:t>
            </w:r>
            <w:r>
              <w:rPr>
                <w:rFonts w:hint="default" w:ascii="Times New Roman" w:hAnsi="Times New Roman" w:cs="Times New Roman"/>
                <w:color w:val="auto"/>
                <w:spacing w:val="-1"/>
                <w:sz w:val="24"/>
                <w:szCs w:val="24"/>
              </w:rPr>
              <w:t>台制氮机以及相应的储罐及控制系统。氮气生产能力为100</w:t>
            </w:r>
            <w:r>
              <w:rPr>
                <w:rFonts w:hint="eastAsia" w:ascii="Times New Roman" w:hAnsi="Times New Roman" w:cs="Times New Roman"/>
                <w:color w:val="auto"/>
                <w:sz w:val="24"/>
                <w:szCs w:val="24"/>
                <w:lang w:val="en-US" w:eastAsia="zh-CN"/>
              </w:rPr>
              <w:t>m</w:t>
            </w:r>
            <w:r>
              <w:rPr>
                <w:rFonts w:hint="eastAsia" w:ascii="Times New Roman" w:hAnsi="Times New Roman" w:cs="Times New Roman"/>
                <w:color w:val="auto"/>
                <w:sz w:val="24"/>
                <w:szCs w:val="24"/>
                <w:vertAlign w:val="superscript"/>
                <w:lang w:val="en-US" w:eastAsia="zh-CN"/>
              </w:rPr>
              <w:t>3</w:t>
            </w:r>
            <w:r>
              <w:rPr>
                <w:rFonts w:hint="default" w:ascii="Times New Roman" w:hAnsi="Times New Roman" w:eastAsia="Times New Roman" w:cs="Times New Roman"/>
                <w:color w:val="auto"/>
                <w:sz w:val="24"/>
                <w:szCs w:val="24"/>
              </w:rPr>
              <w:t>/</w:t>
            </w:r>
            <w:r>
              <w:rPr>
                <w:rFonts w:hint="eastAsia" w:ascii="Times New Roman" w:hAnsi="Times New Roman" w:eastAsia="宋体" w:cs="Times New Roman"/>
                <w:color w:val="auto"/>
                <w:sz w:val="24"/>
                <w:szCs w:val="24"/>
                <w:lang w:val="en-US" w:eastAsia="zh-CN"/>
              </w:rPr>
              <w:t>h</w:t>
            </w:r>
            <w:r>
              <w:rPr>
                <w:rFonts w:hint="default" w:ascii="Times New Roman" w:hAnsi="Times New Roman" w:cs="Times New Roman"/>
                <w:color w:val="auto"/>
                <w:spacing w:val="-4"/>
                <w:sz w:val="24"/>
                <w:szCs w:val="24"/>
              </w:rPr>
              <w:t>，压力为</w:t>
            </w:r>
            <w:r>
              <w:rPr>
                <w:rFonts w:hint="default" w:ascii="Times New Roman" w:hAnsi="Times New Roman" w:eastAsia="Times New Roman" w:cs="Times New Roman"/>
                <w:color w:val="auto"/>
                <w:sz w:val="24"/>
                <w:szCs w:val="24"/>
              </w:rPr>
              <w:t>0.6Mpa</w:t>
            </w:r>
            <w:r>
              <w:rPr>
                <w:rFonts w:hint="default" w:ascii="Times New Roman" w:hAnsi="Times New Roman" w:cs="Times New Roman"/>
                <w:color w:val="auto"/>
                <w:spacing w:val="-3"/>
                <w:sz w:val="24"/>
                <w:szCs w:val="24"/>
              </w:rPr>
              <w:t>，纯度为</w:t>
            </w:r>
            <w:r>
              <w:rPr>
                <w:rFonts w:hint="default" w:ascii="Times New Roman" w:hAnsi="Times New Roman" w:eastAsia="Times New Roman" w:cs="Times New Roman"/>
                <w:color w:val="auto"/>
                <w:spacing w:val="-3"/>
                <w:sz w:val="24"/>
                <w:szCs w:val="24"/>
              </w:rPr>
              <w:t>99.9%</w:t>
            </w:r>
            <w:r>
              <w:rPr>
                <w:rFonts w:hint="default" w:ascii="Times New Roman" w:hAnsi="Times New Roman" w:cs="Times New Roman"/>
                <w:color w:val="auto"/>
                <w:spacing w:val="-3"/>
                <w:sz w:val="24"/>
                <w:szCs w:val="24"/>
              </w:rPr>
              <w:t>。</w:t>
            </w:r>
          </w:p>
          <w:p w14:paraId="174CB76E">
            <w:pPr>
              <w:pStyle w:val="8"/>
              <w:spacing w:after="0"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制氮装置主要技术为分子筛变压吸附制氮</w:t>
            </w:r>
            <w:r>
              <w:rPr>
                <w:rFonts w:hint="default" w:ascii="Times New Roman" w:hAnsi="Times New Roman" w:eastAsia="Times New Roman" w:cs="Times New Roman"/>
                <w:color w:val="auto"/>
                <w:sz w:val="24"/>
                <w:szCs w:val="24"/>
              </w:rPr>
              <w:t>(PSA)</w:t>
            </w:r>
            <w:r>
              <w:rPr>
                <w:rFonts w:hint="default" w:ascii="Times New Roman" w:hAnsi="Times New Roman" w:cs="Times New Roman"/>
                <w:color w:val="auto"/>
                <w:spacing w:val="-2"/>
                <w:sz w:val="24"/>
                <w:szCs w:val="24"/>
              </w:rPr>
              <w:t>工艺，属于纯物理法制氮工艺。主要</w:t>
            </w:r>
            <w:r>
              <w:rPr>
                <w:rFonts w:hint="default" w:ascii="Times New Roman" w:hAnsi="Times New Roman" w:cs="Times New Roman"/>
                <w:color w:val="auto"/>
                <w:spacing w:val="-10"/>
                <w:sz w:val="24"/>
                <w:szCs w:val="24"/>
              </w:rPr>
              <w:t>原理是：空气经空压机压缩至</w:t>
            </w:r>
            <w:r>
              <w:rPr>
                <w:rFonts w:hint="default" w:ascii="Times New Roman" w:hAnsi="Times New Roman" w:eastAsia="Times New Roman" w:cs="Times New Roman"/>
                <w:color w:val="auto"/>
                <w:sz w:val="24"/>
                <w:szCs w:val="24"/>
              </w:rPr>
              <w:t>0.7~0.75Mpa</w:t>
            </w:r>
            <w:r>
              <w:rPr>
                <w:rFonts w:hint="default" w:ascii="Times New Roman" w:hAnsi="Times New Roman" w:cs="Times New Roman"/>
                <w:color w:val="auto"/>
                <w:spacing w:val="-1"/>
                <w:sz w:val="24"/>
                <w:szCs w:val="24"/>
              </w:rPr>
              <w:t>，空压机在运行过程中产生设备噪声，再经过冷却干燥机中空气滤芯净化处理，</w:t>
            </w:r>
            <w:r>
              <w:rPr>
                <w:rFonts w:hint="default" w:ascii="Times New Roman" w:hAnsi="Times New Roman" w:cs="Times New Roman"/>
                <w:color w:val="auto"/>
                <w:sz w:val="24"/>
                <w:szCs w:val="24"/>
              </w:rPr>
              <w:t>除去压缩空气中的</w:t>
            </w:r>
            <w:r>
              <w:rPr>
                <w:rFonts w:hint="default" w:ascii="Times New Roman" w:hAnsi="Times New Roman" w:cs="Times New Roman"/>
                <w:color w:val="auto"/>
                <w:sz w:val="24"/>
                <w:szCs w:val="24"/>
                <w:lang w:eastAsia="zh-CN"/>
              </w:rPr>
              <w:t>颗粒物</w:t>
            </w:r>
            <w:r>
              <w:rPr>
                <w:rFonts w:hint="default" w:ascii="Times New Roman" w:hAnsi="Times New Roman" w:cs="Times New Roman"/>
                <w:color w:val="auto"/>
                <w:sz w:val="24"/>
                <w:szCs w:val="24"/>
              </w:rPr>
              <w:t>颗粒和含水，</w:t>
            </w:r>
            <w:r>
              <w:rPr>
                <w:rFonts w:hint="eastAsia" w:ascii="Times New Roman" w:hAnsi="Times New Roman" w:cs="Times New Roman"/>
                <w:color w:val="auto"/>
                <w:sz w:val="24"/>
                <w:szCs w:val="24"/>
                <w:lang w:eastAsia="zh-CN"/>
              </w:rPr>
              <w:t>制备</w:t>
            </w:r>
            <w:r>
              <w:rPr>
                <w:rFonts w:hint="default" w:ascii="Times New Roman" w:hAnsi="Times New Roman" w:cs="Times New Roman"/>
                <w:color w:val="auto"/>
                <w:sz w:val="24"/>
                <w:szCs w:val="24"/>
              </w:rPr>
              <w:t>过程中会产生空气冷凝水W</w:t>
            </w:r>
            <w:r>
              <w:rPr>
                <w:rFonts w:hint="eastAsia" w:eastAsia="宋体" w:cs="Times New Roman"/>
                <w:color w:val="auto"/>
                <w:sz w:val="24"/>
                <w:szCs w:val="24"/>
                <w:lang w:val="en-US" w:eastAsia="zh-CN"/>
              </w:rPr>
              <w:t>4</w:t>
            </w:r>
            <w:r>
              <w:rPr>
                <w:rFonts w:hint="default" w:ascii="Times New Roman" w:hAnsi="Times New Roman" w:cs="Times New Roman"/>
                <w:color w:val="auto"/>
                <w:sz w:val="24"/>
                <w:szCs w:val="24"/>
              </w:rPr>
              <w:t>和废空气滤芯S</w:t>
            </w:r>
            <w:r>
              <w:rPr>
                <w:rFonts w:hint="eastAsia" w:cs="Times New Roman"/>
                <w:color w:val="auto"/>
                <w:sz w:val="24"/>
                <w:szCs w:val="24"/>
                <w:lang w:val="en-US" w:eastAsia="zh-CN"/>
              </w:rPr>
              <w:t>6</w:t>
            </w:r>
            <w:r>
              <w:rPr>
                <w:rFonts w:hint="eastAsia" w:eastAsia="宋体" w:cs="Times New Roman"/>
                <w:color w:val="auto"/>
                <w:spacing w:val="-1"/>
                <w:sz w:val="24"/>
                <w:szCs w:val="24"/>
                <w:lang w:eastAsia="zh-CN"/>
              </w:rPr>
              <w:t>，</w:t>
            </w:r>
            <w:r>
              <w:rPr>
                <w:rFonts w:hint="default" w:ascii="Times New Roman" w:hAnsi="Times New Roman" w:cs="Times New Roman"/>
                <w:color w:val="auto"/>
                <w:sz w:val="24"/>
                <w:szCs w:val="24"/>
              </w:rPr>
              <w:t>然后经过活性炭过滤器进一步对空气进行吸附干燥，过滤过程中产生废活性炭S</w:t>
            </w:r>
            <w:r>
              <w:rPr>
                <w:rFonts w:hint="eastAsia" w:cs="Times New Roman"/>
                <w:color w:val="auto"/>
                <w:sz w:val="24"/>
                <w:szCs w:val="24"/>
                <w:lang w:val="en-US" w:eastAsia="zh-CN"/>
              </w:rPr>
              <w:t>7</w:t>
            </w:r>
            <w:r>
              <w:rPr>
                <w:rFonts w:hint="default" w:ascii="Times New Roman" w:hAnsi="Times New Roman" w:cs="Times New Roman"/>
                <w:color w:val="auto"/>
                <w:sz w:val="24"/>
                <w:szCs w:val="24"/>
              </w:rPr>
              <w:t>，</w:t>
            </w:r>
            <w:r>
              <w:rPr>
                <w:rFonts w:hint="default" w:ascii="Times New Roman" w:hAnsi="Times New Roman" w:cs="Times New Roman"/>
                <w:color w:val="auto"/>
                <w:spacing w:val="-3"/>
                <w:sz w:val="24"/>
                <w:szCs w:val="24"/>
              </w:rPr>
              <w:t>经过干燥后的压缩空气最后进入制氮机，在制氮机内，氧气和</w:t>
            </w:r>
            <w:r>
              <w:rPr>
                <w:rFonts w:hint="eastAsia" w:eastAsia="宋体" w:cs="Times New Roman"/>
                <w:color w:val="auto"/>
                <w:spacing w:val="-3"/>
                <w:sz w:val="24"/>
                <w:szCs w:val="24"/>
                <w:lang w:eastAsia="zh-CN"/>
              </w:rPr>
              <w:t>其他气体</w:t>
            </w:r>
            <w:r>
              <w:rPr>
                <w:rFonts w:hint="default" w:ascii="Times New Roman" w:hAnsi="Times New Roman" w:cs="Times New Roman"/>
                <w:color w:val="auto"/>
                <w:spacing w:val="-3"/>
                <w:sz w:val="24"/>
                <w:szCs w:val="24"/>
              </w:rPr>
              <w:t>被分离出去，在制氮过程中会产生废分子筛S</w:t>
            </w:r>
            <w:r>
              <w:rPr>
                <w:rFonts w:hint="eastAsia" w:eastAsia="宋体" w:cs="Times New Roman"/>
                <w:color w:val="auto"/>
                <w:spacing w:val="-3"/>
                <w:sz w:val="24"/>
                <w:szCs w:val="24"/>
                <w:lang w:val="en-US" w:eastAsia="zh-CN"/>
              </w:rPr>
              <w:t>8</w:t>
            </w:r>
            <w:r>
              <w:rPr>
                <w:rFonts w:hint="default" w:ascii="Times New Roman" w:hAnsi="Times New Roman" w:cs="Times New Roman"/>
                <w:color w:val="auto"/>
                <w:spacing w:val="-3"/>
                <w:sz w:val="24"/>
                <w:szCs w:val="24"/>
              </w:rPr>
              <w:t>，氮气</w:t>
            </w:r>
            <w:r>
              <w:rPr>
                <w:rFonts w:hint="default" w:ascii="Times New Roman" w:hAnsi="Times New Roman" w:cs="Times New Roman"/>
                <w:color w:val="auto"/>
                <w:spacing w:val="-2"/>
                <w:sz w:val="24"/>
                <w:szCs w:val="24"/>
              </w:rPr>
              <w:t>进入储气罐，供用罐区和包装车间使用</w:t>
            </w:r>
            <w:r>
              <w:rPr>
                <w:rFonts w:hint="default" w:ascii="Times New Roman" w:hAnsi="Times New Roman" w:cs="Times New Roman"/>
                <w:color w:val="auto"/>
                <w:sz w:val="24"/>
                <w:szCs w:val="24"/>
              </w:rPr>
              <w:t>。</w:t>
            </w:r>
          </w:p>
          <w:p w14:paraId="45CF62DE">
            <w:pPr>
              <w:pStyle w:val="8"/>
              <w:spacing w:after="0" w:line="360" w:lineRule="auto"/>
              <w:ind w:firstLine="428" w:firstLineChars="200"/>
              <w:rPr>
                <w:rFonts w:hint="default" w:ascii="Times New Roman" w:hAnsi="Times New Roman" w:cs="Times New Roman"/>
                <w:color w:val="auto"/>
              </w:rPr>
            </w:pPr>
            <w:r>
              <w:rPr>
                <w:rFonts w:hint="default" w:ascii="Times New Roman" w:hAnsi="Times New Roman" w:cs="Times New Roman"/>
                <w:color w:val="auto"/>
                <w:spacing w:val="-13"/>
                <w:sz w:val="24"/>
                <w:szCs w:val="24"/>
              </w:rPr>
              <w:t>制氮机有</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z w:val="24"/>
                <w:szCs w:val="24"/>
              </w:rPr>
              <w:t>、</w:t>
            </w:r>
            <w:r>
              <w:rPr>
                <w:rFonts w:hint="default" w:ascii="Times New Roman" w:hAnsi="Times New Roman" w:eastAsia="Times New Roman" w:cs="Times New Roman"/>
                <w:color w:val="auto"/>
                <w:sz w:val="24"/>
                <w:szCs w:val="24"/>
              </w:rPr>
              <w:t>B</w:t>
            </w:r>
            <w:r>
              <w:rPr>
                <w:rFonts w:hint="default" w:ascii="Times New Roman" w:hAnsi="Times New Roman" w:cs="Times New Roman"/>
                <w:color w:val="auto"/>
                <w:sz w:val="24"/>
                <w:szCs w:val="24"/>
              </w:rPr>
              <w:t>两个</w:t>
            </w:r>
            <w:r>
              <w:rPr>
                <w:rFonts w:hint="eastAsia" w:ascii="Times New Roman" w:hAnsi="Times New Roman" w:cs="Times New Roman"/>
                <w:color w:val="auto"/>
                <w:sz w:val="24"/>
                <w:szCs w:val="24"/>
                <w:lang w:eastAsia="zh-CN"/>
              </w:rPr>
              <w:t>吸附</w:t>
            </w:r>
            <w:r>
              <w:rPr>
                <w:rFonts w:hint="default" w:ascii="Times New Roman" w:hAnsi="Times New Roman" w:cs="Times New Roman"/>
                <w:color w:val="auto"/>
                <w:sz w:val="24"/>
                <w:szCs w:val="24"/>
              </w:rPr>
              <w:t>塔，塔内装填有碳分子筛（</w:t>
            </w:r>
            <w:r>
              <w:rPr>
                <w:rFonts w:hint="default" w:ascii="Times New Roman" w:hAnsi="Times New Roman" w:eastAsia="Times New Roman" w:cs="Times New Roman"/>
                <w:color w:val="auto"/>
                <w:sz w:val="24"/>
                <w:szCs w:val="24"/>
              </w:rPr>
              <w:t>CMS</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pacing w:val="-2"/>
                <w:sz w:val="24"/>
                <w:szCs w:val="24"/>
              </w:rPr>
              <w:t>压</w:t>
            </w:r>
            <w:r>
              <w:rPr>
                <w:rFonts w:hint="default" w:ascii="Times New Roman" w:hAnsi="Times New Roman" w:cs="Times New Roman"/>
                <w:color w:val="auto"/>
                <w:spacing w:val="-10"/>
                <w:sz w:val="24"/>
                <w:szCs w:val="24"/>
              </w:rPr>
              <w:t>缩空气由下至上流经吸附塔，其间氧气分子在碳分子筛表面吸附，氮气由吸附塔上端流出，</w:t>
            </w:r>
            <w:r>
              <w:rPr>
                <w:rFonts w:hint="default" w:ascii="Times New Roman" w:hAnsi="Times New Roman" w:cs="Times New Roman"/>
                <w:color w:val="auto"/>
                <w:spacing w:val="-3"/>
                <w:sz w:val="24"/>
                <w:szCs w:val="24"/>
              </w:rPr>
              <w:t>进入一个缓冲罐。经一段时间后，吸附塔中碳分子筛被所吸附的氧饱和，需进行再生。再生是通过停止吸附步骤，降低吸附塔的压力来实现的。</w:t>
            </w:r>
            <w:r>
              <w:rPr>
                <w:rFonts w:hint="default" w:ascii="Times New Roman" w:hAnsi="Times New Roman" w:eastAsia="Times New Roman" w:cs="Times New Roman"/>
                <w:color w:val="auto"/>
                <w:spacing w:val="-3"/>
                <w:sz w:val="24"/>
                <w:szCs w:val="24"/>
              </w:rPr>
              <w:t>A</w:t>
            </w:r>
            <w:r>
              <w:rPr>
                <w:rFonts w:hint="default" w:ascii="Times New Roman" w:hAnsi="Times New Roman" w:cs="Times New Roman"/>
                <w:color w:val="auto"/>
                <w:spacing w:val="-3"/>
                <w:sz w:val="24"/>
                <w:szCs w:val="24"/>
              </w:rPr>
              <w:t>、</w:t>
            </w:r>
            <w:r>
              <w:rPr>
                <w:rFonts w:hint="default" w:ascii="Times New Roman" w:hAnsi="Times New Roman" w:eastAsia="Times New Roman" w:cs="Times New Roman"/>
                <w:color w:val="auto"/>
                <w:spacing w:val="-3"/>
                <w:sz w:val="24"/>
                <w:szCs w:val="24"/>
              </w:rPr>
              <w:t>B</w:t>
            </w:r>
            <w:r>
              <w:rPr>
                <w:rFonts w:hint="default" w:ascii="Times New Roman" w:hAnsi="Times New Roman" w:cs="Times New Roman"/>
                <w:color w:val="auto"/>
                <w:sz w:val="24"/>
                <w:szCs w:val="24"/>
              </w:rPr>
              <w:t>两个吸附塔交替进行吸附和</w:t>
            </w:r>
            <w:r>
              <w:rPr>
                <w:rFonts w:hint="default" w:ascii="Times New Roman" w:hAnsi="Times New Roman" w:cs="Times New Roman"/>
                <w:color w:val="auto"/>
                <w:spacing w:val="-9"/>
                <w:sz w:val="24"/>
                <w:szCs w:val="24"/>
              </w:rPr>
              <w:t>再生，从而确保氮气的连续输出，此工序会产生噪声和废碳分子筛</w:t>
            </w:r>
            <w:r>
              <w:rPr>
                <w:rFonts w:hint="default" w:ascii="Times New Roman" w:hAnsi="Times New Roman" w:cs="Times New Roman"/>
                <w:color w:val="auto"/>
                <w:spacing w:val="-6"/>
                <w:sz w:val="24"/>
                <w:szCs w:val="24"/>
              </w:rPr>
              <w:t>。完整的变压吸附包括以下过程：</w:t>
            </w:r>
          </w:p>
          <w:p w14:paraId="0038DC54">
            <w:pPr>
              <w:pStyle w:val="45"/>
              <w:tabs>
                <w:tab w:val="left" w:pos="1720"/>
              </w:tabs>
              <w:spacing w:line="360" w:lineRule="auto"/>
              <w:ind w:firstLine="48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吸附</w:t>
            </w:r>
            <w:r>
              <w:rPr>
                <w:rFonts w:hint="eastAsia" w:ascii="Times New Roman" w:hAnsi="Times New Roman" w:cs="Times New Roman"/>
                <w:color w:val="auto"/>
                <w:sz w:val="24"/>
                <w:szCs w:val="24"/>
                <w:lang w:eastAsia="zh-CN"/>
              </w:rPr>
              <w:t>：</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pacing w:val="-17"/>
                <w:sz w:val="24"/>
                <w:szCs w:val="24"/>
              </w:rPr>
              <w:t>、</w:t>
            </w:r>
            <w:r>
              <w:rPr>
                <w:rFonts w:hint="default" w:ascii="Times New Roman" w:hAnsi="Times New Roman" w:eastAsia="Times New Roman" w:cs="Times New Roman"/>
                <w:color w:val="auto"/>
                <w:sz w:val="24"/>
                <w:szCs w:val="24"/>
              </w:rPr>
              <w:t>B</w:t>
            </w:r>
            <w:r>
              <w:rPr>
                <w:rFonts w:hint="default" w:ascii="Times New Roman" w:hAnsi="Times New Roman" w:cs="Times New Roman"/>
                <w:color w:val="auto"/>
                <w:spacing w:val="-8"/>
                <w:sz w:val="24"/>
                <w:szCs w:val="24"/>
              </w:rPr>
              <w:t>两</w:t>
            </w:r>
            <w:r>
              <w:rPr>
                <w:rFonts w:hint="eastAsia" w:cs="Times New Roman"/>
                <w:color w:val="auto"/>
                <w:spacing w:val="-8"/>
                <w:sz w:val="24"/>
                <w:szCs w:val="24"/>
                <w:lang w:eastAsia="zh-CN"/>
              </w:rPr>
              <w:t>吸附</w:t>
            </w:r>
            <w:r>
              <w:rPr>
                <w:rFonts w:hint="default" w:ascii="Times New Roman" w:hAnsi="Times New Roman" w:cs="Times New Roman"/>
                <w:color w:val="auto"/>
                <w:spacing w:val="-8"/>
                <w:sz w:val="24"/>
                <w:szCs w:val="24"/>
              </w:rPr>
              <w:t>塔</w:t>
            </w:r>
            <w:r>
              <w:rPr>
                <w:rFonts w:hint="eastAsia" w:cs="Times New Roman"/>
                <w:color w:val="auto"/>
                <w:spacing w:val="-8"/>
                <w:sz w:val="24"/>
                <w:szCs w:val="24"/>
                <w:lang w:eastAsia="zh-CN"/>
              </w:rPr>
              <w:t>均装有</w:t>
            </w:r>
            <w:r>
              <w:rPr>
                <w:rFonts w:hint="default" w:ascii="Times New Roman" w:hAnsi="Times New Roman" w:cs="Times New Roman"/>
                <w:color w:val="auto"/>
                <w:spacing w:val="-5"/>
                <w:sz w:val="24"/>
                <w:szCs w:val="24"/>
              </w:rPr>
              <w:t>专用碳分子筛</w:t>
            </w:r>
            <w:r>
              <w:rPr>
                <w:rFonts w:hint="eastAsia" w:cs="Times New Roman"/>
                <w:color w:val="auto"/>
                <w:spacing w:val="-5"/>
                <w:sz w:val="24"/>
                <w:szCs w:val="24"/>
                <w:lang w:eastAsia="zh-CN"/>
              </w:rPr>
              <w:t>，</w:t>
            </w:r>
            <w:r>
              <w:rPr>
                <w:rFonts w:hint="default" w:ascii="Times New Roman" w:hAnsi="Times New Roman" w:cs="Times New Roman"/>
                <w:color w:val="auto"/>
                <w:spacing w:val="-8"/>
                <w:sz w:val="24"/>
                <w:szCs w:val="24"/>
              </w:rPr>
              <w:t>当洁净的压缩空气进入</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pacing w:val="-3"/>
                <w:sz w:val="24"/>
                <w:szCs w:val="24"/>
              </w:rPr>
              <w:t>塔底端经碳分</w:t>
            </w:r>
            <w:r>
              <w:rPr>
                <w:rFonts w:hint="default" w:ascii="Times New Roman" w:hAnsi="Times New Roman" w:cs="Times New Roman"/>
                <w:color w:val="auto"/>
                <w:sz w:val="24"/>
                <w:szCs w:val="24"/>
              </w:rPr>
              <w:t>子筛向出口端流动时，</w:t>
            </w:r>
            <w:r>
              <w:rPr>
                <w:rFonts w:hint="eastAsia" w:ascii="Times New Roman" w:hAnsi="Times New Roman" w:cs="Times New Roman"/>
                <w:color w:val="auto"/>
                <w:sz w:val="24"/>
                <w:szCs w:val="24"/>
                <w:lang w:eastAsia="zh-CN"/>
              </w:rPr>
              <w:t>空气中</w:t>
            </w:r>
            <w:r>
              <w:rPr>
                <w:rFonts w:hint="default" w:ascii="Times New Roman" w:hAnsi="Times New Roman" w:eastAsia="Times New Roman" w:cs="Times New Roman"/>
                <w:color w:val="auto"/>
                <w:sz w:val="24"/>
                <w:szCs w:val="24"/>
              </w:rPr>
              <w:t>O</w:t>
            </w:r>
            <w:r>
              <w:rPr>
                <w:rFonts w:hint="default" w:ascii="Times New Roman" w:hAnsi="Times New Roman" w:eastAsia="Times New Roman" w:cs="Times New Roman"/>
                <w:color w:val="auto"/>
                <w:sz w:val="24"/>
                <w:szCs w:val="24"/>
                <w:vertAlign w:val="subscript"/>
              </w:rPr>
              <w:t>2</w:t>
            </w:r>
            <w:r>
              <w:rPr>
                <w:rFonts w:hint="default" w:ascii="Times New Roman" w:hAnsi="Times New Roman" w:cs="Times New Roman"/>
                <w:color w:val="auto"/>
                <w:sz w:val="24"/>
                <w:szCs w:val="24"/>
              </w:rPr>
              <w:t>、</w:t>
            </w:r>
            <w:r>
              <w:rPr>
                <w:rFonts w:hint="default" w:ascii="Times New Roman" w:hAnsi="Times New Roman" w:eastAsia="Times New Roman" w:cs="Times New Roman"/>
                <w:color w:val="auto"/>
                <w:sz w:val="24"/>
                <w:szCs w:val="24"/>
              </w:rPr>
              <w:t>CO</w:t>
            </w:r>
            <w:r>
              <w:rPr>
                <w:rFonts w:hint="default" w:ascii="Times New Roman" w:hAnsi="Times New Roman" w:eastAsia="Times New Roman" w:cs="Times New Roman"/>
                <w:color w:val="auto"/>
                <w:sz w:val="24"/>
                <w:szCs w:val="24"/>
                <w:vertAlign w:val="subscript"/>
              </w:rPr>
              <w:t>2</w:t>
            </w:r>
            <w:r>
              <w:rPr>
                <w:rFonts w:hint="default" w:ascii="Times New Roman" w:hAnsi="Times New Roman" w:cs="Times New Roman"/>
                <w:color w:val="auto"/>
                <w:spacing w:val="-30"/>
                <w:sz w:val="24"/>
                <w:szCs w:val="24"/>
              </w:rPr>
              <w:t>和</w:t>
            </w:r>
            <w:r>
              <w:rPr>
                <w:rFonts w:hint="default" w:ascii="Times New Roman" w:hAnsi="Times New Roman" w:eastAsia="Times New Roman" w:cs="Times New Roman"/>
                <w:color w:val="auto"/>
                <w:sz w:val="24"/>
                <w:szCs w:val="24"/>
              </w:rPr>
              <w:t>H</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O</w:t>
            </w:r>
            <w:r>
              <w:rPr>
                <w:rFonts w:hint="default" w:ascii="Times New Roman" w:hAnsi="Times New Roman" w:cs="Times New Roman"/>
                <w:color w:val="auto"/>
                <w:sz w:val="24"/>
                <w:szCs w:val="24"/>
              </w:rPr>
              <w:t>被吸附，</w:t>
            </w:r>
            <w:r>
              <w:rPr>
                <w:rFonts w:hint="eastAsia" w:ascii="Times New Roman" w:hAnsi="Times New Roman" w:cs="Times New Roman"/>
                <w:color w:val="auto"/>
                <w:sz w:val="24"/>
                <w:szCs w:val="24"/>
                <w:lang w:eastAsia="zh-CN"/>
              </w:rPr>
              <w:t>空气中的</w:t>
            </w:r>
            <w:r>
              <w:rPr>
                <w:rFonts w:hint="default" w:ascii="Times New Roman" w:hAnsi="Times New Roman" w:cs="Times New Roman"/>
                <w:color w:val="auto"/>
                <w:sz w:val="24"/>
                <w:szCs w:val="24"/>
              </w:rPr>
              <w:t>氮气由吸附塔出口流出。</w:t>
            </w:r>
          </w:p>
          <w:p w14:paraId="7086D1A1">
            <w:pPr>
              <w:pStyle w:val="45"/>
              <w:tabs>
                <w:tab w:val="left" w:pos="1720"/>
              </w:tabs>
              <w:spacing w:line="360" w:lineRule="auto"/>
              <w:ind w:firstLine="48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均压</w:t>
            </w:r>
            <w:r>
              <w:rPr>
                <w:rFonts w:hint="eastAsia" w:ascii="Times New Roman" w:hAnsi="Times New Roman" w:cs="Times New Roman"/>
                <w:color w:val="auto"/>
                <w:sz w:val="24"/>
                <w:szCs w:val="24"/>
                <w:lang w:eastAsia="zh-CN"/>
              </w:rPr>
              <w:t>：</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z w:val="24"/>
                <w:szCs w:val="24"/>
              </w:rPr>
              <w:t>塔</w:t>
            </w:r>
            <w:r>
              <w:rPr>
                <w:rFonts w:hint="eastAsia" w:ascii="Times New Roman" w:hAnsi="Times New Roman" w:cs="Times New Roman"/>
                <w:color w:val="auto"/>
                <w:sz w:val="24"/>
                <w:szCs w:val="24"/>
                <w:lang w:eastAsia="zh-CN"/>
              </w:rPr>
              <w:t>吸附一段时间后</w:t>
            </w:r>
            <w:r>
              <w:rPr>
                <w:rFonts w:hint="default" w:ascii="Times New Roman" w:hAnsi="Times New Roman" w:cs="Times New Roman"/>
                <w:color w:val="auto"/>
                <w:sz w:val="24"/>
                <w:szCs w:val="24"/>
              </w:rPr>
              <w:t>碳分子筛</w:t>
            </w:r>
            <w:r>
              <w:rPr>
                <w:rFonts w:hint="eastAsia" w:ascii="Times New Roman" w:hAnsi="Times New Roman" w:cs="Times New Roman"/>
                <w:color w:val="auto"/>
                <w:sz w:val="24"/>
                <w:szCs w:val="24"/>
                <w:lang w:eastAsia="zh-CN"/>
              </w:rPr>
              <w:t>达到</w:t>
            </w:r>
            <w:r>
              <w:rPr>
                <w:rFonts w:hint="default" w:ascii="Times New Roman" w:hAnsi="Times New Roman" w:cs="Times New Roman"/>
                <w:color w:val="auto"/>
                <w:sz w:val="24"/>
                <w:szCs w:val="24"/>
              </w:rPr>
              <w:t>饱和，</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z w:val="24"/>
                <w:szCs w:val="24"/>
              </w:rPr>
              <w:t>塔自动停止吸</w:t>
            </w:r>
            <w:r>
              <w:rPr>
                <w:rFonts w:hint="default" w:ascii="Times New Roman" w:hAnsi="Times New Roman" w:cs="Times New Roman"/>
                <w:color w:val="auto"/>
                <w:spacing w:val="-22"/>
                <w:sz w:val="24"/>
                <w:szCs w:val="24"/>
              </w:rPr>
              <w:t>附，并对</w:t>
            </w:r>
            <w:r>
              <w:rPr>
                <w:rFonts w:hint="default" w:ascii="Times New Roman" w:hAnsi="Times New Roman" w:eastAsia="Times New Roman" w:cs="Times New Roman"/>
                <w:color w:val="auto"/>
                <w:sz w:val="24"/>
                <w:szCs w:val="24"/>
              </w:rPr>
              <w:t>B</w:t>
            </w:r>
            <w:r>
              <w:rPr>
                <w:rFonts w:hint="default" w:ascii="Times New Roman" w:hAnsi="Times New Roman" w:cs="Times New Roman"/>
                <w:color w:val="auto"/>
                <w:spacing w:val="-7"/>
                <w:sz w:val="24"/>
                <w:szCs w:val="24"/>
              </w:rPr>
              <w:t>塔进行一个短暂的均压过程，从而迅速提高</w:t>
            </w:r>
            <w:r>
              <w:rPr>
                <w:rFonts w:hint="default" w:ascii="Times New Roman" w:hAnsi="Times New Roman" w:eastAsia="Times New Roman" w:cs="Times New Roman"/>
                <w:color w:val="auto"/>
                <w:sz w:val="24"/>
                <w:szCs w:val="24"/>
              </w:rPr>
              <w:t>B</w:t>
            </w:r>
            <w:r>
              <w:rPr>
                <w:rFonts w:hint="default" w:ascii="Times New Roman" w:hAnsi="Times New Roman" w:cs="Times New Roman"/>
                <w:color w:val="auto"/>
                <w:sz w:val="24"/>
                <w:szCs w:val="24"/>
              </w:rPr>
              <w:t>塔压力并达到提高制氮效率的目</w:t>
            </w:r>
            <w:r>
              <w:rPr>
                <w:rFonts w:hint="default" w:ascii="Times New Roman" w:hAnsi="Times New Roman" w:cs="Times New Roman"/>
                <w:color w:val="auto"/>
                <w:spacing w:val="-17"/>
                <w:sz w:val="24"/>
                <w:szCs w:val="24"/>
              </w:rPr>
              <w:t>的。所谓均压，就是将两塔连通，使一只塔</w:t>
            </w:r>
            <w:r>
              <w:rPr>
                <w:rFonts w:hint="default" w:ascii="Times New Roman" w:hAnsi="Times New Roman" w:cs="Times New Roman"/>
                <w:color w:val="auto"/>
                <w:sz w:val="24"/>
                <w:szCs w:val="24"/>
              </w:rPr>
              <w:t>（待解吸塔</w:t>
            </w:r>
            <w:r>
              <w:rPr>
                <w:rFonts w:hint="default" w:ascii="Times New Roman" w:hAnsi="Times New Roman" w:cs="Times New Roman"/>
                <w:color w:val="auto"/>
                <w:spacing w:val="-53"/>
                <w:sz w:val="24"/>
                <w:szCs w:val="24"/>
              </w:rPr>
              <w:t>）</w:t>
            </w:r>
            <w:r>
              <w:rPr>
                <w:rFonts w:hint="default" w:ascii="Times New Roman" w:hAnsi="Times New Roman" w:cs="Times New Roman"/>
                <w:color w:val="auto"/>
                <w:spacing w:val="-6"/>
                <w:sz w:val="24"/>
                <w:szCs w:val="24"/>
              </w:rPr>
              <w:t>的气体流向另一只塔</w:t>
            </w:r>
            <w:r>
              <w:rPr>
                <w:rFonts w:hint="default" w:ascii="Times New Roman" w:hAnsi="Times New Roman" w:cs="Times New Roman"/>
                <w:color w:val="auto"/>
                <w:sz w:val="24"/>
                <w:szCs w:val="24"/>
              </w:rPr>
              <w:t>（待吸附塔</w:t>
            </w:r>
            <w:r>
              <w:rPr>
                <w:rFonts w:hint="default" w:ascii="Times New Roman" w:hAnsi="Times New Roman" w:cs="Times New Roman"/>
                <w:color w:val="auto"/>
                <w:spacing w:val="-36"/>
                <w:sz w:val="24"/>
                <w:szCs w:val="24"/>
              </w:rPr>
              <w:t xml:space="preserve">）， </w:t>
            </w:r>
            <w:r>
              <w:rPr>
                <w:rFonts w:hint="default" w:ascii="Times New Roman" w:hAnsi="Times New Roman" w:cs="Times New Roman"/>
                <w:color w:val="auto"/>
                <w:sz w:val="24"/>
                <w:szCs w:val="24"/>
              </w:rPr>
              <w:t>最终达到两塔的气体压力基本均衡。</w:t>
            </w:r>
          </w:p>
          <w:p w14:paraId="3F2CB601">
            <w:pPr>
              <w:pStyle w:val="45"/>
              <w:tabs>
                <w:tab w:val="left" w:pos="1720"/>
              </w:tabs>
              <w:spacing w:line="360" w:lineRule="auto"/>
              <w:ind w:firstLine="480"/>
              <w:jc w:val="left"/>
              <w:rPr>
                <w:rFonts w:hint="default" w:ascii="Times New Roman" w:hAnsi="Times New Roman" w:cs="Times New Roman"/>
                <w:color w:val="auto"/>
                <w:sz w:val="24"/>
                <w:szCs w:val="24"/>
              </w:rPr>
            </w:pPr>
            <w:r>
              <w:rPr>
                <w:rFonts w:hint="eastAsia" w:ascii="Times New Roman" w:hAnsi="Times New Roman" w:eastAsia="宋体" w:cs="Times New Roman"/>
                <w:color w:val="auto"/>
                <w:sz w:val="24"/>
                <w:szCs w:val="24"/>
                <w:lang w:eastAsia="zh-CN"/>
              </w:rPr>
              <w:t>解析</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均压完成后，</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z w:val="24"/>
                <w:szCs w:val="24"/>
              </w:rPr>
              <w:t>塔通过底端出气口继续排气，将吸附塔迅速下降至常压，从而脱除已吸附的</w:t>
            </w:r>
            <w:r>
              <w:rPr>
                <w:rFonts w:hint="default" w:ascii="Times New Roman" w:hAnsi="Times New Roman" w:eastAsia="Times New Roman" w:cs="Times New Roman"/>
                <w:color w:val="auto"/>
                <w:sz w:val="24"/>
                <w:szCs w:val="24"/>
              </w:rPr>
              <w:t>O</w:t>
            </w:r>
            <w:r>
              <w:rPr>
                <w:rFonts w:hint="default" w:ascii="Times New Roman" w:hAnsi="Times New Roman" w:eastAsia="Times New Roman" w:cs="Times New Roman"/>
                <w:color w:val="auto"/>
                <w:sz w:val="24"/>
                <w:szCs w:val="24"/>
                <w:vertAlign w:val="subscript"/>
              </w:rPr>
              <w:t>2</w:t>
            </w:r>
            <w:r>
              <w:rPr>
                <w:rFonts w:hint="default" w:ascii="Times New Roman" w:hAnsi="Times New Roman" w:cs="Times New Roman"/>
                <w:color w:val="auto"/>
                <w:sz w:val="24"/>
                <w:szCs w:val="24"/>
              </w:rPr>
              <w:t>、</w:t>
            </w:r>
            <w:r>
              <w:rPr>
                <w:rFonts w:hint="default" w:ascii="Times New Roman" w:hAnsi="Times New Roman" w:eastAsia="Times New Roman" w:cs="Times New Roman"/>
                <w:color w:val="auto"/>
                <w:sz w:val="24"/>
                <w:szCs w:val="24"/>
              </w:rPr>
              <w:t>CO</w:t>
            </w:r>
            <w:r>
              <w:rPr>
                <w:rFonts w:hint="default" w:ascii="Times New Roman" w:hAnsi="Times New Roman" w:eastAsia="Times New Roman" w:cs="Times New Roman"/>
                <w:color w:val="auto"/>
                <w:sz w:val="24"/>
                <w:szCs w:val="24"/>
                <w:vertAlign w:val="subscript"/>
              </w:rPr>
              <w:t>2</w:t>
            </w:r>
            <w:r>
              <w:rPr>
                <w:rFonts w:hint="default" w:ascii="Times New Roman" w:hAnsi="Times New Roman" w:cs="Times New Roman"/>
                <w:color w:val="auto"/>
                <w:sz w:val="24"/>
                <w:szCs w:val="24"/>
              </w:rPr>
              <w:t>和</w:t>
            </w:r>
            <w:r>
              <w:rPr>
                <w:rFonts w:hint="default" w:ascii="Times New Roman" w:hAnsi="Times New Roman" w:eastAsia="Times New Roman" w:cs="Times New Roman"/>
                <w:color w:val="auto"/>
                <w:sz w:val="24"/>
                <w:szCs w:val="24"/>
              </w:rPr>
              <w:t>H</w:t>
            </w:r>
            <w:r>
              <w:rPr>
                <w:rFonts w:hint="default" w:ascii="Times New Roman" w:hAnsi="Times New Roman" w:eastAsia="Times New Roman" w:cs="Times New Roman"/>
                <w:color w:val="auto"/>
                <w:sz w:val="24"/>
                <w:szCs w:val="24"/>
                <w:vertAlign w:val="subscript"/>
              </w:rPr>
              <w:t>2</w:t>
            </w:r>
            <w:r>
              <w:rPr>
                <w:rFonts w:hint="default" w:ascii="Times New Roman" w:hAnsi="Times New Roman" w:eastAsia="Times New Roman" w:cs="Times New Roman"/>
                <w:color w:val="auto"/>
                <w:sz w:val="24"/>
                <w:szCs w:val="24"/>
              </w:rPr>
              <w:t>O</w:t>
            </w:r>
            <w:r>
              <w:rPr>
                <w:rFonts w:hint="default" w:ascii="Times New Roman" w:hAnsi="Times New Roman" w:cs="Times New Roman"/>
                <w:color w:val="auto"/>
                <w:sz w:val="24"/>
                <w:szCs w:val="24"/>
              </w:rPr>
              <w:t>，实现分子筛的</w:t>
            </w:r>
            <w:r>
              <w:rPr>
                <w:rFonts w:hint="eastAsia" w:ascii="Times New Roman" w:hAnsi="Times New Roman" w:eastAsia="宋体" w:cs="Times New Roman"/>
                <w:color w:val="auto"/>
                <w:sz w:val="24"/>
                <w:szCs w:val="24"/>
                <w:lang w:eastAsia="zh-CN"/>
              </w:rPr>
              <w:t>解析</w:t>
            </w:r>
            <w:r>
              <w:rPr>
                <w:rFonts w:hint="default" w:ascii="Times New Roman" w:hAnsi="Times New Roman" w:cs="Times New Roman"/>
                <w:color w:val="auto"/>
                <w:sz w:val="24"/>
                <w:szCs w:val="24"/>
              </w:rPr>
              <w:t>再生。</w:t>
            </w:r>
          </w:p>
          <w:p w14:paraId="77D4DE70">
            <w:pPr>
              <w:pStyle w:val="45"/>
              <w:keepNext w:val="0"/>
              <w:keepLines w:val="0"/>
              <w:pageBreakBefore w:val="0"/>
              <w:tabs>
                <w:tab w:val="left" w:pos="1720"/>
              </w:tabs>
              <w:kinsoku/>
              <w:wordWrap/>
              <w:overflowPunct/>
              <w:topLinePunct w:val="0"/>
              <w:autoSpaceDE/>
              <w:autoSpaceDN/>
              <w:bidi w:val="0"/>
              <w:adjustRightInd/>
              <w:snapToGrid w:val="0"/>
              <w:spacing w:line="360" w:lineRule="auto"/>
              <w:ind w:firstLine="480"/>
              <w:jc w:val="both"/>
              <w:textAlignment w:val="auto"/>
              <w:rPr>
                <w:rFonts w:hint="eastAsia"/>
                <w:color w:val="auto"/>
                <w:lang w:val="en-US" w:eastAsia="zh-CN"/>
              </w:rPr>
            </w:pPr>
            <w:r>
              <w:rPr>
                <w:rFonts w:hint="default" w:ascii="Times New Roman" w:hAnsi="Times New Roman" w:cs="Times New Roman"/>
                <w:color w:val="auto"/>
                <w:sz w:val="24"/>
                <w:szCs w:val="24"/>
              </w:rPr>
              <w:t>吹扫</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pacing w:val="-6"/>
                <w:sz w:val="24"/>
                <w:szCs w:val="24"/>
              </w:rPr>
              <w:t>为了使分子筛彻底再生，以氮气缓冲罐内的合格氮气对</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pacing w:val="-5"/>
                <w:sz w:val="24"/>
                <w:szCs w:val="24"/>
              </w:rPr>
              <w:t>塔进行逆流吹扫。当一塔在</w:t>
            </w:r>
            <w:r>
              <w:rPr>
                <w:rFonts w:hint="default" w:ascii="Times New Roman" w:hAnsi="Times New Roman" w:cs="Times New Roman"/>
                <w:color w:val="auto"/>
                <w:sz w:val="24"/>
                <w:szCs w:val="24"/>
              </w:rPr>
              <w:t>吸附产氮时，另一塔同时进行再生（即解吸和吹扫）过程，</w:t>
            </w:r>
            <w:r>
              <w:rPr>
                <w:rFonts w:hint="default" w:ascii="Times New Roman" w:hAnsi="Times New Roman" w:eastAsia="Times New Roman" w:cs="Times New Roman"/>
                <w:color w:val="auto"/>
                <w:sz w:val="24"/>
                <w:szCs w:val="24"/>
              </w:rPr>
              <w:t>A</w:t>
            </w:r>
            <w:r>
              <w:rPr>
                <w:rFonts w:hint="default" w:ascii="Times New Roman" w:hAnsi="Times New Roman" w:cs="Times New Roman"/>
                <w:color w:val="auto"/>
                <w:sz w:val="24"/>
                <w:szCs w:val="24"/>
              </w:rPr>
              <w:t>、</w:t>
            </w:r>
            <w:r>
              <w:rPr>
                <w:rFonts w:hint="default" w:ascii="Times New Roman" w:hAnsi="Times New Roman" w:eastAsia="Times New Roman" w:cs="Times New Roman"/>
                <w:color w:val="auto"/>
                <w:sz w:val="24"/>
                <w:szCs w:val="24"/>
              </w:rPr>
              <w:t>B</w:t>
            </w:r>
            <w:r>
              <w:rPr>
                <w:rFonts w:hint="default" w:ascii="Times New Roman" w:hAnsi="Times New Roman" w:cs="Times New Roman"/>
                <w:color w:val="auto"/>
                <w:sz w:val="24"/>
                <w:szCs w:val="24"/>
              </w:rPr>
              <w:t>两塔交替进行吸附、均</w:t>
            </w:r>
            <w:r>
              <w:rPr>
                <w:rFonts w:hint="default" w:ascii="Times New Roman" w:hAnsi="Times New Roman" w:cs="Times New Roman"/>
                <w:color w:val="auto"/>
                <w:spacing w:val="-11"/>
                <w:sz w:val="24"/>
                <w:szCs w:val="24"/>
              </w:rPr>
              <w:t xml:space="preserve">压和再生，完成氮氧分离，连续输出产品氮气。以上过程都是通过 </w:t>
            </w:r>
            <w:r>
              <w:rPr>
                <w:rFonts w:hint="default" w:ascii="Times New Roman" w:hAnsi="Times New Roman" w:eastAsia="Times New Roman" w:cs="Times New Roman"/>
                <w:color w:val="auto"/>
                <w:sz w:val="24"/>
                <w:szCs w:val="24"/>
              </w:rPr>
              <w:t>PLC</w:t>
            </w:r>
            <w:r>
              <w:rPr>
                <w:rFonts w:hint="default" w:ascii="Times New Roman" w:hAnsi="Times New Roman" w:cs="Times New Roman"/>
                <w:color w:val="auto"/>
                <w:spacing w:val="-2"/>
                <w:sz w:val="24"/>
                <w:szCs w:val="24"/>
              </w:rPr>
              <w:t>控制气动阀门自动</w:t>
            </w:r>
            <w:r>
              <w:rPr>
                <w:rFonts w:hint="default" w:ascii="Times New Roman" w:hAnsi="Times New Roman" w:cs="Times New Roman"/>
                <w:color w:val="auto"/>
                <w:sz w:val="24"/>
                <w:szCs w:val="24"/>
              </w:rPr>
              <w:t>实现。</w:t>
            </w:r>
          </w:p>
          <w:p w14:paraId="0A61B57E">
            <w:pPr>
              <w:keepNext w:val="0"/>
              <w:keepLines w:val="0"/>
              <w:pageBreakBefore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b/>
                <w:bCs/>
                <w:color w:val="auto"/>
                <w:sz w:val="24"/>
                <w:szCs w:val="24"/>
                <w:lang w:val="en-US" w:eastAsia="zh-CN"/>
              </w:rPr>
            </w:pPr>
            <w:r>
              <w:rPr>
                <w:rFonts w:hint="eastAsia"/>
                <w:b/>
                <w:bCs/>
                <w:color w:val="auto"/>
                <w:sz w:val="24"/>
                <w:szCs w:val="24"/>
                <w:lang w:val="en-US" w:eastAsia="zh-CN"/>
              </w:rPr>
              <w:object>
                <v:shape id="_x0000_i1034" o:spt="75" type="#_x0000_t75" style="height:53pt;width:277pt;" o:ole="t" filled="f" o:preferrelative="t" stroked="f" coordsize="21600,21600">
                  <v:path/>
                  <v:fill on="f" focussize="0,0"/>
                  <v:stroke on="f"/>
                  <v:imagedata r:id="rId29" o:title=""/>
                  <o:lock v:ext="edit" aspectratio="f"/>
                  <w10:wrap type="none"/>
                  <w10:anchorlock/>
                </v:shape>
                <o:OLEObject Type="Embed" ProgID="Visio.Drawing.11" ShapeID="_x0000_i1034" DrawAspect="Content" ObjectID="_1468075734" r:id="rId28">
                  <o:LockedField>false</o:LockedField>
                </o:OLEObject>
              </w:object>
            </w:r>
          </w:p>
          <w:p w14:paraId="6442FAA7">
            <w:pPr>
              <w:keepNext w:val="0"/>
              <w:keepLines w:val="0"/>
              <w:pageBreakBefore w:val="0"/>
              <w:kinsoku/>
              <w:wordWrap/>
              <w:overflowPunct/>
              <w:topLinePunct w:val="0"/>
              <w:autoSpaceDE/>
              <w:autoSpaceDN/>
              <w:bidi w:val="0"/>
              <w:adjustRightInd/>
              <w:snapToGrid w:val="0"/>
              <w:spacing w:line="360" w:lineRule="auto"/>
              <w:ind w:left="0" w:leftChars="0" w:firstLine="0" w:firstLineChars="0"/>
              <w:jc w:val="center"/>
              <w:textAlignment w:val="auto"/>
              <w:rPr>
                <w:rFonts w:hint="default"/>
                <w:b w:val="0"/>
                <w:bCs w:val="0"/>
                <w:color w:val="auto"/>
                <w:sz w:val="24"/>
                <w:szCs w:val="24"/>
                <w:lang w:val="en-US" w:eastAsia="zh-CN"/>
              </w:rPr>
            </w:pPr>
            <w:r>
              <w:rPr>
                <w:rFonts w:hint="eastAsia"/>
                <w:b w:val="0"/>
                <w:bCs w:val="0"/>
                <w:color w:val="auto"/>
                <w:sz w:val="24"/>
                <w:szCs w:val="24"/>
                <w:lang w:val="en-US" w:eastAsia="zh-CN"/>
              </w:rPr>
              <w:t>图2.10 大豆提升站生产工艺流程图</w:t>
            </w:r>
          </w:p>
          <w:p w14:paraId="4F0A4D90">
            <w:pPr>
              <w:bidi w:val="0"/>
              <w:ind w:left="0" w:leftChars="0" w:firstLine="0" w:firstLineChars="0"/>
              <w:rPr>
                <w:rFonts w:hint="eastAsia"/>
                <w:color w:val="auto"/>
                <w:lang w:val="en-US" w:eastAsia="zh-CN"/>
              </w:rPr>
            </w:pPr>
            <w:r>
              <w:rPr>
                <w:rFonts w:hint="eastAsia"/>
                <w:color w:val="auto"/>
                <w:lang w:val="en-US" w:eastAsia="zh-CN"/>
              </w:rPr>
              <w:t>工艺流程简介：</w:t>
            </w:r>
          </w:p>
          <w:p w14:paraId="2A451144">
            <w:pPr>
              <w:bidi w:val="0"/>
              <w:rPr>
                <w:rFonts w:hint="eastAsia"/>
                <w:color w:val="auto"/>
                <w:lang w:val="en-US" w:eastAsia="zh-CN"/>
              </w:rPr>
            </w:pPr>
            <w:r>
              <w:rPr>
                <w:rFonts w:hint="eastAsia"/>
                <w:color w:val="auto"/>
                <w:lang w:val="en-US" w:eastAsia="zh-CN"/>
              </w:rPr>
              <w:t>现有工程生产使用的大豆通过厂区码头的大豆提升站输送至大豆筒仓内，再通过刮板运输机进行中转输送至生产线进行生产，大豆在进仓、中转、出仓过程中将产生颗粒物G21。</w:t>
            </w:r>
          </w:p>
          <w:p w14:paraId="69CFCAED">
            <w:pPr>
              <w:pStyle w:val="23"/>
              <w:ind w:left="0" w:leftChars="0" w:firstLine="0" w:firstLineChars="0"/>
              <w:jc w:val="center"/>
              <w:rPr>
                <w:rFonts w:hint="default"/>
                <w:color w:val="auto"/>
                <w:lang w:val="en-US" w:eastAsia="zh-CN"/>
              </w:rPr>
            </w:pPr>
            <w:r>
              <w:rPr>
                <w:rFonts w:hint="default"/>
                <w:color w:val="auto"/>
                <w:lang w:val="en-US" w:eastAsia="zh-CN"/>
              </w:rPr>
              <w:object>
                <v:shape id="_x0000_i1035" o:spt="75" type="#_x0000_t75" style="height:63.6pt;width:207.6pt;" o:ole="t" filled="f" o:preferrelative="t" stroked="f" coordsize="21600,21600">
                  <v:path/>
                  <v:fill on="f" focussize="0,0"/>
                  <v:stroke on="f"/>
                  <v:imagedata r:id="rId31" o:title=""/>
                  <o:lock v:ext="edit" aspectratio="f"/>
                  <w10:wrap type="none"/>
                  <w10:anchorlock/>
                </v:shape>
                <o:OLEObject Type="Embed" ProgID="Visio.Drawing.11" ShapeID="_x0000_i1035" DrawAspect="Content" ObjectID="_1468075735" r:id="rId30">
                  <o:LockedField>false</o:LockedField>
                </o:OLEObject>
              </w:object>
            </w:r>
          </w:p>
          <w:p w14:paraId="084AFF10">
            <w:pPr>
              <w:pStyle w:val="23"/>
              <w:ind w:left="0" w:leftChars="0" w:firstLine="0" w:firstLineChars="0"/>
              <w:jc w:val="center"/>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图2.1</w:t>
            </w:r>
            <w:r>
              <w:rPr>
                <w:rFonts w:hint="eastAsia" w:ascii="Times New Roman" w:cs="Times New Roman"/>
                <w:color w:val="auto"/>
                <w:lang w:val="en-US" w:eastAsia="zh-CN"/>
              </w:rPr>
              <w:t xml:space="preserve">1 </w:t>
            </w:r>
            <w:r>
              <w:rPr>
                <w:rFonts w:hint="default" w:ascii="Times New Roman" w:hAnsi="Times New Roman" w:cs="Times New Roman"/>
                <w:color w:val="auto"/>
                <w:lang w:val="en-US" w:eastAsia="zh-CN"/>
              </w:rPr>
              <w:t>蒸汽锅炉生产工艺流程图</w:t>
            </w:r>
          </w:p>
          <w:p w14:paraId="3F9CB49F">
            <w:pPr>
              <w:bidi w:val="0"/>
              <w:ind w:left="0" w:leftChars="0" w:firstLine="0" w:firstLineChars="0"/>
              <w:rPr>
                <w:rFonts w:hint="eastAsia"/>
                <w:color w:val="auto"/>
                <w:lang w:val="en-US" w:eastAsia="zh-CN"/>
              </w:rPr>
            </w:pPr>
            <w:r>
              <w:rPr>
                <w:rFonts w:hint="eastAsia"/>
                <w:color w:val="auto"/>
                <w:lang w:val="en-US" w:eastAsia="zh-CN"/>
              </w:rPr>
              <w:t>工艺流程简介：</w:t>
            </w:r>
          </w:p>
          <w:p w14:paraId="14E8E71A">
            <w:pPr>
              <w:bidi w:val="0"/>
              <w:rPr>
                <w:rFonts w:hint="eastAsia"/>
                <w:color w:val="auto"/>
                <w:lang w:val="en-US" w:eastAsia="zh-CN"/>
              </w:rPr>
            </w:pPr>
            <w:r>
              <w:rPr>
                <w:rFonts w:hint="eastAsia"/>
                <w:color w:val="auto"/>
                <w:lang w:val="en-US" w:eastAsia="zh-CN"/>
              </w:rPr>
              <w:t>现有工程配备1台蒸汽锅炉为精炼生产线提供蒸汽，蒸汽锅炉使用的能源为天然气，天然气燃烧将产生SO</w:t>
            </w:r>
            <w:r>
              <w:rPr>
                <w:rFonts w:hint="eastAsia"/>
                <w:color w:val="auto"/>
                <w:vertAlign w:val="subscript"/>
                <w:lang w:val="en-US" w:eastAsia="zh-CN"/>
              </w:rPr>
              <w:t>2</w:t>
            </w:r>
            <w:r>
              <w:rPr>
                <w:rFonts w:hint="eastAsia"/>
                <w:color w:val="auto"/>
                <w:lang w:val="en-US" w:eastAsia="zh-CN"/>
              </w:rPr>
              <w:t>、NO</w:t>
            </w:r>
            <w:r>
              <w:rPr>
                <w:rFonts w:hint="eastAsia"/>
                <w:color w:val="auto"/>
                <w:vertAlign w:val="subscript"/>
                <w:lang w:val="en-US" w:eastAsia="zh-CN"/>
              </w:rPr>
              <w:t>X</w:t>
            </w:r>
            <w:r>
              <w:rPr>
                <w:rFonts w:hint="eastAsia"/>
                <w:color w:val="auto"/>
                <w:lang w:val="en-US" w:eastAsia="zh-CN"/>
              </w:rPr>
              <w:t>、颗粒物G22。</w:t>
            </w:r>
          </w:p>
          <w:p w14:paraId="3822A0CB">
            <w:pPr>
              <w:pStyle w:val="23"/>
              <w:ind w:left="0" w:leftChars="0" w:firstLine="0" w:firstLineChars="0"/>
              <w:rPr>
                <w:rFonts w:hint="default"/>
                <w:color w:val="auto"/>
                <w:lang w:val="en-US" w:eastAsia="zh-CN"/>
              </w:rPr>
            </w:pPr>
            <w:r>
              <w:rPr>
                <w:rFonts w:hint="eastAsia"/>
                <w:color w:val="auto"/>
                <w:lang w:val="en-US" w:eastAsia="zh-CN"/>
              </w:rPr>
              <w:t>其他产污环节</w:t>
            </w:r>
          </w:p>
          <w:p w14:paraId="563AD7FD">
            <w:pPr>
              <w:bidi w:val="0"/>
              <w:rPr>
                <w:rFonts w:hint="default"/>
                <w:color w:val="auto"/>
                <w:lang w:val="en-US" w:eastAsia="zh-CN"/>
              </w:rPr>
            </w:pPr>
            <w:r>
              <w:rPr>
                <w:rFonts w:hint="eastAsia"/>
                <w:color w:val="auto"/>
                <w:lang w:val="en-US" w:eastAsia="zh-CN"/>
              </w:rPr>
              <w:t>现有工程浸出生产线浸出、脱溶工序，精炼生产线的脱色、脱臭工序的废气治理设施配备了碱液喷淋塔，碱液喷淋塔将产生喷淋废水W5。</w:t>
            </w:r>
          </w:p>
          <w:p w14:paraId="0A43C346">
            <w:pPr>
              <w:bidi w:val="0"/>
              <w:ind w:left="0" w:leftChars="0" w:firstLine="480" w:firstLineChars="200"/>
              <w:rPr>
                <w:rFonts w:hint="eastAsia" w:ascii="Times New Roman" w:cs="Times New Roman"/>
                <w:color w:val="auto"/>
                <w:sz w:val="24"/>
                <w:szCs w:val="24"/>
                <w:lang w:val="en-US" w:eastAsia="zh-CN"/>
              </w:rPr>
            </w:pPr>
            <w:r>
              <w:rPr>
                <w:rFonts w:hint="eastAsia"/>
                <w:color w:val="auto"/>
                <w:lang w:val="en-US" w:eastAsia="zh-CN"/>
              </w:rPr>
              <w:t>现有工程设有1个品控室，主要从事油品质量的检测实验，</w:t>
            </w:r>
            <w:r>
              <w:rPr>
                <w:rFonts w:hint="eastAsia" w:ascii="Times New Roman" w:eastAsia="宋体" w:cs="Times New Roman"/>
                <w:b w:val="0"/>
                <w:bCs/>
                <w:color w:val="auto"/>
                <w:kern w:val="2"/>
                <w:sz w:val="24"/>
                <w:szCs w:val="24"/>
                <w:lang w:val="en-US" w:eastAsia="zh-CN" w:bidi="ar-SA"/>
              </w:rPr>
              <w:t>品控室</w:t>
            </w:r>
            <w:r>
              <w:rPr>
                <w:rFonts w:hint="default" w:ascii="Times New Roman" w:hAnsi="Times New Roman" w:cs="Times New Roman"/>
                <w:color w:val="auto"/>
                <w:sz w:val="24"/>
                <w:szCs w:val="24"/>
                <w:lang w:eastAsia="zh-CN"/>
              </w:rPr>
              <w:t>产生的</w:t>
            </w:r>
            <w:r>
              <w:rPr>
                <w:rFonts w:hint="eastAsia" w:ascii="Times New Roman" w:cs="Times New Roman"/>
                <w:color w:val="auto"/>
                <w:sz w:val="24"/>
                <w:szCs w:val="24"/>
                <w:lang w:val="en-US" w:eastAsia="zh-CN"/>
              </w:rPr>
              <w:t>非甲烷总烃、氯化氢、硫酸雾G23、实验废液</w:t>
            </w:r>
            <w:r>
              <w:rPr>
                <w:rFonts w:hint="eastAsia" w:cs="Times New Roman"/>
                <w:color w:val="auto"/>
                <w:sz w:val="24"/>
                <w:szCs w:val="24"/>
                <w:lang w:val="en-US" w:eastAsia="zh-CN"/>
              </w:rPr>
              <w:t>、废活性炭</w:t>
            </w:r>
            <w:r>
              <w:rPr>
                <w:rFonts w:hint="eastAsia" w:ascii="Times New Roman" w:cs="Times New Roman"/>
                <w:color w:val="auto"/>
                <w:sz w:val="24"/>
                <w:szCs w:val="24"/>
                <w:lang w:val="en-US" w:eastAsia="zh-CN"/>
              </w:rPr>
              <w:t>及废化学空瓶等S</w:t>
            </w:r>
            <w:r>
              <w:rPr>
                <w:rFonts w:hint="eastAsia" w:cs="Times New Roman"/>
                <w:color w:val="auto"/>
                <w:sz w:val="24"/>
                <w:szCs w:val="24"/>
                <w:lang w:val="en-US" w:eastAsia="zh-CN"/>
              </w:rPr>
              <w:t>9</w:t>
            </w:r>
            <w:r>
              <w:rPr>
                <w:rFonts w:hint="eastAsia" w:ascii="Times New Roman" w:cs="Times New Roman"/>
                <w:color w:val="auto"/>
                <w:sz w:val="24"/>
                <w:szCs w:val="24"/>
                <w:lang w:val="en-US" w:eastAsia="zh-CN"/>
              </w:rPr>
              <w:t>。</w:t>
            </w:r>
          </w:p>
          <w:p w14:paraId="1F902D20">
            <w:pPr>
              <w:bidi w:val="0"/>
              <w:rPr>
                <w:rFonts w:hint="eastAsia" w:ascii="Times New Roman" w:cs="Times New Roman"/>
                <w:color w:val="auto"/>
                <w:sz w:val="24"/>
                <w:szCs w:val="24"/>
                <w:lang w:val="en-US" w:eastAsia="zh-CN"/>
              </w:rPr>
            </w:pPr>
            <w:r>
              <w:rPr>
                <w:rFonts w:hint="eastAsia" w:ascii="Times New Roman" w:cs="Times New Roman"/>
                <w:color w:val="auto"/>
                <w:sz w:val="24"/>
                <w:szCs w:val="24"/>
                <w:lang w:val="en-US" w:eastAsia="zh-CN"/>
              </w:rPr>
              <w:t>现有工程建有1个处理能力为500m</w:t>
            </w:r>
            <w:r>
              <w:rPr>
                <w:rFonts w:hint="eastAsia" w:ascii="Times New Roman" w:cs="Times New Roman"/>
                <w:color w:val="auto"/>
                <w:sz w:val="24"/>
                <w:szCs w:val="24"/>
                <w:vertAlign w:val="superscript"/>
                <w:lang w:val="en-US" w:eastAsia="zh-CN"/>
              </w:rPr>
              <w:t>3</w:t>
            </w:r>
            <w:r>
              <w:rPr>
                <w:rFonts w:hint="eastAsia" w:ascii="Times New Roman" w:cs="Times New Roman"/>
                <w:color w:val="auto"/>
                <w:sz w:val="24"/>
                <w:szCs w:val="24"/>
                <w:lang w:val="en-US" w:eastAsia="zh-CN"/>
              </w:rPr>
              <w:t>的污水处理站，</w:t>
            </w:r>
            <w:r>
              <w:rPr>
                <w:rFonts w:hint="eastAsia" w:ascii="Times New Roman" w:eastAsia="宋体" w:cs="Times New Roman"/>
                <w:b w:val="0"/>
                <w:bCs/>
                <w:color w:val="auto"/>
                <w:kern w:val="2"/>
                <w:sz w:val="24"/>
                <w:szCs w:val="24"/>
                <w:lang w:val="en-US" w:eastAsia="zh-CN" w:bidi="ar-SA"/>
              </w:rPr>
              <w:t>污水处理站</w:t>
            </w:r>
            <w:r>
              <w:rPr>
                <w:rFonts w:hint="default" w:ascii="Times New Roman" w:hAnsi="Times New Roman" w:cs="Times New Roman"/>
                <w:color w:val="auto"/>
                <w:sz w:val="24"/>
                <w:szCs w:val="24"/>
                <w:lang w:eastAsia="zh-CN"/>
              </w:rPr>
              <w:t>产生的</w:t>
            </w:r>
            <w:r>
              <w:rPr>
                <w:rFonts w:hint="eastAsia" w:ascii="Times New Roman" w:cs="Times New Roman"/>
                <w:color w:val="auto"/>
                <w:sz w:val="24"/>
                <w:szCs w:val="24"/>
                <w:lang w:val="en-US" w:eastAsia="zh-CN"/>
              </w:rPr>
              <w:t>硫化氢、氨G24、污水处理站污泥S</w:t>
            </w:r>
            <w:r>
              <w:rPr>
                <w:rFonts w:hint="eastAsia" w:cs="Times New Roman"/>
                <w:color w:val="auto"/>
                <w:sz w:val="24"/>
                <w:szCs w:val="24"/>
                <w:lang w:val="en-US" w:eastAsia="zh-CN"/>
              </w:rPr>
              <w:t>10</w:t>
            </w:r>
            <w:r>
              <w:rPr>
                <w:rFonts w:hint="eastAsia" w:ascii="Times New Roman" w:cs="Times New Roman"/>
                <w:color w:val="auto"/>
                <w:sz w:val="24"/>
                <w:szCs w:val="24"/>
                <w:lang w:val="en-US" w:eastAsia="zh-CN"/>
              </w:rPr>
              <w:t>。</w:t>
            </w:r>
          </w:p>
          <w:p w14:paraId="47E1EE91">
            <w:pPr>
              <w:bidi w:val="0"/>
              <w:rPr>
                <w:rFonts w:hint="eastAsia" w:ascii="Times New Roman" w:cs="Times New Roman"/>
                <w:color w:val="auto"/>
                <w:sz w:val="24"/>
                <w:szCs w:val="24"/>
                <w:lang w:val="en-US" w:eastAsia="zh-CN"/>
              </w:rPr>
            </w:pPr>
            <w:r>
              <w:rPr>
                <w:rFonts w:hint="eastAsia" w:ascii="Times New Roman" w:cs="Times New Roman"/>
                <w:color w:val="auto"/>
                <w:sz w:val="24"/>
                <w:szCs w:val="24"/>
                <w:lang w:val="en-US" w:eastAsia="zh-CN"/>
              </w:rPr>
              <w:t>现有工程生产设备日常维护、保养将产生</w:t>
            </w:r>
            <w:r>
              <w:rPr>
                <w:rFonts w:hint="eastAsia" w:cs="Times New Roman"/>
                <w:color w:val="auto"/>
                <w:sz w:val="24"/>
                <w:szCs w:val="24"/>
                <w:lang w:val="en-US" w:eastAsia="zh-CN"/>
              </w:rPr>
              <w:t>废润滑油、</w:t>
            </w:r>
            <w:r>
              <w:rPr>
                <w:rFonts w:hint="eastAsia" w:ascii="Times New Roman" w:cs="Times New Roman"/>
                <w:color w:val="auto"/>
                <w:sz w:val="24"/>
                <w:szCs w:val="24"/>
                <w:lang w:val="en-US" w:eastAsia="zh-CN"/>
              </w:rPr>
              <w:t>废叉车蓄电池S</w:t>
            </w:r>
            <w:r>
              <w:rPr>
                <w:rFonts w:hint="eastAsia" w:cs="Times New Roman"/>
                <w:color w:val="auto"/>
                <w:sz w:val="24"/>
                <w:szCs w:val="24"/>
                <w:lang w:val="en-US" w:eastAsia="zh-CN"/>
              </w:rPr>
              <w:t>11；除尘器收集粉尘S12；</w:t>
            </w:r>
            <w:r>
              <w:rPr>
                <w:rFonts w:hint="eastAsia" w:ascii="Times New Roman" w:cs="Times New Roman"/>
                <w:color w:val="auto"/>
                <w:sz w:val="24"/>
                <w:szCs w:val="24"/>
                <w:lang w:val="en-US" w:eastAsia="zh-CN"/>
              </w:rPr>
              <w:t>日常生产过程中将产生废纸箱、废编织袋等杂物S</w:t>
            </w:r>
            <w:r>
              <w:rPr>
                <w:rFonts w:hint="eastAsia" w:cs="Times New Roman"/>
                <w:color w:val="auto"/>
                <w:sz w:val="24"/>
                <w:szCs w:val="24"/>
                <w:lang w:val="en-US" w:eastAsia="zh-CN"/>
              </w:rPr>
              <w:t>13</w:t>
            </w:r>
            <w:r>
              <w:rPr>
                <w:rFonts w:hint="eastAsia" w:ascii="Times New Roman" w:cs="Times New Roman"/>
                <w:color w:val="auto"/>
                <w:sz w:val="24"/>
                <w:szCs w:val="24"/>
                <w:lang w:val="en-US" w:eastAsia="zh-CN"/>
              </w:rPr>
              <w:t>。</w:t>
            </w:r>
          </w:p>
          <w:p w14:paraId="7F29408E">
            <w:pPr>
              <w:bidi w:val="0"/>
              <w:rPr>
                <w:rFonts w:hint="eastAsia"/>
                <w:color w:val="auto"/>
                <w:lang w:val="en-US" w:eastAsia="zh-CN"/>
              </w:rPr>
            </w:pPr>
            <w:r>
              <w:rPr>
                <w:rFonts w:hint="eastAsia"/>
                <w:color w:val="auto"/>
                <w:lang w:val="en-US" w:eastAsia="zh-CN"/>
              </w:rPr>
              <w:t>员工将产生</w:t>
            </w:r>
            <w:r>
              <w:rPr>
                <w:rFonts w:ascii="Times New Roman" w:hAnsi="Times New Roman" w:cs="Times New Roman"/>
                <w:color w:val="auto"/>
                <w:sz w:val="24"/>
                <w:szCs w:val="24"/>
              </w:rPr>
              <w:t>含油抹布、劳保用品</w:t>
            </w:r>
            <w:r>
              <w:rPr>
                <w:rFonts w:hint="eastAsia" w:eastAsia="宋体" w:cs="Times New Roman"/>
                <w:color w:val="auto"/>
                <w:sz w:val="24"/>
                <w:szCs w:val="24"/>
                <w:lang w:val="en-US" w:eastAsia="zh-CN"/>
              </w:rPr>
              <w:t>S14、生活垃圾S15，生活污水W6</w:t>
            </w:r>
            <w:r>
              <w:rPr>
                <w:rFonts w:hint="eastAsia"/>
                <w:color w:val="auto"/>
                <w:lang w:val="en-US" w:eastAsia="zh-CN"/>
              </w:rPr>
              <w:t>。</w:t>
            </w:r>
          </w:p>
          <w:p w14:paraId="09BC2081">
            <w:pPr>
              <w:keepNext w:val="0"/>
              <w:keepLines w:val="0"/>
              <w:pageBreakBefore w:val="0"/>
              <w:kinsoku/>
              <w:wordWrap/>
              <w:overflowPunct/>
              <w:topLinePunct w:val="0"/>
              <w:autoSpaceDE/>
              <w:autoSpaceDN/>
              <w:bidi w:val="0"/>
              <w:adjustRightInd/>
              <w:snapToGrid w:val="0"/>
              <w:spacing w:line="360" w:lineRule="auto"/>
              <w:ind w:left="0" w:leftChars="0" w:firstLine="0" w:firstLineChars="0"/>
              <w:jc w:val="both"/>
              <w:textAlignment w:val="auto"/>
              <w:rPr>
                <w:rFonts w:hint="eastAsia" w:ascii="宋体" w:hAnsi="宋体" w:cs="宋体"/>
                <w:b/>
                <w:bCs/>
                <w:color w:val="auto"/>
                <w:sz w:val="24"/>
                <w:szCs w:val="24"/>
              </w:rPr>
            </w:pPr>
            <w:r>
              <w:rPr>
                <w:rFonts w:hint="eastAsia"/>
                <w:b/>
                <w:bCs/>
                <w:color w:val="auto"/>
                <w:sz w:val="24"/>
                <w:szCs w:val="24"/>
                <w:lang w:val="en-US" w:eastAsia="zh-CN"/>
              </w:rPr>
              <w:t>7.4</w:t>
            </w:r>
            <w:r>
              <w:rPr>
                <w:rFonts w:hint="eastAsia"/>
                <w:b/>
                <w:bCs/>
                <w:color w:val="auto"/>
                <w:sz w:val="24"/>
                <w:szCs w:val="24"/>
                <w:lang w:eastAsia="zh-CN"/>
              </w:rPr>
              <w:t>现有工程</w:t>
            </w:r>
            <w:r>
              <w:rPr>
                <w:b/>
                <w:bCs/>
                <w:color w:val="auto"/>
                <w:sz w:val="24"/>
                <w:szCs w:val="24"/>
              </w:rPr>
              <w:t>环保设施及污染物产排</w:t>
            </w:r>
            <w:r>
              <w:rPr>
                <w:rFonts w:hint="eastAsia" w:ascii="宋体" w:hAnsi="宋体" w:cs="宋体"/>
                <w:b/>
                <w:bCs/>
                <w:color w:val="auto"/>
                <w:sz w:val="24"/>
                <w:szCs w:val="24"/>
              </w:rPr>
              <w:t>情况</w:t>
            </w:r>
          </w:p>
          <w:p w14:paraId="5EF6DC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both"/>
              <w:textAlignment w:val="auto"/>
              <w:rPr>
                <w:color w:val="auto"/>
                <w:sz w:val="24"/>
                <w:szCs w:val="24"/>
              </w:rPr>
            </w:pPr>
            <w:r>
              <w:rPr>
                <w:color w:val="auto"/>
                <w:sz w:val="24"/>
                <w:szCs w:val="24"/>
              </w:rPr>
              <w:t>（1）废气</w:t>
            </w:r>
          </w:p>
          <w:p w14:paraId="6BE46D8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color w:val="auto"/>
                <w:sz w:val="24"/>
                <w:szCs w:val="24"/>
                <w:lang w:eastAsia="zh-CN"/>
              </w:rPr>
            </w:pPr>
            <w:r>
              <w:rPr>
                <w:rFonts w:hint="eastAsia"/>
                <w:color w:val="auto"/>
                <w:sz w:val="24"/>
                <w:szCs w:val="24"/>
                <w:lang w:eastAsia="zh-CN"/>
              </w:rPr>
              <w:t>现有工程产生的废气主要包括预处理车间各生产工序产生的颗粒物；浸出车间蒸脱工序产生的非甲烷总烃、颗粒物；精炼车间脱色、脱臭工序产生的非甲烷总烃</w:t>
            </w:r>
            <w:r>
              <w:rPr>
                <w:rFonts w:hint="eastAsia" w:eastAsia="宋体" w:cs="Times New Roman"/>
                <w:color w:val="auto"/>
                <w:sz w:val="24"/>
                <w:szCs w:val="24"/>
                <w:lang w:eastAsia="zh-CN"/>
              </w:rPr>
              <w:t>、臭气浓度</w:t>
            </w:r>
            <w:r>
              <w:rPr>
                <w:rFonts w:hint="eastAsia"/>
                <w:color w:val="auto"/>
                <w:sz w:val="24"/>
                <w:szCs w:val="24"/>
                <w:lang w:eastAsia="zh-CN"/>
              </w:rPr>
              <w:t>、白土投加工序产生的颗粒物；大豆提升站、豆粕筒仓、豆皮仓产生的颗粒物；包装车间吹瓶工序产生的非甲烷总烃；品控室产生的非甲烷总烃、硫酸雾、氯化氢；锅炉天然气燃烧废气；污水处理站产生臭气；员工食堂产生的油烟、非甲烷总烃。</w:t>
            </w:r>
          </w:p>
          <w:p w14:paraId="75E3A91B">
            <w:pPr>
              <w:pStyle w:val="23"/>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hAnsi="宋体" w:eastAsia="宋体" w:cs="宋体"/>
                <w:bCs/>
                <w:color w:val="auto"/>
                <w:sz w:val="24"/>
                <w:szCs w:val="24"/>
                <w:lang w:eastAsia="zh-CN"/>
              </w:rPr>
            </w:pPr>
            <w:r>
              <w:rPr>
                <w:rFonts w:ascii="Times New Roman" w:eastAsia="宋体" w:cs="Times New Roman"/>
                <w:color w:val="auto"/>
                <w:highlight w:val="none"/>
                <w:lang w:bidi="ar"/>
              </w:rPr>
              <w:t>①</w:t>
            </w:r>
            <w:r>
              <w:rPr>
                <w:rFonts w:hint="eastAsia" w:hAnsi="宋体" w:eastAsia="宋体" w:cs="宋体"/>
                <w:bCs/>
                <w:color w:val="auto"/>
                <w:sz w:val="24"/>
                <w:szCs w:val="24"/>
                <w:lang w:eastAsia="zh-CN"/>
              </w:rPr>
              <w:t>大豆提升站</w:t>
            </w:r>
          </w:p>
          <w:p w14:paraId="7D69D3BC">
            <w:pPr>
              <w:pStyle w:val="23"/>
              <w:spacing w:line="360" w:lineRule="auto"/>
              <w:ind w:firstLine="480" w:firstLineChars="200"/>
              <w:jc w:val="both"/>
              <w:rPr>
                <w:rFonts w:hint="eastAsia" w:ascii="Times New Roman" w:hAnsi="Times New Roman" w:eastAsia="宋体" w:cs="Times New Roman"/>
                <w:b w:val="0"/>
                <w:bCs/>
                <w:color w:val="auto"/>
                <w:kern w:val="2"/>
                <w:sz w:val="24"/>
                <w:szCs w:val="24"/>
                <w:highlight w:val="none"/>
                <w:lang w:val="en-US" w:eastAsia="zh-CN" w:bidi="ar-SA"/>
              </w:rPr>
            </w:pPr>
            <w:r>
              <w:rPr>
                <w:rFonts w:hint="eastAsia" w:ascii="Times New Roman" w:eastAsia="宋体" w:cs="Times New Roman"/>
                <w:b w:val="0"/>
                <w:bCs/>
                <w:color w:val="auto"/>
                <w:kern w:val="2"/>
                <w:sz w:val="24"/>
                <w:szCs w:val="24"/>
                <w:highlight w:val="none"/>
                <w:lang w:val="en-US" w:eastAsia="zh-CN" w:bidi="ar-SA"/>
              </w:rPr>
              <w:t>现有工程设置2个大豆提升站，大豆提升站1的大豆进仓、转运、出仓过程中产生的颗粒物经布袋除尘器处理后引至20m高的DA001、DA002排气筒排放；大豆提升站2的大豆进仓、转运、出仓、卸料过程中产生的颗粒物经布袋除尘器处理后引至20m高的DA019、33m高的DA020排气筒、16m高的DA021排气筒排放。</w:t>
            </w:r>
          </w:p>
          <w:p w14:paraId="65E51CF3">
            <w:pPr>
              <w:pStyle w:val="23"/>
              <w:spacing w:line="360" w:lineRule="auto"/>
              <w:ind w:left="0" w:leftChars="0" w:firstLine="480" w:firstLineChars="200"/>
              <w:jc w:val="both"/>
              <w:rPr>
                <w:rFonts w:hint="default" w:ascii="Times New Roman" w:hAnsi="Times New Roman" w:cs="Times New Roman"/>
                <w:color w:val="auto"/>
                <w:highlight w:val="none"/>
                <w:lang w:val="en-US" w:eastAsia="zh-CN"/>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w:t>
            </w:r>
            <w:r>
              <w:rPr>
                <w:rFonts w:hint="eastAsia" w:ascii="Times New Roman" w:eastAsia="宋体" w:cs="Times New Roman"/>
                <w:b w:val="0"/>
                <w:bCs/>
                <w:color w:val="auto"/>
                <w:kern w:val="2"/>
                <w:sz w:val="24"/>
                <w:szCs w:val="24"/>
                <w:highlight w:val="none"/>
                <w:lang w:val="en-US" w:eastAsia="zh-CN" w:bidi="ar-SA"/>
              </w:rPr>
              <w:t>577</w:t>
            </w:r>
            <w:r>
              <w:rPr>
                <w:rFonts w:hint="default" w:ascii="Times New Roman" w:hAnsi="Times New Roman" w:eastAsia="宋体" w:cs="Times New Roman"/>
                <w:b w:val="0"/>
                <w:bCs/>
                <w:color w:val="auto"/>
                <w:kern w:val="2"/>
                <w:sz w:val="24"/>
                <w:szCs w:val="24"/>
                <w:highlight w:val="none"/>
                <w:lang w:val="en-US" w:eastAsia="zh-CN" w:bidi="ar-SA"/>
              </w:rPr>
              <w:t>号，大豆提升站</w:t>
            </w:r>
            <w:r>
              <w:rPr>
                <w:rFonts w:hint="default" w:ascii="Times New Roman" w:hAnsi="Times New Roman" w:cs="Times New Roman"/>
                <w:color w:val="auto"/>
                <w:sz w:val="24"/>
                <w:szCs w:val="24"/>
                <w:highlight w:val="none"/>
                <w:lang w:eastAsia="zh-CN"/>
              </w:rPr>
              <w:t>产生的</w:t>
            </w:r>
            <w:r>
              <w:rPr>
                <w:rFonts w:hint="default"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b w:val="0"/>
                <w:bCs/>
                <w:color w:val="auto"/>
                <w:kern w:val="2"/>
                <w:sz w:val="24"/>
                <w:szCs w:val="24"/>
                <w:highlight w:val="none"/>
                <w:lang w:val="en-US" w:eastAsia="zh-CN" w:bidi="ar-SA"/>
              </w:rPr>
              <w:t>排放情况见表2.7-2。</w:t>
            </w:r>
          </w:p>
          <w:p w14:paraId="6249C09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2.7-2 大豆提升站污染物排放情况一览表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1106"/>
              <w:gridCol w:w="1539"/>
              <w:gridCol w:w="1295"/>
              <w:gridCol w:w="1429"/>
              <w:gridCol w:w="1267"/>
              <w:gridCol w:w="819"/>
            </w:tblGrid>
            <w:tr w14:paraId="3F78DC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pct"/>
                  <w:tcBorders>
                    <w:tl2br w:val="nil"/>
                    <w:tr2bl w:val="nil"/>
                  </w:tcBorders>
                  <w:vAlign w:val="center"/>
                </w:tcPr>
                <w:p w14:paraId="02D3F405">
                  <w:pPr>
                    <w:pStyle w:val="3"/>
                    <w:bidi w:val="0"/>
                    <w:rPr>
                      <w:rFonts w:hint="default"/>
                      <w:color w:val="auto"/>
                      <w:lang w:eastAsia="zh-CN"/>
                    </w:rPr>
                  </w:pPr>
                  <w:r>
                    <w:rPr>
                      <w:rFonts w:hint="default"/>
                      <w:color w:val="auto"/>
                      <w:lang w:eastAsia="zh-CN"/>
                    </w:rPr>
                    <w:t>生产工序</w:t>
                  </w:r>
                </w:p>
              </w:tc>
              <w:tc>
                <w:tcPr>
                  <w:tcW w:w="659" w:type="pct"/>
                  <w:tcBorders>
                    <w:tl2br w:val="nil"/>
                    <w:tr2bl w:val="nil"/>
                  </w:tcBorders>
                  <w:vAlign w:val="center"/>
                </w:tcPr>
                <w:p w14:paraId="302351E5">
                  <w:pPr>
                    <w:pStyle w:val="3"/>
                    <w:bidi w:val="0"/>
                    <w:rPr>
                      <w:rFonts w:hint="eastAsia"/>
                      <w:color w:val="auto"/>
                      <w:lang w:eastAsia="zh-CN"/>
                    </w:rPr>
                  </w:pPr>
                  <w:r>
                    <w:rPr>
                      <w:rFonts w:hint="eastAsia"/>
                      <w:color w:val="auto"/>
                      <w:lang w:eastAsia="zh-CN"/>
                    </w:rPr>
                    <w:t>污染</w:t>
                  </w:r>
                </w:p>
                <w:p w14:paraId="3BDEC75D">
                  <w:pPr>
                    <w:pStyle w:val="3"/>
                    <w:bidi w:val="0"/>
                    <w:rPr>
                      <w:rFonts w:hint="eastAsia"/>
                      <w:color w:val="auto"/>
                      <w:lang w:eastAsia="zh-CN"/>
                    </w:rPr>
                  </w:pPr>
                  <w:r>
                    <w:rPr>
                      <w:rFonts w:hint="eastAsia"/>
                      <w:color w:val="auto"/>
                      <w:lang w:eastAsia="zh-CN"/>
                    </w:rPr>
                    <w:t>物</w:t>
                  </w:r>
                </w:p>
              </w:tc>
              <w:tc>
                <w:tcPr>
                  <w:tcW w:w="917" w:type="pct"/>
                  <w:tcBorders>
                    <w:tl2br w:val="nil"/>
                    <w:tr2bl w:val="nil"/>
                  </w:tcBorders>
                  <w:vAlign w:val="center"/>
                </w:tcPr>
                <w:p w14:paraId="71E8B401">
                  <w:pPr>
                    <w:pStyle w:val="3"/>
                    <w:bidi w:val="0"/>
                    <w:rPr>
                      <w:rFonts w:hint="eastAsia"/>
                      <w:color w:val="auto"/>
                      <w:lang w:eastAsia="zh-CN"/>
                    </w:rPr>
                  </w:pPr>
                  <w:r>
                    <w:rPr>
                      <w:rFonts w:hint="eastAsia"/>
                      <w:color w:val="auto"/>
                      <w:lang w:eastAsia="zh-CN"/>
                    </w:rPr>
                    <w:t>治理设施</w:t>
                  </w:r>
                </w:p>
              </w:tc>
              <w:tc>
                <w:tcPr>
                  <w:tcW w:w="772" w:type="pct"/>
                  <w:tcBorders>
                    <w:tl2br w:val="nil"/>
                    <w:tr2bl w:val="nil"/>
                  </w:tcBorders>
                  <w:vAlign w:val="center"/>
                </w:tcPr>
                <w:p w14:paraId="3D75C083">
                  <w:pPr>
                    <w:pStyle w:val="3"/>
                    <w:bidi w:val="0"/>
                    <w:rPr>
                      <w:rFonts w:hint="eastAsia"/>
                      <w:color w:val="auto"/>
                      <w:lang w:eastAsia="zh-CN"/>
                    </w:rPr>
                  </w:pPr>
                  <w:r>
                    <w:rPr>
                      <w:rFonts w:hint="eastAsia"/>
                      <w:color w:val="auto"/>
                      <w:lang w:eastAsia="zh-CN"/>
                    </w:rPr>
                    <w:t>排气筒</w:t>
                  </w:r>
                </w:p>
                <w:p w14:paraId="7443BFDA">
                  <w:pPr>
                    <w:pStyle w:val="3"/>
                    <w:bidi w:val="0"/>
                    <w:rPr>
                      <w:rFonts w:hint="eastAsia"/>
                      <w:color w:val="auto"/>
                      <w:lang w:eastAsia="zh-CN"/>
                    </w:rPr>
                  </w:pPr>
                  <w:r>
                    <w:rPr>
                      <w:rFonts w:hint="eastAsia"/>
                      <w:color w:val="auto"/>
                      <w:lang w:eastAsia="zh-CN"/>
                    </w:rPr>
                    <w:t>编号</w:t>
                  </w:r>
                </w:p>
              </w:tc>
              <w:tc>
                <w:tcPr>
                  <w:tcW w:w="852" w:type="pct"/>
                  <w:tcBorders>
                    <w:tl2br w:val="nil"/>
                    <w:tr2bl w:val="nil"/>
                  </w:tcBorders>
                  <w:vAlign w:val="center"/>
                </w:tcPr>
                <w:p w14:paraId="162D8DF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08F443D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5" w:type="pct"/>
                  <w:tcBorders>
                    <w:tl2br w:val="nil"/>
                    <w:tr2bl w:val="nil"/>
                  </w:tcBorders>
                  <w:vAlign w:val="center"/>
                </w:tcPr>
                <w:p w14:paraId="2ACB68B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24413B2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88" w:type="pct"/>
                  <w:tcBorders>
                    <w:tl2br w:val="nil"/>
                    <w:tr2bl w:val="nil"/>
                  </w:tcBorders>
                  <w:vAlign w:val="center"/>
                </w:tcPr>
                <w:p w14:paraId="45AE8A55">
                  <w:pPr>
                    <w:pStyle w:val="3"/>
                    <w:bidi w:val="0"/>
                    <w:rPr>
                      <w:rFonts w:hint="eastAsia"/>
                      <w:color w:val="auto"/>
                      <w:lang w:eastAsia="zh-CN"/>
                    </w:rPr>
                  </w:pPr>
                  <w:r>
                    <w:rPr>
                      <w:rFonts w:hint="eastAsia"/>
                      <w:color w:val="auto"/>
                      <w:lang w:eastAsia="zh-CN"/>
                    </w:rPr>
                    <w:t>达标</w:t>
                  </w:r>
                </w:p>
                <w:p w14:paraId="665A947E">
                  <w:pPr>
                    <w:pStyle w:val="3"/>
                    <w:bidi w:val="0"/>
                    <w:rPr>
                      <w:rFonts w:hint="eastAsia"/>
                      <w:color w:val="auto"/>
                      <w:lang w:eastAsia="zh-CN"/>
                    </w:rPr>
                  </w:pPr>
                  <w:r>
                    <w:rPr>
                      <w:rFonts w:hint="eastAsia"/>
                      <w:color w:val="auto"/>
                      <w:lang w:eastAsia="zh-CN"/>
                    </w:rPr>
                    <w:t>情况</w:t>
                  </w:r>
                </w:p>
              </w:tc>
            </w:tr>
            <w:tr w14:paraId="34C4B9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5" w:type="pct"/>
                  <w:vMerge w:val="restart"/>
                  <w:tcBorders>
                    <w:tl2br w:val="nil"/>
                    <w:tr2bl w:val="nil"/>
                  </w:tcBorders>
                  <w:vAlign w:val="center"/>
                </w:tcPr>
                <w:p w14:paraId="7110336B">
                  <w:pPr>
                    <w:pStyle w:val="3"/>
                    <w:bidi w:val="0"/>
                    <w:rPr>
                      <w:rFonts w:hint="default"/>
                      <w:color w:val="auto"/>
                      <w:lang w:val="en-US" w:eastAsia="zh-CN"/>
                    </w:rPr>
                  </w:pPr>
                  <w:r>
                    <w:rPr>
                      <w:rFonts w:hint="eastAsia"/>
                      <w:color w:val="auto"/>
                      <w:lang w:val="en-US" w:eastAsia="zh-CN"/>
                    </w:rPr>
                    <w:t>大豆转运</w:t>
                  </w:r>
                </w:p>
              </w:tc>
              <w:tc>
                <w:tcPr>
                  <w:tcW w:w="659" w:type="pct"/>
                  <w:tcBorders>
                    <w:tl2br w:val="nil"/>
                    <w:tr2bl w:val="nil"/>
                  </w:tcBorders>
                  <w:vAlign w:val="center"/>
                </w:tcPr>
                <w:p w14:paraId="499443C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17" w:type="pct"/>
                  <w:tcBorders>
                    <w:tl2br w:val="nil"/>
                    <w:tr2bl w:val="nil"/>
                  </w:tcBorders>
                  <w:vAlign w:val="center"/>
                </w:tcPr>
                <w:p w14:paraId="4EF0209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772" w:type="pct"/>
                  <w:tcBorders>
                    <w:tl2br w:val="nil"/>
                    <w:tr2bl w:val="nil"/>
                  </w:tcBorders>
                  <w:vAlign w:val="center"/>
                </w:tcPr>
                <w:p w14:paraId="578D2F3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DA001</w:t>
                  </w:r>
                </w:p>
              </w:tc>
              <w:tc>
                <w:tcPr>
                  <w:tcW w:w="852" w:type="pct"/>
                  <w:tcBorders>
                    <w:tl2br w:val="nil"/>
                    <w:tr2bl w:val="nil"/>
                  </w:tcBorders>
                  <w:shd w:val="clear" w:color="auto" w:fill="auto"/>
                  <w:vAlign w:val="center"/>
                </w:tcPr>
                <w:p w14:paraId="7360C8C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18.833 </w:t>
                  </w:r>
                </w:p>
              </w:tc>
              <w:tc>
                <w:tcPr>
                  <w:tcW w:w="755" w:type="pct"/>
                  <w:tcBorders>
                    <w:tl2br w:val="nil"/>
                    <w:tr2bl w:val="nil"/>
                  </w:tcBorders>
                  <w:shd w:val="clear" w:color="auto" w:fill="auto"/>
                  <w:vAlign w:val="center"/>
                </w:tcPr>
                <w:p w14:paraId="7330915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0.104 </w:t>
                  </w:r>
                </w:p>
              </w:tc>
              <w:tc>
                <w:tcPr>
                  <w:tcW w:w="488" w:type="pct"/>
                  <w:tcBorders>
                    <w:tl2br w:val="nil"/>
                    <w:tr2bl w:val="nil"/>
                  </w:tcBorders>
                  <w:vAlign w:val="center"/>
                </w:tcPr>
                <w:p w14:paraId="1E08640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467CB7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5" w:type="pct"/>
                  <w:vMerge w:val="continue"/>
                  <w:tcBorders>
                    <w:tl2br w:val="nil"/>
                    <w:tr2bl w:val="nil"/>
                  </w:tcBorders>
                  <w:vAlign w:val="center"/>
                </w:tcPr>
                <w:p w14:paraId="371E6F2C">
                  <w:pPr>
                    <w:pStyle w:val="3"/>
                    <w:bidi w:val="0"/>
                    <w:rPr>
                      <w:rFonts w:hint="eastAsia"/>
                      <w:color w:val="auto"/>
                      <w:lang w:eastAsia="zh-CN"/>
                    </w:rPr>
                  </w:pPr>
                </w:p>
              </w:tc>
              <w:tc>
                <w:tcPr>
                  <w:tcW w:w="659" w:type="pct"/>
                  <w:tcBorders>
                    <w:tl2br w:val="nil"/>
                    <w:tr2bl w:val="nil"/>
                  </w:tcBorders>
                  <w:vAlign w:val="center"/>
                </w:tcPr>
                <w:p w14:paraId="6B0F8EE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17" w:type="pct"/>
                  <w:tcBorders>
                    <w:tl2br w:val="nil"/>
                    <w:tr2bl w:val="nil"/>
                  </w:tcBorders>
                  <w:vAlign w:val="center"/>
                </w:tcPr>
                <w:p w14:paraId="5209C5E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布袋除尘器</w:t>
                  </w:r>
                </w:p>
              </w:tc>
              <w:tc>
                <w:tcPr>
                  <w:tcW w:w="772" w:type="pct"/>
                  <w:tcBorders>
                    <w:tl2br w:val="nil"/>
                    <w:tr2bl w:val="nil"/>
                  </w:tcBorders>
                  <w:vAlign w:val="center"/>
                </w:tcPr>
                <w:p w14:paraId="63E37EC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DA002</w:t>
                  </w:r>
                </w:p>
              </w:tc>
              <w:tc>
                <w:tcPr>
                  <w:tcW w:w="852" w:type="pct"/>
                  <w:tcBorders>
                    <w:tl2br w:val="nil"/>
                    <w:tr2bl w:val="nil"/>
                  </w:tcBorders>
                  <w:shd w:val="clear" w:color="auto" w:fill="auto"/>
                  <w:vAlign w:val="center"/>
                </w:tcPr>
                <w:p w14:paraId="6823F2B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19.800 </w:t>
                  </w:r>
                </w:p>
              </w:tc>
              <w:tc>
                <w:tcPr>
                  <w:tcW w:w="755" w:type="pct"/>
                  <w:tcBorders>
                    <w:tl2br w:val="nil"/>
                    <w:tr2bl w:val="nil"/>
                  </w:tcBorders>
                  <w:shd w:val="clear" w:color="auto" w:fill="auto"/>
                  <w:vAlign w:val="center"/>
                </w:tcPr>
                <w:p w14:paraId="4BDB5E4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0.118 </w:t>
                  </w:r>
                </w:p>
              </w:tc>
              <w:tc>
                <w:tcPr>
                  <w:tcW w:w="488" w:type="pct"/>
                  <w:tcBorders>
                    <w:tl2br w:val="nil"/>
                    <w:tr2bl w:val="nil"/>
                  </w:tcBorders>
                  <w:vAlign w:val="center"/>
                </w:tcPr>
                <w:p w14:paraId="66BB9BE8">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达标</w:t>
                  </w:r>
                </w:p>
              </w:tc>
            </w:tr>
            <w:tr w14:paraId="7A641F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5" w:type="pct"/>
                  <w:vMerge w:val="continue"/>
                  <w:tcBorders>
                    <w:tl2br w:val="nil"/>
                    <w:tr2bl w:val="nil"/>
                  </w:tcBorders>
                  <w:vAlign w:val="center"/>
                </w:tcPr>
                <w:p w14:paraId="06D9D8C2">
                  <w:pPr>
                    <w:pStyle w:val="3"/>
                    <w:bidi w:val="0"/>
                    <w:rPr>
                      <w:rFonts w:hint="eastAsia"/>
                      <w:color w:val="auto"/>
                      <w:lang w:eastAsia="zh-CN"/>
                    </w:rPr>
                  </w:pPr>
                </w:p>
              </w:tc>
              <w:tc>
                <w:tcPr>
                  <w:tcW w:w="659" w:type="pct"/>
                  <w:tcBorders>
                    <w:tl2br w:val="nil"/>
                    <w:tr2bl w:val="nil"/>
                  </w:tcBorders>
                  <w:vAlign w:val="center"/>
                </w:tcPr>
                <w:p w14:paraId="2655738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17" w:type="pct"/>
                  <w:tcBorders>
                    <w:tl2br w:val="nil"/>
                    <w:tr2bl w:val="nil"/>
                  </w:tcBorders>
                  <w:vAlign w:val="center"/>
                </w:tcPr>
                <w:p w14:paraId="52D6FEC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772" w:type="pct"/>
                  <w:tcBorders>
                    <w:tl2br w:val="nil"/>
                    <w:tr2bl w:val="nil"/>
                  </w:tcBorders>
                  <w:vAlign w:val="center"/>
                </w:tcPr>
                <w:p w14:paraId="3F0D4D5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DA019</w:t>
                  </w:r>
                </w:p>
              </w:tc>
              <w:tc>
                <w:tcPr>
                  <w:tcW w:w="852" w:type="pct"/>
                  <w:tcBorders>
                    <w:tl2br w:val="nil"/>
                    <w:tr2bl w:val="nil"/>
                  </w:tcBorders>
                  <w:shd w:val="clear" w:color="auto" w:fill="auto"/>
                  <w:vAlign w:val="center"/>
                </w:tcPr>
                <w:p w14:paraId="7CCF6C4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20.300 </w:t>
                  </w:r>
                </w:p>
              </w:tc>
              <w:tc>
                <w:tcPr>
                  <w:tcW w:w="755" w:type="pct"/>
                  <w:tcBorders>
                    <w:tl2br w:val="nil"/>
                    <w:tr2bl w:val="nil"/>
                  </w:tcBorders>
                  <w:shd w:val="clear" w:color="auto" w:fill="auto"/>
                  <w:vAlign w:val="center"/>
                </w:tcPr>
                <w:p w14:paraId="288C78A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0.136 </w:t>
                  </w:r>
                </w:p>
              </w:tc>
              <w:tc>
                <w:tcPr>
                  <w:tcW w:w="488" w:type="pct"/>
                  <w:tcBorders>
                    <w:tl2br w:val="nil"/>
                    <w:tr2bl w:val="nil"/>
                  </w:tcBorders>
                  <w:vAlign w:val="center"/>
                </w:tcPr>
                <w:p w14:paraId="20F84AA8">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038341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5" w:type="pct"/>
                  <w:vMerge w:val="continue"/>
                  <w:tcBorders>
                    <w:tl2br w:val="nil"/>
                    <w:tr2bl w:val="nil"/>
                  </w:tcBorders>
                  <w:vAlign w:val="center"/>
                </w:tcPr>
                <w:p w14:paraId="409DC0C9">
                  <w:pPr>
                    <w:pStyle w:val="3"/>
                    <w:bidi w:val="0"/>
                    <w:rPr>
                      <w:rFonts w:hint="eastAsia"/>
                      <w:color w:val="auto"/>
                      <w:lang w:eastAsia="zh-CN"/>
                    </w:rPr>
                  </w:pPr>
                </w:p>
              </w:tc>
              <w:tc>
                <w:tcPr>
                  <w:tcW w:w="659" w:type="pct"/>
                  <w:tcBorders>
                    <w:tl2br w:val="nil"/>
                    <w:tr2bl w:val="nil"/>
                  </w:tcBorders>
                  <w:vAlign w:val="center"/>
                </w:tcPr>
                <w:p w14:paraId="7B7E0FE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17" w:type="pct"/>
                  <w:tcBorders>
                    <w:tl2br w:val="nil"/>
                    <w:tr2bl w:val="nil"/>
                  </w:tcBorders>
                  <w:vAlign w:val="center"/>
                </w:tcPr>
                <w:p w14:paraId="42CF9ED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772" w:type="pct"/>
                  <w:tcBorders>
                    <w:tl2br w:val="nil"/>
                    <w:tr2bl w:val="nil"/>
                  </w:tcBorders>
                  <w:vAlign w:val="center"/>
                </w:tcPr>
                <w:p w14:paraId="38A6F61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DA020</w:t>
                  </w:r>
                </w:p>
              </w:tc>
              <w:tc>
                <w:tcPr>
                  <w:tcW w:w="852" w:type="pct"/>
                  <w:tcBorders>
                    <w:tl2br w:val="nil"/>
                    <w:tr2bl w:val="nil"/>
                  </w:tcBorders>
                  <w:shd w:val="clear" w:color="auto" w:fill="auto"/>
                  <w:vAlign w:val="center"/>
                </w:tcPr>
                <w:p w14:paraId="159CD99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19.367 </w:t>
                  </w:r>
                </w:p>
              </w:tc>
              <w:tc>
                <w:tcPr>
                  <w:tcW w:w="755" w:type="pct"/>
                  <w:tcBorders>
                    <w:tl2br w:val="nil"/>
                    <w:tr2bl w:val="nil"/>
                  </w:tcBorders>
                  <w:shd w:val="clear" w:color="auto" w:fill="auto"/>
                  <w:vAlign w:val="center"/>
                </w:tcPr>
                <w:p w14:paraId="4F80D51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0.152 </w:t>
                  </w:r>
                </w:p>
              </w:tc>
              <w:tc>
                <w:tcPr>
                  <w:tcW w:w="488" w:type="pct"/>
                  <w:tcBorders>
                    <w:tl2br w:val="nil"/>
                    <w:tr2bl w:val="nil"/>
                  </w:tcBorders>
                  <w:vAlign w:val="center"/>
                </w:tcPr>
                <w:p w14:paraId="1BDD1317">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698C06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555" w:type="pct"/>
                  <w:vMerge w:val="continue"/>
                  <w:tcBorders>
                    <w:tl2br w:val="nil"/>
                    <w:tr2bl w:val="nil"/>
                  </w:tcBorders>
                  <w:vAlign w:val="center"/>
                </w:tcPr>
                <w:p w14:paraId="01446033">
                  <w:pPr>
                    <w:pStyle w:val="3"/>
                    <w:bidi w:val="0"/>
                    <w:rPr>
                      <w:rFonts w:hint="eastAsia"/>
                      <w:color w:val="auto"/>
                      <w:lang w:eastAsia="zh-CN"/>
                    </w:rPr>
                  </w:pPr>
                </w:p>
              </w:tc>
              <w:tc>
                <w:tcPr>
                  <w:tcW w:w="659" w:type="pct"/>
                  <w:tcBorders>
                    <w:tl2br w:val="nil"/>
                    <w:tr2bl w:val="nil"/>
                  </w:tcBorders>
                  <w:vAlign w:val="center"/>
                </w:tcPr>
                <w:p w14:paraId="0282FA4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17" w:type="pct"/>
                  <w:tcBorders>
                    <w:tl2br w:val="nil"/>
                    <w:tr2bl w:val="nil"/>
                  </w:tcBorders>
                  <w:vAlign w:val="center"/>
                </w:tcPr>
                <w:p w14:paraId="3A713CE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772" w:type="pct"/>
                  <w:tcBorders>
                    <w:tl2br w:val="nil"/>
                    <w:tr2bl w:val="nil"/>
                  </w:tcBorders>
                  <w:vAlign w:val="center"/>
                </w:tcPr>
                <w:p w14:paraId="66818E2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DA021</w:t>
                  </w:r>
                </w:p>
              </w:tc>
              <w:tc>
                <w:tcPr>
                  <w:tcW w:w="852" w:type="pct"/>
                  <w:tcBorders>
                    <w:tl2br w:val="nil"/>
                    <w:tr2bl w:val="nil"/>
                  </w:tcBorders>
                  <w:vAlign w:val="center"/>
                </w:tcPr>
                <w:p w14:paraId="38956181">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17.4</w:t>
                  </w:r>
                </w:p>
              </w:tc>
              <w:tc>
                <w:tcPr>
                  <w:tcW w:w="755" w:type="pct"/>
                  <w:tcBorders>
                    <w:tl2br w:val="nil"/>
                    <w:tr2bl w:val="nil"/>
                  </w:tcBorders>
                  <w:vAlign w:val="center"/>
                </w:tcPr>
                <w:p w14:paraId="20D0F6B1">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0.226</w:t>
                  </w:r>
                </w:p>
              </w:tc>
              <w:tc>
                <w:tcPr>
                  <w:tcW w:w="488" w:type="pct"/>
                  <w:tcBorders>
                    <w:tl2br w:val="nil"/>
                    <w:tr2bl w:val="nil"/>
                  </w:tcBorders>
                  <w:vAlign w:val="center"/>
                </w:tcPr>
                <w:p w14:paraId="0D7C1256">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bl>
          <w:p w14:paraId="736F79AA">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bidi="ar"/>
              </w:rPr>
              <w:t>由表</w:t>
            </w:r>
            <w:r>
              <w:rPr>
                <w:rFonts w:hint="eastAsia" w:ascii="Times New Roman" w:eastAsia="宋体" w:cs="Times New Roman"/>
                <w:color w:val="auto"/>
                <w:sz w:val="24"/>
                <w:szCs w:val="24"/>
                <w:lang w:val="en-US" w:eastAsia="zh-CN" w:bidi="ar"/>
              </w:rPr>
              <w:t>2.7-2</w:t>
            </w:r>
            <w:r>
              <w:rPr>
                <w:rFonts w:hint="default" w:ascii="Times New Roman" w:hAnsi="Times New Roman" w:eastAsia="宋体" w:cs="Times New Roman"/>
                <w:color w:val="auto"/>
                <w:sz w:val="24"/>
                <w:szCs w:val="24"/>
                <w:lang w:val="en-US" w:eastAsia="zh-CN" w:bidi="ar"/>
              </w:rPr>
              <w:t>可知：</w:t>
            </w:r>
            <w:r>
              <w:rPr>
                <w:rFonts w:hint="eastAsia" w:ascii="Times New Roman" w:eastAsia="宋体" w:cs="Times New Roman"/>
                <w:color w:val="auto"/>
                <w:sz w:val="24"/>
                <w:szCs w:val="24"/>
                <w:lang w:val="en-US" w:eastAsia="zh-CN" w:bidi="ar"/>
              </w:rPr>
              <w:t>大豆提升站</w:t>
            </w:r>
            <w:r>
              <w:rPr>
                <w:rFonts w:hint="default" w:ascii="Times New Roman" w:hAnsi="Times New Roman" w:eastAsia="宋体" w:cs="Times New Roman"/>
                <w:color w:val="auto"/>
                <w:sz w:val="24"/>
                <w:szCs w:val="24"/>
                <w:lang w:val="en-US" w:eastAsia="zh-CN" w:bidi="ar"/>
              </w:rPr>
              <w:t>产生的</w:t>
            </w:r>
            <w:r>
              <w:rPr>
                <w:rFonts w:hint="default" w:ascii="Times New Roman" w:hAnsi="Times New Roman" w:cs="Times New Roman"/>
                <w:color w:val="auto"/>
                <w:sz w:val="24"/>
                <w:szCs w:val="24"/>
                <w:lang w:val="en-US" w:eastAsia="zh-CN"/>
              </w:rPr>
              <w:t>颗粒物</w:t>
            </w:r>
            <w:r>
              <w:rPr>
                <w:rFonts w:hint="eastAsia" w:ascii="Times New Roman" w:cs="Times New Roman"/>
                <w:color w:val="auto"/>
                <w:sz w:val="24"/>
                <w:szCs w:val="24"/>
                <w:lang w:val="en-US" w:eastAsia="zh-CN"/>
              </w:rPr>
              <w:t>经布袋除尘器处理后</w:t>
            </w:r>
            <w:r>
              <w:rPr>
                <w:rFonts w:hint="default" w:ascii="Times New Roman" w:hAnsi="Times New Roman" w:eastAsia="宋体" w:cs="Times New Roman"/>
                <w:color w:val="auto"/>
                <w:sz w:val="24"/>
                <w:szCs w:val="24"/>
                <w:lang w:eastAsia="zh-CN"/>
              </w:rPr>
              <w:t>其排放浓度、排放速率满足</w:t>
            </w:r>
            <w:r>
              <w:rPr>
                <w:rFonts w:hint="default" w:ascii="Times New Roman" w:hAnsi="Times New Roman" w:eastAsia="宋体" w:cs="Times New Roman"/>
                <w:color w:val="auto"/>
                <w:sz w:val="24"/>
                <w:szCs w:val="24"/>
              </w:rPr>
              <w:t>《大气污染物综合排放标准》（DB50/418-2016）表1</w:t>
            </w:r>
            <w:r>
              <w:rPr>
                <w:rFonts w:hint="default" w:ascii="Times New Roman" w:hAnsi="Times New Roman" w:eastAsia="宋体" w:cs="Times New Roman"/>
                <w:color w:val="auto"/>
                <w:sz w:val="24"/>
                <w:szCs w:val="24"/>
                <w:lang w:eastAsia="zh-CN"/>
              </w:rPr>
              <w:t>标准</w:t>
            </w:r>
            <w:r>
              <w:rPr>
                <w:rFonts w:hint="eastAsia" w:ascii="Times New Roman" w:eastAsia="宋体" w:cs="Times New Roman"/>
                <w:color w:val="auto"/>
                <w:sz w:val="24"/>
                <w:szCs w:val="24"/>
                <w:lang w:eastAsia="zh-CN"/>
              </w:rPr>
              <w:t>要求</w:t>
            </w:r>
            <w:r>
              <w:rPr>
                <w:rFonts w:hint="default" w:ascii="Times New Roman" w:hAnsi="Times New Roman" w:eastAsia="宋体" w:cs="Times New Roman"/>
                <w:color w:val="auto"/>
                <w:sz w:val="24"/>
                <w:szCs w:val="24"/>
                <w:lang w:eastAsia="zh-CN"/>
              </w:rPr>
              <w:t>。</w:t>
            </w:r>
          </w:p>
          <w:p w14:paraId="22C3C87A">
            <w:pPr>
              <w:pStyle w:val="23"/>
              <w:spacing w:line="360" w:lineRule="auto"/>
              <w:ind w:firstLine="480" w:firstLineChars="200"/>
              <w:jc w:val="both"/>
              <w:rPr>
                <w:rFonts w:hint="eastAsia" w:ascii="Times New Roman" w:eastAsia="等线" w:cs="Times New Roman"/>
                <w:bCs/>
                <w:color w:val="auto"/>
                <w:lang w:eastAsia="zh-CN"/>
              </w:rPr>
            </w:pPr>
            <w:r>
              <w:rPr>
                <w:rFonts w:ascii="Times New Roman" w:eastAsia="宋体" w:cs="Times New Roman"/>
                <w:bCs/>
                <w:color w:val="auto"/>
              </w:rPr>
              <w:t>②</w:t>
            </w:r>
            <w:r>
              <w:rPr>
                <w:rFonts w:hint="eastAsia" w:hAnsi="宋体" w:cs="宋体"/>
                <w:color w:val="auto"/>
                <w:sz w:val="24"/>
                <w:szCs w:val="24"/>
                <w:lang w:eastAsia="zh-CN"/>
              </w:rPr>
              <w:t>精炼车间</w:t>
            </w:r>
          </w:p>
          <w:p w14:paraId="3EB342A0">
            <w:pPr>
              <w:pStyle w:val="23"/>
              <w:spacing w:line="360" w:lineRule="auto"/>
              <w:ind w:firstLine="480" w:firstLineChars="200"/>
              <w:jc w:val="both"/>
              <w:rPr>
                <w:rFonts w:hint="default" w:ascii="Times New Roman" w:eastAsia="宋体"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通过调查，精炼生产线产生的废气主要为脱色、脱臭工序产生的非甲烷总烃、臭气浓度以及白土投加工序产生的颗粒物。脱色、脱臭工序产生的非甲烷总烃、臭气浓度采用碱液喷淋塔处理后引至15mg高的DA003排气筒排放；白天投加工序产生的颗粒物经布袋除尘器处理后引至25m高的DA004排气筒排放。</w:t>
            </w:r>
          </w:p>
          <w:p w14:paraId="7BAA5770">
            <w:pPr>
              <w:pStyle w:val="23"/>
              <w:spacing w:line="360" w:lineRule="auto"/>
              <w:ind w:firstLine="480" w:firstLineChars="200"/>
              <w:jc w:val="both"/>
              <w:rPr>
                <w:rFonts w:hint="eastAsia" w:ascii="宋体" w:hAnsi="宋体" w:eastAsia="宋体" w:cs="宋体"/>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eastAsia" w:ascii="Times New Roman" w:eastAsia="宋体" w:cs="Times New Roman"/>
                <w:b w:val="0"/>
                <w:bCs/>
                <w:color w:val="auto"/>
                <w:kern w:val="2"/>
                <w:sz w:val="24"/>
                <w:szCs w:val="24"/>
                <w:lang w:val="en-US" w:eastAsia="zh-CN" w:bidi="ar-SA"/>
              </w:rPr>
              <w:t>精炼</w:t>
            </w:r>
            <w:r>
              <w:rPr>
                <w:rFonts w:hint="eastAsia"/>
                <w:color w:val="auto"/>
                <w:sz w:val="24"/>
                <w:szCs w:val="24"/>
                <w:lang w:eastAsia="zh-CN"/>
              </w:rPr>
              <w:t>车间废气</w:t>
            </w:r>
            <w:r>
              <w:rPr>
                <w:rFonts w:hint="eastAsia" w:ascii="Times New Roman" w:eastAsia="宋体" w:cs="Times New Roman"/>
                <w:b w:val="0"/>
                <w:bCs/>
                <w:color w:val="auto"/>
                <w:kern w:val="2"/>
                <w:sz w:val="24"/>
                <w:szCs w:val="24"/>
                <w:lang w:val="en-US" w:eastAsia="zh-CN" w:bidi="ar-SA"/>
              </w:rPr>
              <w:t>排放情况见表2.7-3。</w:t>
            </w:r>
          </w:p>
          <w:p w14:paraId="456EC68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2.7-3 精炼车间各工序污染物排放情况一览表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1397"/>
              <w:gridCol w:w="1397"/>
              <w:gridCol w:w="933"/>
              <w:gridCol w:w="1397"/>
              <w:gridCol w:w="1165"/>
              <w:gridCol w:w="700"/>
            </w:tblGrid>
            <w:tr w14:paraId="352400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tcBorders>
                    <w:tl2br w:val="nil"/>
                    <w:tr2bl w:val="nil"/>
                  </w:tcBorders>
                  <w:vAlign w:val="center"/>
                </w:tcPr>
                <w:p w14:paraId="281205B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832" w:type="pct"/>
                  <w:tcBorders>
                    <w:tl2br w:val="nil"/>
                    <w:tr2bl w:val="nil"/>
                  </w:tcBorders>
                  <w:vAlign w:val="center"/>
                </w:tcPr>
                <w:p w14:paraId="75CB446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5A2AFDD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832" w:type="pct"/>
                  <w:tcBorders>
                    <w:tl2br w:val="nil"/>
                    <w:tr2bl w:val="nil"/>
                  </w:tcBorders>
                  <w:vAlign w:val="center"/>
                </w:tcPr>
                <w:p w14:paraId="62860D2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556" w:type="pct"/>
                  <w:tcBorders>
                    <w:tl2br w:val="nil"/>
                    <w:tr2bl w:val="nil"/>
                  </w:tcBorders>
                  <w:vAlign w:val="center"/>
                </w:tcPr>
                <w:p w14:paraId="03053B4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736D5A9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832" w:type="pct"/>
                  <w:tcBorders>
                    <w:tl2br w:val="nil"/>
                    <w:tr2bl w:val="nil"/>
                  </w:tcBorders>
                  <w:vAlign w:val="center"/>
                </w:tcPr>
                <w:p w14:paraId="76112E2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34FF231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694" w:type="pct"/>
                  <w:tcBorders>
                    <w:tl2br w:val="nil"/>
                    <w:tr2bl w:val="nil"/>
                  </w:tcBorders>
                  <w:vAlign w:val="center"/>
                </w:tcPr>
                <w:p w14:paraId="21C815C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06531CE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17" w:type="pct"/>
                  <w:tcBorders>
                    <w:tl2br w:val="nil"/>
                    <w:tr2bl w:val="nil"/>
                  </w:tcBorders>
                  <w:vAlign w:val="center"/>
                </w:tcPr>
                <w:p w14:paraId="7D640DE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5ED6A09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34436C1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pct"/>
                  <w:vMerge w:val="restart"/>
                  <w:tcBorders>
                    <w:tl2br w:val="nil"/>
                    <w:tr2bl w:val="nil"/>
                  </w:tcBorders>
                  <w:vAlign w:val="center"/>
                </w:tcPr>
                <w:p w14:paraId="5FF2C3B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脱色、</w:t>
                  </w:r>
                  <w:r>
                    <w:rPr>
                      <w:rFonts w:hint="default" w:ascii="Times New Roman" w:hAnsi="Times New Roman" w:cs="Times New Roman"/>
                      <w:color w:val="auto"/>
                      <w:lang w:eastAsia="zh-CN"/>
                    </w:rPr>
                    <w:t>脱臭</w:t>
                  </w:r>
                </w:p>
              </w:tc>
              <w:tc>
                <w:tcPr>
                  <w:tcW w:w="832" w:type="pct"/>
                  <w:tcBorders>
                    <w:tl2br w:val="nil"/>
                    <w:tr2bl w:val="nil"/>
                  </w:tcBorders>
                  <w:vAlign w:val="center"/>
                </w:tcPr>
                <w:p w14:paraId="1BCC2FA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非甲烷总烃</w:t>
                  </w:r>
                </w:p>
              </w:tc>
              <w:tc>
                <w:tcPr>
                  <w:tcW w:w="832" w:type="pct"/>
                  <w:vMerge w:val="restart"/>
                  <w:tcBorders>
                    <w:tl2br w:val="nil"/>
                    <w:tr2bl w:val="nil"/>
                  </w:tcBorders>
                  <w:vAlign w:val="center"/>
                </w:tcPr>
                <w:p w14:paraId="2DF317E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碱液喷淋塔</w:t>
                  </w:r>
                </w:p>
              </w:tc>
              <w:tc>
                <w:tcPr>
                  <w:tcW w:w="556" w:type="pct"/>
                  <w:vMerge w:val="restart"/>
                  <w:tcBorders>
                    <w:tl2br w:val="nil"/>
                    <w:tr2bl w:val="nil"/>
                  </w:tcBorders>
                  <w:vAlign w:val="center"/>
                </w:tcPr>
                <w:p w14:paraId="31C248F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DA003</w:t>
                  </w:r>
                </w:p>
              </w:tc>
              <w:tc>
                <w:tcPr>
                  <w:tcW w:w="832" w:type="pct"/>
                  <w:tcBorders>
                    <w:tl2br w:val="nil"/>
                    <w:tr2bl w:val="nil"/>
                  </w:tcBorders>
                  <w:shd w:val="clear" w:color="auto" w:fill="auto"/>
                  <w:vAlign w:val="center"/>
                </w:tcPr>
                <w:p w14:paraId="2BCD2F2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14.5 </w:t>
                  </w:r>
                </w:p>
              </w:tc>
              <w:tc>
                <w:tcPr>
                  <w:tcW w:w="694" w:type="pct"/>
                  <w:tcBorders>
                    <w:tl2br w:val="nil"/>
                    <w:tr2bl w:val="nil"/>
                  </w:tcBorders>
                  <w:shd w:val="clear" w:color="auto" w:fill="auto"/>
                  <w:vAlign w:val="center"/>
                </w:tcPr>
                <w:p w14:paraId="2FBC33A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0.071 </w:t>
                  </w:r>
                </w:p>
              </w:tc>
              <w:tc>
                <w:tcPr>
                  <w:tcW w:w="417" w:type="pct"/>
                  <w:tcBorders>
                    <w:tl2br w:val="nil"/>
                    <w:tr2bl w:val="nil"/>
                  </w:tcBorders>
                  <w:vAlign w:val="center"/>
                </w:tcPr>
                <w:p w14:paraId="3317FFD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0D375B1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2" w:type="pct"/>
                  <w:vMerge w:val="continue"/>
                  <w:tcBorders>
                    <w:tl2br w:val="nil"/>
                    <w:tr2bl w:val="nil"/>
                  </w:tcBorders>
                  <w:vAlign w:val="center"/>
                </w:tcPr>
                <w:p w14:paraId="123915BB">
                  <w:pPr>
                    <w:pStyle w:val="3"/>
                    <w:bidi w:val="0"/>
                    <w:rPr>
                      <w:rFonts w:hint="default" w:ascii="Times New Roman" w:hAnsi="Times New Roman" w:cs="Times New Roman"/>
                      <w:color w:val="auto"/>
                      <w:lang w:eastAsia="zh-CN"/>
                    </w:rPr>
                  </w:pPr>
                </w:p>
              </w:tc>
              <w:tc>
                <w:tcPr>
                  <w:tcW w:w="832" w:type="pct"/>
                  <w:tcBorders>
                    <w:tl2br w:val="nil"/>
                    <w:tr2bl w:val="nil"/>
                  </w:tcBorders>
                  <w:vAlign w:val="center"/>
                </w:tcPr>
                <w:p w14:paraId="6991ABD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臭气浓度</w:t>
                  </w:r>
                </w:p>
              </w:tc>
              <w:tc>
                <w:tcPr>
                  <w:tcW w:w="832" w:type="pct"/>
                  <w:vMerge w:val="continue"/>
                  <w:tcBorders>
                    <w:tl2br w:val="nil"/>
                    <w:tr2bl w:val="nil"/>
                  </w:tcBorders>
                  <w:vAlign w:val="center"/>
                </w:tcPr>
                <w:p w14:paraId="4A8AB56B">
                  <w:pPr>
                    <w:pStyle w:val="3"/>
                    <w:bidi w:val="0"/>
                    <w:rPr>
                      <w:rFonts w:hint="default" w:ascii="Times New Roman" w:hAnsi="Times New Roman" w:cs="Times New Roman"/>
                      <w:color w:val="auto"/>
                      <w:lang w:val="en-US" w:eastAsia="zh-CN"/>
                    </w:rPr>
                  </w:pPr>
                </w:p>
              </w:tc>
              <w:tc>
                <w:tcPr>
                  <w:tcW w:w="556" w:type="pct"/>
                  <w:vMerge w:val="continue"/>
                  <w:tcBorders>
                    <w:tl2br w:val="nil"/>
                    <w:tr2bl w:val="nil"/>
                  </w:tcBorders>
                  <w:vAlign w:val="center"/>
                </w:tcPr>
                <w:p w14:paraId="35488DAD">
                  <w:pPr>
                    <w:pStyle w:val="3"/>
                    <w:bidi w:val="0"/>
                    <w:rPr>
                      <w:rFonts w:hint="default" w:ascii="Times New Roman" w:hAnsi="Times New Roman" w:cs="Times New Roman"/>
                      <w:color w:val="auto"/>
                      <w:lang w:val="en-US" w:eastAsia="zh-CN"/>
                    </w:rPr>
                  </w:pPr>
                </w:p>
              </w:tc>
              <w:tc>
                <w:tcPr>
                  <w:tcW w:w="832" w:type="pct"/>
                  <w:tcBorders>
                    <w:tl2br w:val="nil"/>
                    <w:tr2bl w:val="nil"/>
                  </w:tcBorders>
                  <w:shd w:val="clear" w:color="auto" w:fill="auto"/>
                  <w:vAlign w:val="center"/>
                </w:tcPr>
                <w:p w14:paraId="572B8EC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1139</w:t>
                  </w:r>
                </w:p>
                <w:p w14:paraId="3B3D690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（无量纲）</w:t>
                  </w:r>
                  <w:r>
                    <w:rPr>
                      <w:rFonts w:hint="default" w:ascii="Times New Roman" w:hAnsi="Times New Roman" w:cs="Times New Roman"/>
                      <w:color w:val="auto"/>
                      <w:lang w:val="en-US" w:eastAsia="zh-CN"/>
                    </w:rPr>
                    <w:t xml:space="preserve"> </w:t>
                  </w:r>
                </w:p>
              </w:tc>
              <w:tc>
                <w:tcPr>
                  <w:tcW w:w="694" w:type="pct"/>
                  <w:tcBorders>
                    <w:tl2br w:val="nil"/>
                    <w:tr2bl w:val="nil"/>
                  </w:tcBorders>
                  <w:vAlign w:val="center"/>
                </w:tcPr>
                <w:p w14:paraId="42989F8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417" w:type="pct"/>
                  <w:tcBorders>
                    <w:tl2br w:val="nil"/>
                    <w:tr2bl w:val="nil"/>
                  </w:tcBorders>
                  <w:vAlign w:val="center"/>
                </w:tcPr>
                <w:p w14:paraId="7DF5CB17">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达标</w:t>
                  </w:r>
                </w:p>
              </w:tc>
            </w:tr>
            <w:tr w14:paraId="5151DAA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2" w:type="pct"/>
                  <w:tcBorders>
                    <w:tl2br w:val="nil"/>
                    <w:tr2bl w:val="nil"/>
                  </w:tcBorders>
                  <w:vAlign w:val="center"/>
                </w:tcPr>
                <w:p w14:paraId="4D55970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白土投加</w:t>
                  </w:r>
                </w:p>
              </w:tc>
              <w:tc>
                <w:tcPr>
                  <w:tcW w:w="832" w:type="pct"/>
                  <w:tcBorders>
                    <w:tl2br w:val="nil"/>
                    <w:tr2bl w:val="nil"/>
                  </w:tcBorders>
                  <w:vAlign w:val="center"/>
                </w:tcPr>
                <w:p w14:paraId="2D271C3A">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颗粒物</w:t>
                  </w:r>
                </w:p>
              </w:tc>
              <w:tc>
                <w:tcPr>
                  <w:tcW w:w="832" w:type="pct"/>
                  <w:tcBorders>
                    <w:tl2br w:val="nil"/>
                    <w:tr2bl w:val="nil"/>
                  </w:tcBorders>
                  <w:vAlign w:val="center"/>
                </w:tcPr>
                <w:p w14:paraId="35BB3C3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556" w:type="pct"/>
                  <w:tcBorders>
                    <w:tl2br w:val="nil"/>
                    <w:tr2bl w:val="nil"/>
                  </w:tcBorders>
                  <w:vAlign w:val="center"/>
                </w:tcPr>
                <w:p w14:paraId="5E52C48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DA004</w:t>
                  </w:r>
                </w:p>
              </w:tc>
              <w:tc>
                <w:tcPr>
                  <w:tcW w:w="832" w:type="pct"/>
                  <w:tcBorders>
                    <w:tl2br w:val="nil"/>
                    <w:tr2bl w:val="nil"/>
                  </w:tcBorders>
                  <w:vAlign w:val="center"/>
                </w:tcPr>
                <w:p w14:paraId="15ECF24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27.7</w:t>
                  </w:r>
                </w:p>
              </w:tc>
              <w:tc>
                <w:tcPr>
                  <w:tcW w:w="694" w:type="pct"/>
                  <w:tcBorders>
                    <w:tl2br w:val="nil"/>
                    <w:tr2bl w:val="nil"/>
                  </w:tcBorders>
                  <w:vAlign w:val="center"/>
                </w:tcPr>
                <w:p w14:paraId="653DF99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0.04</w:t>
                  </w:r>
                </w:p>
              </w:tc>
              <w:tc>
                <w:tcPr>
                  <w:tcW w:w="417" w:type="pct"/>
                  <w:tcBorders>
                    <w:tl2br w:val="nil"/>
                    <w:tr2bl w:val="nil"/>
                  </w:tcBorders>
                  <w:vAlign w:val="center"/>
                </w:tcPr>
                <w:p w14:paraId="1491CF71">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达标</w:t>
                  </w:r>
                </w:p>
              </w:tc>
            </w:tr>
          </w:tbl>
          <w:p w14:paraId="5ACB96F4">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由表2.7-3可知：精炼车间</w:t>
            </w:r>
            <w:r>
              <w:rPr>
                <w:rFonts w:hint="default" w:ascii="Times New Roman" w:hAnsi="Times New Roman" w:eastAsia="宋体" w:cs="Times New Roman"/>
                <w:color w:val="auto"/>
                <w:sz w:val="24"/>
                <w:szCs w:val="24"/>
                <w:lang w:eastAsia="zh-CN"/>
              </w:rPr>
              <w:t>产生的颗粒物、非甲烷总烃经收集、处理后排放浓度、排放速率满足</w:t>
            </w:r>
            <w:r>
              <w:rPr>
                <w:rFonts w:hint="default" w:ascii="Times New Roman" w:hAnsi="Times New Roman" w:eastAsia="宋体" w:cs="Times New Roman"/>
                <w:color w:val="auto"/>
                <w:sz w:val="24"/>
                <w:szCs w:val="24"/>
              </w:rPr>
              <w:t>《大气污染物综合排放标准》（DB50/418-2016）表1</w:t>
            </w:r>
            <w:r>
              <w:rPr>
                <w:rFonts w:hint="default" w:ascii="Times New Roman" w:hAnsi="Times New Roman" w:eastAsia="宋体" w:cs="Times New Roman"/>
                <w:color w:val="auto"/>
                <w:sz w:val="24"/>
                <w:szCs w:val="24"/>
                <w:lang w:eastAsia="zh-CN"/>
              </w:rPr>
              <w:t>标准要求；臭气浓度满足《恶臭污染物排放标准》（</w:t>
            </w:r>
            <w:r>
              <w:rPr>
                <w:rFonts w:hint="default" w:ascii="Times New Roman" w:hAnsi="Times New Roman" w:eastAsia="宋体" w:cs="Times New Roman"/>
                <w:color w:val="auto"/>
                <w:sz w:val="24"/>
                <w:szCs w:val="24"/>
                <w:lang w:val="en-US" w:eastAsia="zh-CN"/>
              </w:rPr>
              <w:t>GB14554-93</w:t>
            </w:r>
            <w:r>
              <w:rPr>
                <w:rFonts w:hint="default" w:ascii="Times New Roman" w:hAnsi="Times New Roman" w:eastAsia="宋体" w:cs="Times New Roman"/>
                <w:color w:val="auto"/>
                <w:sz w:val="24"/>
                <w:szCs w:val="24"/>
                <w:lang w:eastAsia="zh-CN"/>
              </w:rPr>
              <w:t>）的要求。</w:t>
            </w:r>
          </w:p>
          <w:p w14:paraId="30B53B4E">
            <w:pPr>
              <w:pStyle w:val="23"/>
              <w:keepNext w:val="0"/>
              <w:keepLines w:val="0"/>
              <w:pageBreakBefore w:val="0"/>
              <w:widowControl w:val="0"/>
              <w:kinsoku/>
              <w:wordWrap/>
              <w:overflowPunct/>
              <w:topLinePunct w:val="0"/>
              <w:bidi w:val="0"/>
              <w:adjustRightInd w:val="0"/>
              <w:snapToGrid w:val="0"/>
              <w:spacing w:line="360" w:lineRule="auto"/>
              <w:ind w:firstLine="480" w:firstLineChars="200"/>
              <w:jc w:val="both"/>
              <w:textAlignment w:val="auto"/>
              <w:rPr>
                <w:rFonts w:hint="eastAsia" w:ascii="宋体" w:hAnsi="宋体" w:eastAsia="宋体" w:cs="宋体"/>
                <w:bCs/>
                <w:color w:val="auto"/>
                <w:lang w:eastAsia="zh-CN"/>
              </w:rPr>
            </w:pPr>
            <w:r>
              <w:rPr>
                <w:rFonts w:hint="eastAsia" w:ascii="宋体" w:hAnsi="宋体" w:cs="宋体"/>
                <w:color w:val="auto"/>
                <w:sz w:val="24"/>
                <w:szCs w:val="24"/>
              </w:rPr>
              <w:t>③</w:t>
            </w:r>
            <w:r>
              <w:rPr>
                <w:rFonts w:hint="eastAsia" w:ascii="宋体" w:hAnsi="宋体" w:eastAsia="宋体" w:cs="宋体"/>
                <w:bCs/>
                <w:color w:val="auto"/>
                <w:lang w:eastAsia="zh-CN"/>
              </w:rPr>
              <w:t>锅炉</w:t>
            </w:r>
          </w:p>
          <w:p w14:paraId="565C32CE">
            <w:pPr>
              <w:pStyle w:val="23"/>
              <w:spacing w:line="360" w:lineRule="auto"/>
              <w:ind w:firstLine="480" w:firstLineChars="200"/>
              <w:jc w:val="both"/>
              <w:rPr>
                <w:rFonts w:hint="default" w:ascii="Times New Roman" w:hAnsi="Times New Roman" w:eastAsia="宋体"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现有工程配备1台燃气锅炉为精炼生产线提供蒸汽，天然气燃烧将产生SO</w:t>
            </w:r>
            <w:r>
              <w:rPr>
                <w:rFonts w:hint="eastAsia" w:ascii="Times New Roman" w:eastAsia="宋体" w:cs="Times New Roman"/>
                <w:b w:val="0"/>
                <w:bCs/>
                <w:color w:val="auto"/>
                <w:kern w:val="2"/>
                <w:sz w:val="24"/>
                <w:szCs w:val="24"/>
                <w:vertAlign w:val="subscript"/>
                <w:lang w:val="en-US" w:eastAsia="zh-CN" w:bidi="ar-SA"/>
              </w:rPr>
              <w:t>2</w:t>
            </w:r>
            <w:r>
              <w:rPr>
                <w:rFonts w:hint="eastAsia" w:ascii="Times New Roman" w:eastAsia="宋体" w:cs="Times New Roman"/>
                <w:b w:val="0"/>
                <w:bCs/>
                <w:color w:val="auto"/>
                <w:kern w:val="2"/>
                <w:sz w:val="24"/>
                <w:szCs w:val="24"/>
                <w:lang w:val="en-US" w:eastAsia="zh-CN" w:bidi="ar-SA"/>
              </w:rPr>
              <w:t>、NO</w:t>
            </w:r>
            <w:r>
              <w:rPr>
                <w:rFonts w:hint="eastAsia" w:ascii="Times New Roman" w:eastAsia="宋体" w:cs="Times New Roman"/>
                <w:b w:val="0"/>
                <w:bCs/>
                <w:color w:val="auto"/>
                <w:kern w:val="2"/>
                <w:sz w:val="24"/>
                <w:szCs w:val="24"/>
                <w:vertAlign w:val="subscript"/>
                <w:lang w:val="en-US" w:eastAsia="zh-CN" w:bidi="ar-SA"/>
              </w:rPr>
              <w:t>X</w:t>
            </w:r>
            <w:r>
              <w:rPr>
                <w:rFonts w:hint="eastAsia" w:ascii="Times New Roman" w:eastAsia="宋体" w:cs="Times New Roman"/>
                <w:b w:val="0"/>
                <w:bCs/>
                <w:color w:val="auto"/>
                <w:kern w:val="2"/>
                <w:sz w:val="24"/>
                <w:szCs w:val="24"/>
                <w:lang w:val="en-US" w:eastAsia="zh-CN" w:bidi="ar-SA"/>
              </w:rPr>
              <w:t>、颗粒物，天然气燃烧废气经低氮燃烧器处理后引至35m高的DA005排气筒排放。</w:t>
            </w:r>
          </w:p>
          <w:p w14:paraId="69A409D0">
            <w:pPr>
              <w:pStyle w:val="23"/>
              <w:spacing w:line="360" w:lineRule="auto"/>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default" w:ascii="Times New Roman" w:hAnsi="Times New Roman" w:eastAsia="宋体" w:cs="Times New Roman"/>
                <w:b w:val="0"/>
                <w:bCs/>
                <w:color w:val="auto"/>
                <w:kern w:val="2"/>
                <w:sz w:val="24"/>
                <w:szCs w:val="24"/>
                <w:lang w:val="en-US" w:eastAsia="zh-CN" w:bidi="ar-SA"/>
              </w:rPr>
              <w:t>锅炉天然气燃烧</w:t>
            </w:r>
            <w:r>
              <w:rPr>
                <w:rFonts w:hint="default" w:ascii="Times New Roman" w:hAnsi="Times New Roman" w:cs="Times New Roman"/>
                <w:color w:val="auto"/>
                <w:sz w:val="24"/>
                <w:szCs w:val="24"/>
                <w:lang w:eastAsia="zh-CN"/>
              </w:rPr>
              <w:t>产生的</w:t>
            </w: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lang w:val="en-US" w:eastAsia="zh-CN"/>
              </w:rPr>
              <w:t>、颗粒物</w:t>
            </w:r>
            <w:r>
              <w:rPr>
                <w:rFonts w:hint="default" w:ascii="Times New Roman" w:hAnsi="Times New Roman" w:eastAsia="宋体" w:cs="Times New Roman"/>
                <w:b w:val="0"/>
                <w:bCs/>
                <w:color w:val="auto"/>
                <w:kern w:val="2"/>
                <w:sz w:val="24"/>
                <w:szCs w:val="24"/>
                <w:lang w:val="en-US" w:eastAsia="zh-CN" w:bidi="ar-SA"/>
              </w:rPr>
              <w:t>排放情况见表2.</w:t>
            </w:r>
            <w:r>
              <w:rPr>
                <w:rFonts w:hint="eastAsia" w:ascii="Times New Roman" w:eastAsia="宋体" w:cs="Times New Roman"/>
                <w:b w:val="0"/>
                <w:bCs/>
                <w:color w:val="auto"/>
                <w:kern w:val="2"/>
                <w:sz w:val="24"/>
                <w:szCs w:val="24"/>
                <w:lang w:val="en-US" w:eastAsia="zh-CN" w:bidi="ar-SA"/>
              </w:rPr>
              <w:t>7-4</w:t>
            </w:r>
            <w:r>
              <w:rPr>
                <w:rFonts w:hint="default" w:ascii="Times New Roman" w:hAnsi="Times New Roman" w:eastAsia="宋体" w:cs="Times New Roman"/>
                <w:b w:val="0"/>
                <w:bCs/>
                <w:color w:val="auto"/>
                <w:kern w:val="2"/>
                <w:sz w:val="24"/>
                <w:szCs w:val="24"/>
                <w:lang w:val="en-US" w:eastAsia="zh-CN" w:bidi="ar-SA"/>
              </w:rPr>
              <w:t>。</w:t>
            </w:r>
          </w:p>
          <w:p w14:paraId="6A2B72B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2.7-4 燃气锅炉污染物排放情况一览表</w:t>
            </w:r>
          </w:p>
          <w:tbl>
            <w:tblPr>
              <w:tblStyle w:val="18"/>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83"/>
              <w:gridCol w:w="1027"/>
              <w:gridCol w:w="1539"/>
              <w:gridCol w:w="1027"/>
              <w:gridCol w:w="1452"/>
              <w:gridCol w:w="1284"/>
              <w:gridCol w:w="772"/>
            </w:tblGrid>
            <w:tr w14:paraId="2BAE9C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pct"/>
                  <w:tcBorders>
                    <w:tl2br w:val="nil"/>
                    <w:tr2bl w:val="nil"/>
                  </w:tcBorders>
                  <w:vAlign w:val="center"/>
                </w:tcPr>
                <w:p w14:paraId="579A001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612" w:type="pct"/>
                  <w:tcBorders>
                    <w:tl2br w:val="nil"/>
                    <w:tr2bl w:val="nil"/>
                  </w:tcBorders>
                  <w:vAlign w:val="center"/>
                </w:tcPr>
                <w:p w14:paraId="70F0BD2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3208C85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917" w:type="pct"/>
                  <w:tcBorders>
                    <w:tl2br w:val="nil"/>
                    <w:tr2bl w:val="nil"/>
                  </w:tcBorders>
                  <w:vAlign w:val="center"/>
                </w:tcPr>
                <w:p w14:paraId="06A0D02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612" w:type="pct"/>
                  <w:tcBorders>
                    <w:tl2br w:val="nil"/>
                    <w:tr2bl w:val="nil"/>
                  </w:tcBorders>
                  <w:vAlign w:val="center"/>
                </w:tcPr>
                <w:p w14:paraId="4171346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25FF004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865" w:type="pct"/>
                  <w:tcBorders>
                    <w:tl2br w:val="nil"/>
                    <w:tr2bl w:val="nil"/>
                  </w:tcBorders>
                  <w:vAlign w:val="center"/>
                </w:tcPr>
                <w:p w14:paraId="71ED804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1D27E02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65" w:type="pct"/>
                  <w:tcBorders>
                    <w:tl2br w:val="nil"/>
                    <w:tr2bl w:val="nil"/>
                  </w:tcBorders>
                  <w:vAlign w:val="center"/>
                </w:tcPr>
                <w:p w14:paraId="7974154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57AAF09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60" w:type="pct"/>
                  <w:tcBorders>
                    <w:tl2br w:val="nil"/>
                    <w:tr2bl w:val="nil"/>
                  </w:tcBorders>
                  <w:vAlign w:val="center"/>
                </w:tcPr>
                <w:p w14:paraId="2A365C1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1358DF2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7B5418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5" w:type="pct"/>
                  <w:vMerge w:val="restart"/>
                  <w:tcBorders>
                    <w:tl2br w:val="nil"/>
                    <w:tr2bl w:val="nil"/>
                  </w:tcBorders>
                  <w:vAlign w:val="center"/>
                </w:tcPr>
                <w:p w14:paraId="10DF6FD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燃气锅炉</w:t>
                  </w:r>
                </w:p>
              </w:tc>
              <w:tc>
                <w:tcPr>
                  <w:tcW w:w="612" w:type="pct"/>
                  <w:tcBorders>
                    <w:tl2br w:val="nil"/>
                    <w:tr2bl w:val="nil"/>
                  </w:tcBorders>
                  <w:vAlign w:val="center"/>
                </w:tcPr>
                <w:p w14:paraId="5A7E216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p>
              </w:tc>
              <w:tc>
                <w:tcPr>
                  <w:tcW w:w="917" w:type="pct"/>
                  <w:tcBorders>
                    <w:tl2br w:val="nil"/>
                    <w:tr2bl w:val="nil"/>
                  </w:tcBorders>
                  <w:vAlign w:val="center"/>
                </w:tcPr>
                <w:p w14:paraId="345FFB2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t>
                  </w:r>
                </w:p>
              </w:tc>
              <w:tc>
                <w:tcPr>
                  <w:tcW w:w="612" w:type="pct"/>
                  <w:vMerge w:val="restart"/>
                  <w:tcBorders>
                    <w:tl2br w:val="nil"/>
                    <w:tr2bl w:val="nil"/>
                  </w:tcBorders>
                  <w:vAlign w:val="center"/>
                </w:tcPr>
                <w:p w14:paraId="7A27F57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DA005</w:t>
                  </w:r>
                </w:p>
              </w:tc>
              <w:tc>
                <w:tcPr>
                  <w:tcW w:w="865" w:type="pct"/>
                  <w:tcBorders>
                    <w:tl2br w:val="nil"/>
                    <w:tr2bl w:val="nil"/>
                  </w:tcBorders>
                  <w:vAlign w:val="center"/>
                </w:tcPr>
                <w:p w14:paraId="6A60FA47">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3L</w:t>
                  </w:r>
                </w:p>
              </w:tc>
              <w:tc>
                <w:tcPr>
                  <w:tcW w:w="765" w:type="pct"/>
                  <w:tcBorders>
                    <w:tl2br w:val="nil"/>
                    <w:tr2bl w:val="nil"/>
                  </w:tcBorders>
                  <w:vAlign w:val="center"/>
                </w:tcPr>
                <w:p w14:paraId="26DD3F70">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N</w:t>
                  </w:r>
                </w:p>
              </w:tc>
              <w:tc>
                <w:tcPr>
                  <w:tcW w:w="460" w:type="pct"/>
                  <w:tcBorders>
                    <w:tl2br w:val="nil"/>
                    <w:tr2bl w:val="nil"/>
                  </w:tcBorders>
                  <w:vAlign w:val="center"/>
                </w:tcPr>
                <w:p w14:paraId="4C7C11B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0BF3C4A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765" w:type="pct"/>
                  <w:vMerge w:val="continue"/>
                  <w:tcBorders>
                    <w:tl2br w:val="nil"/>
                    <w:tr2bl w:val="nil"/>
                  </w:tcBorders>
                  <w:vAlign w:val="center"/>
                </w:tcPr>
                <w:p w14:paraId="33AC1C10">
                  <w:pPr>
                    <w:pStyle w:val="3"/>
                    <w:bidi w:val="0"/>
                    <w:rPr>
                      <w:rFonts w:hint="default" w:ascii="Times New Roman" w:hAnsi="Times New Roman" w:cs="Times New Roman"/>
                      <w:color w:val="auto"/>
                      <w:lang w:eastAsia="zh-CN"/>
                    </w:rPr>
                  </w:pPr>
                </w:p>
              </w:tc>
              <w:tc>
                <w:tcPr>
                  <w:tcW w:w="612" w:type="pct"/>
                  <w:tcBorders>
                    <w:tl2br w:val="nil"/>
                    <w:tr2bl w:val="nil"/>
                  </w:tcBorders>
                  <w:vAlign w:val="center"/>
                </w:tcPr>
                <w:p w14:paraId="7714A92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X</w:t>
                  </w:r>
                </w:p>
              </w:tc>
              <w:tc>
                <w:tcPr>
                  <w:tcW w:w="917" w:type="pct"/>
                  <w:tcBorders>
                    <w:tl2br w:val="nil"/>
                    <w:tr2bl w:val="nil"/>
                  </w:tcBorders>
                  <w:vAlign w:val="center"/>
                </w:tcPr>
                <w:p w14:paraId="00748B0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低氮燃烧器</w:t>
                  </w:r>
                </w:p>
              </w:tc>
              <w:tc>
                <w:tcPr>
                  <w:tcW w:w="612" w:type="pct"/>
                  <w:vMerge w:val="continue"/>
                  <w:tcBorders>
                    <w:tl2br w:val="nil"/>
                    <w:tr2bl w:val="nil"/>
                  </w:tcBorders>
                  <w:vAlign w:val="center"/>
                </w:tcPr>
                <w:p w14:paraId="3C0E257E">
                  <w:pPr>
                    <w:pStyle w:val="3"/>
                    <w:bidi w:val="0"/>
                    <w:rPr>
                      <w:rFonts w:hint="default" w:ascii="Times New Roman" w:hAnsi="Times New Roman" w:cs="Times New Roman"/>
                      <w:color w:val="auto"/>
                      <w:lang w:val="en-US" w:eastAsia="zh-CN"/>
                    </w:rPr>
                  </w:pPr>
                </w:p>
              </w:tc>
              <w:tc>
                <w:tcPr>
                  <w:tcW w:w="865" w:type="pct"/>
                  <w:tcBorders>
                    <w:tl2br w:val="nil"/>
                    <w:tr2bl w:val="nil"/>
                  </w:tcBorders>
                  <w:vAlign w:val="center"/>
                </w:tcPr>
                <w:p w14:paraId="69D0B93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24.667</w:t>
                  </w:r>
                </w:p>
              </w:tc>
              <w:tc>
                <w:tcPr>
                  <w:tcW w:w="765" w:type="pct"/>
                  <w:tcBorders>
                    <w:tl2br w:val="nil"/>
                    <w:tr2bl w:val="nil"/>
                  </w:tcBorders>
                  <w:vAlign w:val="center"/>
                </w:tcPr>
                <w:p w14:paraId="6B156A5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0.017</w:t>
                  </w:r>
                </w:p>
              </w:tc>
              <w:tc>
                <w:tcPr>
                  <w:tcW w:w="460" w:type="pct"/>
                  <w:tcBorders>
                    <w:tl2br w:val="nil"/>
                    <w:tr2bl w:val="nil"/>
                  </w:tcBorders>
                  <w:vAlign w:val="center"/>
                </w:tcPr>
                <w:p w14:paraId="73BA5D55">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达标</w:t>
                  </w:r>
                </w:p>
              </w:tc>
            </w:tr>
            <w:tr w14:paraId="7CDFE3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65" w:type="pct"/>
                  <w:vMerge w:val="continue"/>
                  <w:tcBorders>
                    <w:tl2br w:val="nil"/>
                    <w:tr2bl w:val="nil"/>
                  </w:tcBorders>
                  <w:vAlign w:val="center"/>
                </w:tcPr>
                <w:p w14:paraId="17C2389E">
                  <w:pPr>
                    <w:pStyle w:val="3"/>
                    <w:bidi w:val="0"/>
                    <w:rPr>
                      <w:rFonts w:hint="default" w:ascii="Times New Roman" w:hAnsi="Times New Roman" w:cs="Times New Roman"/>
                      <w:color w:val="auto"/>
                      <w:lang w:eastAsia="zh-CN"/>
                    </w:rPr>
                  </w:pPr>
                </w:p>
              </w:tc>
              <w:tc>
                <w:tcPr>
                  <w:tcW w:w="612" w:type="pct"/>
                  <w:tcBorders>
                    <w:tl2br w:val="nil"/>
                    <w:tr2bl w:val="nil"/>
                  </w:tcBorders>
                  <w:vAlign w:val="center"/>
                </w:tcPr>
                <w:p w14:paraId="2B05AED4">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颗粒物</w:t>
                  </w:r>
                </w:p>
              </w:tc>
              <w:tc>
                <w:tcPr>
                  <w:tcW w:w="917" w:type="pct"/>
                  <w:tcBorders>
                    <w:tl2br w:val="nil"/>
                    <w:tr2bl w:val="nil"/>
                  </w:tcBorders>
                  <w:vAlign w:val="center"/>
                </w:tcPr>
                <w:p w14:paraId="36F35E0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w:t>
                  </w:r>
                </w:p>
              </w:tc>
              <w:tc>
                <w:tcPr>
                  <w:tcW w:w="612" w:type="pct"/>
                  <w:vMerge w:val="continue"/>
                  <w:tcBorders>
                    <w:tl2br w:val="nil"/>
                    <w:tr2bl w:val="nil"/>
                  </w:tcBorders>
                  <w:vAlign w:val="center"/>
                </w:tcPr>
                <w:p w14:paraId="0BC23FB8">
                  <w:pPr>
                    <w:pStyle w:val="3"/>
                    <w:bidi w:val="0"/>
                    <w:rPr>
                      <w:rFonts w:hint="default" w:ascii="Times New Roman" w:hAnsi="Times New Roman" w:cs="Times New Roman"/>
                      <w:color w:val="auto"/>
                      <w:lang w:val="en-US" w:eastAsia="zh-CN"/>
                    </w:rPr>
                  </w:pPr>
                </w:p>
              </w:tc>
              <w:tc>
                <w:tcPr>
                  <w:tcW w:w="865" w:type="pct"/>
                  <w:tcBorders>
                    <w:tl2br w:val="nil"/>
                    <w:tr2bl w:val="nil"/>
                  </w:tcBorders>
                  <w:vAlign w:val="center"/>
                </w:tcPr>
                <w:p w14:paraId="232AC1A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5.067</w:t>
                  </w:r>
                </w:p>
              </w:tc>
              <w:tc>
                <w:tcPr>
                  <w:tcW w:w="765" w:type="pct"/>
                  <w:tcBorders>
                    <w:tl2br w:val="nil"/>
                    <w:tr2bl w:val="nil"/>
                  </w:tcBorders>
                  <w:vAlign w:val="center"/>
                </w:tcPr>
                <w:p w14:paraId="1C70F5B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0.004</w:t>
                  </w:r>
                </w:p>
              </w:tc>
              <w:tc>
                <w:tcPr>
                  <w:tcW w:w="460" w:type="pct"/>
                  <w:tcBorders>
                    <w:tl2br w:val="nil"/>
                    <w:tr2bl w:val="nil"/>
                  </w:tcBorders>
                  <w:vAlign w:val="center"/>
                </w:tcPr>
                <w:p w14:paraId="728E3C99">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达标</w:t>
                  </w:r>
                </w:p>
              </w:tc>
            </w:tr>
          </w:tbl>
          <w:p w14:paraId="684DD44A">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由表2.7-4可知：现有工程锅炉天然气燃烧产生的</w:t>
            </w:r>
            <w:r>
              <w:rPr>
                <w:rFonts w:hint="default" w:ascii="Times New Roman" w:hAnsi="Times New Roman" w:cs="Times New Roman"/>
                <w:color w:val="auto"/>
                <w:sz w:val="24"/>
                <w:szCs w:val="24"/>
                <w:lang w:val="en-US" w:eastAsia="zh-CN"/>
              </w:rPr>
              <w:t>SO</w:t>
            </w:r>
            <w:r>
              <w:rPr>
                <w:rFonts w:hint="default" w:ascii="Times New Roman" w:hAnsi="Times New Roman" w:cs="Times New Roman"/>
                <w:color w:val="auto"/>
                <w:sz w:val="24"/>
                <w:szCs w:val="24"/>
                <w:vertAlign w:val="subscript"/>
                <w:lang w:val="en-US" w:eastAsia="zh-CN"/>
              </w:rPr>
              <w:t>2</w:t>
            </w:r>
            <w:r>
              <w:rPr>
                <w:rFonts w:hint="default" w:ascii="Times New Roman" w:hAnsi="Times New Roman" w:cs="Times New Roman"/>
                <w:color w:val="auto"/>
                <w:sz w:val="24"/>
                <w:szCs w:val="24"/>
                <w:lang w:val="en-US" w:eastAsia="zh-CN"/>
              </w:rPr>
              <w:t>、NO</w:t>
            </w:r>
            <w:r>
              <w:rPr>
                <w:rFonts w:hint="default" w:ascii="Times New Roman" w:hAnsi="Times New Roman" w:cs="Times New Roman"/>
                <w:color w:val="auto"/>
                <w:sz w:val="24"/>
                <w:szCs w:val="24"/>
                <w:vertAlign w:val="subscript"/>
                <w:lang w:val="en-US" w:eastAsia="zh-CN"/>
              </w:rPr>
              <w:t>X</w:t>
            </w:r>
            <w:r>
              <w:rPr>
                <w:rFonts w:hint="default" w:ascii="Times New Roman" w:hAnsi="Times New Roman" w:cs="Times New Roman"/>
                <w:color w:val="auto"/>
                <w:sz w:val="24"/>
                <w:szCs w:val="24"/>
                <w:lang w:val="en-US" w:eastAsia="zh-CN"/>
              </w:rPr>
              <w:t>、颗粒物</w:t>
            </w:r>
            <w:r>
              <w:rPr>
                <w:rFonts w:hint="default" w:ascii="Times New Roman" w:hAnsi="Times New Roman" w:eastAsia="宋体" w:cs="Times New Roman"/>
                <w:color w:val="auto"/>
                <w:sz w:val="24"/>
                <w:szCs w:val="24"/>
                <w:lang w:eastAsia="zh-CN"/>
              </w:rPr>
              <w:t>其排放浓度、排放速率满足</w:t>
            </w:r>
            <w:r>
              <w:rPr>
                <w:rFonts w:hint="default" w:ascii="Times New Roman" w:hAnsi="Times New Roman" w:eastAsia="宋体" w:cs="Times New Roman"/>
                <w:color w:val="auto"/>
                <w:sz w:val="24"/>
                <w:szCs w:val="24"/>
              </w:rPr>
              <w:t>《锅炉大气污染物排放标准》（DB50/658-2016）</w:t>
            </w:r>
            <w:r>
              <w:rPr>
                <w:rFonts w:hint="default" w:ascii="Times New Roman" w:hAnsi="Times New Roman" w:cs="Times New Roman"/>
                <w:color w:val="auto"/>
              </w:rPr>
              <w:t>重庆市地方标准第1号修改单</w:t>
            </w:r>
            <w:r>
              <w:rPr>
                <w:rFonts w:hint="default" w:ascii="Times New Roman" w:hAnsi="Times New Roman" w:eastAsia="宋体" w:cs="Times New Roman"/>
                <w:color w:val="auto"/>
                <w:sz w:val="24"/>
                <w:szCs w:val="24"/>
                <w:lang w:eastAsia="zh-CN"/>
              </w:rPr>
              <w:t>的标准要求。</w:t>
            </w:r>
          </w:p>
          <w:p w14:paraId="15BCF973">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宋体" w:eastAsia="宋体" w:cs="宋体"/>
                <w:color w:val="auto"/>
                <w:sz w:val="24"/>
                <w:szCs w:val="24"/>
                <w:lang w:eastAsia="zh-CN"/>
              </w:rPr>
            </w:pPr>
            <w:r>
              <w:rPr>
                <w:rFonts w:hint="eastAsia" w:ascii="宋体" w:hAnsi="宋体" w:eastAsia="宋体" w:cs="宋体"/>
                <w:bCs/>
                <w:color w:val="auto"/>
              </w:rPr>
              <w:t>④</w:t>
            </w:r>
            <w:r>
              <w:rPr>
                <w:rFonts w:hint="eastAsia" w:hAnsi="宋体" w:eastAsia="宋体" w:cs="宋体"/>
                <w:color w:val="auto"/>
                <w:sz w:val="24"/>
                <w:szCs w:val="24"/>
                <w:lang w:eastAsia="zh-CN"/>
              </w:rPr>
              <w:t>污水处理站</w:t>
            </w:r>
          </w:p>
          <w:p w14:paraId="0C78710B">
            <w:pPr>
              <w:pStyle w:val="23"/>
              <w:spacing w:line="360" w:lineRule="auto"/>
              <w:ind w:firstLine="480" w:firstLineChars="200"/>
              <w:jc w:val="both"/>
              <w:rPr>
                <w:rFonts w:hint="default" w:ascii="Times New Roman" w:hAnsi="Times New Roman" w:eastAsia="宋体"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厂区内建有1座处理规模为500m</w:t>
            </w:r>
            <w:r>
              <w:rPr>
                <w:rFonts w:hint="eastAsia" w:ascii="Times New Roman" w:eastAsia="宋体" w:cs="Times New Roman"/>
                <w:b w:val="0"/>
                <w:bCs/>
                <w:color w:val="auto"/>
                <w:kern w:val="2"/>
                <w:sz w:val="24"/>
                <w:szCs w:val="24"/>
                <w:vertAlign w:val="superscript"/>
                <w:lang w:val="en-US" w:eastAsia="zh-CN" w:bidi="ar-SA"/>
              </w:rPr>
              <w:t>3</w:t>
            </w:r>
            <w:r>
              <w:rPr>
                <w:rFonts w:hint="eastAsia" w:ascii="Times New Roman" w:eastAsia="宋体" w:cs="Times New Roman"/>
                <w:b w:val="0"/>
                <w:bCs/>
                <w:color w:val="auto"/>
                <w:kern w:val="2"/>
                <w:sz w:val="24"/>
                <w:szCs w:val="24"/>
                <w:lang w:val="en-US" w:eastAsia="zh-CN" w:bidi="ar-SA"/>
              </w:rPr>
              <w:t>/d的污水处理站，污水处理站将产生臭气浓度，</w:t>
            </w:r>
            <w:r>
              <w:rPr>
                <w:rFonts w:hint="default" w:ascii="Times New Roman" w:hAnsi="Times New Roman" w:cs="Times New Roman"/>
                <w:color w:val="auto"/>
                <w:lang w:val="en-US" w:eastAsia="zh-CN"/>
              </w:rPr>
              <w:t>污水</w:t>
            </w:r>
            <w:r>
              <w:rPr>
                <w:rFonts w:hint="eastAsia" w:ascii="Times New Roman" w:cs="Times New Roman"/>
                <w:color w:val="auto"/>
                <w:lang w:val="en-US" w:eastAsia="zh-CN"/>
              </w:rPr>
              <w:t>处理</w:t>
            </w:r>
            <w:r>
              <w:rPr>
                <w:rFonts w:hint="eastAsia" w:ascii="Times New Roman" w:hAnsi="Times New Roman" w:cs="Times New Roman"/>
                <w:color w:val="auto"/>
                <w:lang w:val="en-US" w:eastAsia="zh-CN"/>
              </w:rPr>
              <w:t>站各构筑物</w:t>
            </w:r>
            <w:r>
              <w:rPr>
                <w:rFonts w:hint="eastAsia" w:ascii="Times New Roman" w:hAnsi="Times New Roman" w:cs="Times New Roman"/>
                <w:color w:val="auto"/>
                <w:highlight w:val="none"/>
                <w:lang w:val="en-US" w:eastAsia="zh-CN"/>
              </w:rPr>
              <w:t>采用顶部加盖盖板，各构筑物产生的臭气浓度经加盖收集后</w:t>
            </w:r>
            <w:r>
              <w:rPr>
                <w:rFonts w:hint="eastAsia" w:ascii="Times New Roman" w:cs="Times New Roman"/>
                <w:color w:val="auto"/>
                <w:highlight w:val="none"/>
                <w:lang w:val="en-US" w:eastAsia="zh-CN"/>
              </w:rPr>
              <w:t>采用“次氯酸钠+碱液喷淋塔”</w:t>
            </w:r>
            <w:r>
              <w:rPr>
                <w:rFonts w:hint="eastAsia" w:ascii="Times New Roman" w:hAnsi="Times New Roman" w:cs="Times New Roman"/>
                <w:color w:val="auto"/>
                <w:highlight w:val="none"/>
                <w:lang w:val="en-US" w:eastAsia="zh-CN"/>
              </w:rPr>
              <w:t>处理后</w:t>
            </w:r>
            <w:r>
              <w:rPr>
                <w:rFonts w:hint="default" w:ascii="Times New Roman" w:hAnsi="Times New Roman" w:cs="Times New Roman"/>
                <w:color w:val="auto"/>
                <w:highlight w:val="none"/>
                <w:lang w:val="en-US" w:eastAsia="zh-CN"/>
              </w:rPr>
              <w:t>，经</w:t>
            </w:r>
            <w:r>
              <w:rPr>
                <w:rFonts w:hint="default" w:ascii="Times New Roman" w:hAnsi="Times New Roman" w:cs="Times New Roman"/>
                <w:color w:val="auto"/>
                <w:lang w:val="en-US" w:eastAsia="zh-CN"/>
              </w:rPr>
              <w:t>15m高</w:t>
            </w:r>
            <w:r>
              <w:rPr>
                <w:rFonts w:hint="eastAsia" w:ascii="Times New Roman" w:hAnsi="Times New Roman" w:cs="Times New Roman"/>
                <w:color w:val="auto"/>
                <w:lang w:val="en-US" w:eastAsia="zh-CN"/>
              </w:rPr>
              <w:t>DA006</w:t>
            </w:r>
            <w:r>
              <w:rPr>
                <w:rFonts w:hint="default" w:ascii="Times New Roman" w:hAnsi="Times New Roman" w:cs="Times New Roman"/>
                <w:color w:val="auto"/>
                <w:lang w:val="en-US" w:eastAsia="zh-CN"/>
              </w:rPr>
              <w:t>排气筒</w:t>
            </w:r>
            <w:r>
              <w:rPr>
                <w:rFonts w:hint="eastAsia" w:ascii="Times New Roman" w:cs="Times New Roman"/>
                <w:color w:val="auto"/>
                <w:lang w:val="en-US" w:eastAsia="zh-CN"/>
              </w:rPr>
              <w:t>排放。</w:t>
            </w:r>
          </w:p>
          <w:p w14:paraId="69AD4132">
            <w:pPr>
              <w:pStyle w:val="23"/>
              <w:spacing w:line="360" w:lineRule="auto"/>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eastAsia" w:ascii="Times New Roman" w:eastAsia="宋体" w:cs="Times New Roman"/>
                <w:b w:val="0"/>
                <w:bCs/>
                <w:color w:val="auto"/>
                <w:kern w:val="2"/>
                <w:sz w:val="24"/>
                <w:szCs w:val="24"/>
                <w:lang w:val="en-US" w:eastAsia="zh-CN" w:bidi="ar-SA"/>
              </w:rPr>
              <w:t>污水处理站</w:t>
            </w:r>
            <w:r>
              <w:rPr>
                <w:rFonts w:hint="default" w:ascii="Times New Roman" w:hAnsi="Times New Roman" w:cs="Times New Roman"/>
                <w:color w:val="auto"/>
                <w:sz w:val="24"/>
                <w:szCs w:val="24"/>
                <w:lang w:eastAsia="zh-CN"/>
              </w:rPr>
              <w:t>产生的</w:t>
            </w:r>
            <w:r>
              <w:rPr>
                <w:rFonts w:hint="eastAsia" w:ascii="Times New Roman" w:cs="Times New Roman"/>
                <w:color w:val="auto"/>
                <w:sz w:val="24"/>
                <w:szCs w:val="24"/>
                <w:lang w:val="en-US" w:eastAsia="zh-CN"/>
              </w:rPr>
              <w:t>硫化氢、氨</w:t>
            </w:r>
            <w:r>
              <w:rPr>
                <w:rFonts w:hint="default" w:ascii="Times New Roman" w:hAnsi="Times New Roman" w:eastAsia="宋体" w:cs="Times New Roman"/>
                <w:b w:val="0"/>
                <w:bCs/>
                <w:color w:val="auto"/>
                <w:kern w:val="2"/>
                <w:sz w:val="24"/>
                <w:szCs w:val="24"/>
                <w:lang w:val="en-US" w:eastAsia="zh-CN" w:bidi="ar-SA"/>
              </w:rPr>
              <w:t>排放情况见表</w:t>
            </w:r>
            <w:r>
              <w:rPr>
                <w:rFonts w:hint="eastAsia" w:ascii="Times New Roman" w:eastAsia="宋体" w:cs="Times New Roman"/>
                <w:b w:val="0"/>
                <w:bCs/>
                <w:color w:val="auto"/>
                <w:kern w:val="2"/>
                <w:sz w:val="24"/>
                <w:szCs w:val="24"/>
                <w:lang w:val="en-US" w:eastAsia="zh-CN" w:bidi="ar-SA"/>
              </w:rPr>
              <w:t>2.7-5。</w:t>
            </w:r>
          </w:p>
          <w:p w14:paraId="0554B3E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2.7-5 污水处理站污染物排放情况一览表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6"/>
              <w:gridCol w:w="1061"/>
              <w:gridCol w:w="1433"/>
              <w:gridCol w:w="1010"/>
              <w:gridCol w:w="1426"/>
              <w:gridCol w:w="1262"/>
              <w:gridCol w:w="838"/>
            </w:tblGrid>
            <w:tr w14:paraId="61F431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pct"/>
                  <w:tcBorders>
                    <w:tl2br w:val="nil"/>
                    <w:tr2bl w:val="nil"/>
                  </w:tcBorders>
                  <w:vAlign w:val="center"/>
                </w:tcPr>
                <w:p w14:paraId="060CFC68">
                  <w:pPr>
                    <w:pStyle w:val="3"/>
                    <w:bidi w:val="0"/>
                    <w:rPr>
                      <w:rFonts w:hint="default"/>
                      <w:color w:val="auto"/>
                      <w:lang w:eastAsia="zh-CN"/>
                    </w:rPr>
                  </w:pPr>
                  <w:r>
                    <w:rPr>
                      <w:rFonts w:hint="default"/>
                      <w:color w:val="auto"/>
                      <w:lang w:eastAsia="zh-CN"/>
                    </w:rPr>
                    <w:t>生产工序</w:t>
                  </w:r>
                </w:p>
              </w:tc>
              <w:tc>
                <w:tcPr>
                  <w:tcW w:w="632" w:type="pct"/>
                  <w:tcBorders>
                    <w:tl2br w:val="nil"/>
                    <w:tr2bl w:val="nil"/>
                  </w:tcBorders>
                  <w:vAlign w:val="center"/>
                </w:tcPr>
                <w:p w14:paraId="7775C291">
                  <w:pPr>
                    <w:pStyle w:val="3"/>
                    <w:bidi w:val="0"/>
                    <w:rPr>
                      <w:rFonts w:hint="eastAsia"/>
                      <w:color w:val="auto"/>
                      <w:lang w:eastAsia="zh-CN"/>
                    </w:rPr>
                  </w:pPr>
                  <w:r>
                    <w:rPr>
                      <w:rFonts w:hint="eastAsia"/>
                      <w:color w:val="auto"/>
                      <w:lang w:eastAsia="zh-CN"/>
                    </w:rPr>
                    <w:t>污染</w:t>
                  </w:r>
                </w:p>
                <w:p w14:paraId="0DFA77ED">
                  <w:pPr>
                    <w:pStyle w:val="3"/>
                    <w:bidi w:val="0"/>
                    <w:rPr>
                      <w:rFonts w:hint="eastAsia"/>
                      <w:color w:val="auto"/>
                      <w:lang w:eastAsia="zh-CN"/>
                    </w:rPr>
                  </w:pPr>
                  <w:r>
                    <w:rPr>
                      <w:rFonts w:hint="eastAsia"/>
                      <w:color w:val="auto"/>
                      <w:lang w:eastAsia="zh-CN"/>
                    </w:rPr>
                    <w:t>物</w:t>
                  </w:r>
                </w:p>
              </w:tc>
              <w:tc>
                <w:tcPr>
                  <w:tcW w:w="854" w:type="pct"/>
                  <w:tcBorders>
                    <w:tl2br w:val="nil"/>
                    <w:tr2bl w:val="nil"/>
                  </w:tcBorders>
                  <w:vAlign w:val="center"/>
                </w:tcPr>
                <w:p w14:paraId="449B51B3">
                  <w:pPr>
                    <w:pStyle w:val="3"/>
                    <w:bidi w:val="0"/>
                    <w:rPr>
                      <w:rFonts w:hint="eastAsia"/>
                      <w:color w:val="auto"/>
                      <w:lang w:eastAsia="zh-CN"/>
                    </w:rPr>
                  </w:pPr>
                  <w:r>
                    <w:rPr>
                      <w:rFonts w:hint="eastAsia"/>
                      <w:color w:val="auto"/>
                      <w:lang w:eastAsia="zh-CN"/>
                    </w:rPr>
                    <w:t>治理设施</w:t>
                  </w:r>
                </w:p>
              </w:tc>
              <w:tc>
                <w:tcPr>
                  <w:tcW w:w="602" w:type="pct"/>
                  <w:tcBorders>
                    <w:tl2br w:val="nil"/>
                    <w:tr2bl w:val="nil"/>
                  </w:tcBorders>
                  <w:vAlign w:val="center"/>
                </w:tcPr>
                <w:p w14:paraId="17EF983B">
                  <w:pPr>
                    <w:pStyle w:val="3"/>
                    <w:bidi w:val="0"/>
                    <w:rPr>
                      <w:rFonts w:hint="eastAsia"/>
                      <w:color w:val="auto"/>
                      <w:lang w:eastAsia="zh-CN"/>
                    </w:rPr>
                  </w:pPr>
                  <w:r>
                    <w:rPr>
                      <w:rFonts w:hint="eastAsia"/>
                      <w:color w:val="auto"/>
                      <w:lang w:eastAsia="zh-CN"/>
                    </w:rPr>
                    <w:t>排气筒</w:t>
                  </w:r>
                </w:p>
                <w:p w14:paraId="5D99E4A9">
                  <w:pPr>
                    <w:pStyle w:val="3"/>
                    <w:bidi w:val="0"/>
                    <w:rPr>
                      <w:rFonts w:hint="eastAsia"/>
                      <w:color w:val="auto"/>
                      <w:lang w:eastAsia="zh-CN"/>
                    </w:rPr>
                  </w:pPr>
                  <w:r>
                    <w:rPr>
                      <w:rFonts w:hint="eastAsia"/>
                      <w:color w:val="auto"/>
                      <w:lang w:eastAsia="zh-CN"/>
                    </w:rPr>
                    <w:t>编号</w:t>
                  </w:r>
                </w:p>
              </w:tc>
              <w:tc>
                <w:tcPr>
                  <w:tcW w:w="850" w:type="pct"/>
                  <w:tcBorders>
                    <w:tl2br w:val="nil"/>
                    <w:tr2bl w:val="nil"/>
                  </w:tcBorders>
                  <w:vAlign w:val="center"/>
                </w:tcPr>
                <w:p w14:paraId="2ECE0F1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218141F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2" w:type="pct"/>
                  <w:tcBorders>
                    <w:tl2br w:val="nil"/>
                    <w:tr2bl w:val="nil"/>
                  </w:tcBorders>
                  <w:vAlign w:val="center"/>
                </w:tcPr>
                <w:p w14:paraId="5FCE7FD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5024357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99" w:type="pct"/>
                  <w:tcBorders>
                    <w:tl2br w:val="nil"/>
                    <w:tr2bl w:val="nil"/>
                  </w:tcBorders>
                  <w:vAlign w:val="center"/>
                </w:tcPr>
                <w:p w14:paraId="0E0DAE7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21688D4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546721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pct"/>
                  <w:vMerge w:val="restart"/>
                  <w:tcBorders>
                    <w:tl2br w:val="nil"/>
                    <w:tr2bl w:val="nil"/>
                  </w:tcBorders>
                  <w:vAlign w:val="center"/>
                </w:tcPr>
                <w:p w14:paraId="1640C2CE">
                  <w:pPr>
                    <w:pStyle w:val="3"/>
                    <w:bidi w:val="0"/>
                    <w:rPr>
                      <w:rFonts w:hint="default"/>
                      <w:color w:val="auto"/>
                      <w:lang w:val="en-US" w:eastAsia="zh-CN"/>
                    </w:rPr>
                  </w:pPr>
                  <w:r>
                    <w:rPr>
                      <w:rFonts w:hint="eastAsia"/>
                      <w:color w:val="auto"/>
                      <w:lang w:val="en-US" w:eastAsia="zh-CN"/>
                    </w:rPr>
                    <w:t>污水处理</w:t>
                  </w:r>
                </w:p>
              </w:tc>
              <w:tc>
                <w:tcPr>
                  <w:tcW w:w="632" w:type="pct"/>
                  <w:tcBorders>
                    <w:tl2br w:val="nil"/>
                    <w:tr2bl w:val="nil"/>
                  </w:tcBorders>
                  <w:vAlign w:val="center"/>
                </w:tcPr>
                <w:p w14:paraId="017F2A44">
                  <w:pPr>
                    <w:pStyle w:val="3"/>
                    <w:bidi w:val="0"/>
                    <w:rPr>
                      <w:rFonts w:hint="eastAsia"/>
                      <w:color w:val="auto"/>
                      <w:lang w:val="en-US" w:eastAsia="zh-CN"/>
                    </w:rPr>
                  </w:pPr>
                  <w:r>
                    <w:rPr>
                      <w:rFonts w:hint="eastAsia"/>
                      <w:color w:val="auto"/>
                      <w:lang w:val="en-US" w:eastAsia="zh-CN"/>
                    </w:rPr>
                    <w:t>氨</w:t>
                  </w:r>
                </w:p>
              </w:tc>
              <w:tc>
                <w:tcPr>
                  <w:tcW w:w="854" w:type="pct"/>
                  <w:vMerge w:val="restart"/>
                  <w:tcBorders>
                    <w:tl2br w:val="nil"/>
                    <w:tr2bl w:val="nil"/>
                  </w:tcBorders>
                  <w:vAlign w:val="center"/>
                </w:tcPr>
                <w:p w14:paraId="494CC997">
                  <w:pPr>
                    <w:pStyle w:val="3"/>
                    <w:bidi w:val="0"/>
                    <w:rPr>
                      <w:rFonts w:hint="default"/>
                      <w:color w:val="auto"/>
                      <w:lang w:val="en-US" w:eastAsia="zh-CN"/>
                    </w:rPr>
                  </w:pPr>
                  <w:r>
                    <w:rPr>
                      <w:rFonts w:hint="eastAsia"/>
                      <w:color w:val="auto"/>
                      <w:highlight w:val="none"/>
                      <w:lang w:val="en-US" w:eastAsia="zh-CN"/>
                    </w:rPr>
                    <w:t>次氯酸钠+碱喷淋</w:t>
                  </w:r>
                </w:p>
              </w:tc>
              <w:tc>
                <w:tcPr>
                  <w:tcW w:w="602" w:type="pct"/>
                  <w:vMerge w:val="restart"/>
                  <w:tcBorders>
                    <w:tl2br w:val="nil"/>
                    <w:tr2bl w:val="nil"/>
                  </w:tcBorders>
                  <w:vAlign w:val="center"/>
                </w:tcPr>
                <w:p w14:paraId="3C1F0311">
                  <w:pPr>
                    <w:pStyle w:val="3"/>
                    <w:bidi w:val="0"/>
                    <w:rPr>
                      <w:rFonts w:hint="default"/>
                      <w:color w:val="auto"/>
                      <w:lang w:val="en-US" w:eastAsia="zh-CN"/>
                    </w:rPr>
                  </w:pPr>
                  <w:r>
                    <w:rPr>
                      <w:rFonts w:hint="eastAsia"/>
                      <w:color w:val="auto"/>
                      <w:lang w:val="en-US" w:eastAsia="zh-CN"/>
                    </w:rPr>
                    <w:t>DA006</w:t>
                  </w:r>
                </w:p>
              </w:tc>
              <w:tc>
                <w:tcPr>
                  <w:tcW w:w="850" w:type="pct"/>
                  <w:tcBorders>
                    <w:tl2br w:val="nil"/>
                    <w:tr2bl w:val="nil"/>
                  </w:tcBorders>
                  <w:shd w:val="clear" w:color="auto" w:fill="auto"/>
                  <w:vAlign w:val="center"/>
                </w:tcPr>
                <w:p w14:paraId="2A35F826">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 xml:space="preserve">0.043 </w:t>
                  </w:r>
                </w:p>
              </w:tc>
              <w:tc>
                <w:tcPr>
                  <w:tcW w:w="752" w:type="pct"/>
                  <w:tcBorders>
                    <w:tl2br w:val="nil"/>
                    <w:tr2bl w:val="nil"/>
                  </w:tcBorders>
                  <w:shd w:val="clear" w:color="auto" w:fill="auto"/>
                  <w:vAlign w:val="center"/>
                </w:tcPr>
                <w:p w14:paraId="714A364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499" w:type="pct"/>
                  <w:tcBorders>
                    <w:tl2br w:val="nil"/>
                    <w:tr2bl w:val="nil"/>
                  </w:tcBorders>
                  <w:vAlign w:val="center"/>
                </w:tcPr>
                <w:p w14:paraId="29C4C6B0">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达标</w:t>
                  </w:r>
                </w:p>
              </w:tc>
            </w:tr>
            <w:tr w14:paraId="483E11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pct"/>
                  <w:vMerge w:val="continue"/>
                  <w:tcBorders>
                    <w:tl2br w:val="nil"/>
                    <w:tr2bl w:val="nil"/>
                  </w:tcBorders>
                  <w:vAlign w:val="center"/>
                </w:tcPr>
                <w:p w14:paraId="5A76CE70">
                  <w:pPr>
                    <w:pStyle w:val="3"/>
                    <w:bidi w:val="0"/>
                    <w:rPr>
                      <w:rFonts w:hint="eastAsia"/>
                      <w:color w:val="auto"/>
                      <w:lang w:val="en-US" w:eastAsia="zh-CN"/>
                    </w:rPr>
                  </w:pPr>
                </w:p>
              </w:tc>
              <w:tc>
                <w:tcPr>
                  <w:tcW w:w="632" w:type="pct"/>
                  <w:tcBorders>
                    <w:tl2br w:val="nil"/>
                    <w:tr2bl w:val="nil"/>
                  </w:tcBorders>
                  <w:vAlign w:val="center"/>
                </w:tcPr>
                <w:p w14:paraId="2729E2BC">
                  <w:pPr>
                    <w:pStyle w:val="3"/>
                    <w:bidi w:val="0"/>
                    <w:rPr>
                      <w:rFonts w:hint="eastAsia"/>
                      <w:color w:val="auto"/>
                      <w:lang w:eastAsia="zh-CN"/>
                    </w:rPr>
                  </w:pPr>
                  <w:r>
                    <w:rPr>
                      <w:rFonts w:hint="eastAsia"/>
                      <w:color w:val="auto"/>
                      <w:lang w:eastAsia="zh-CN"/>
                    </w:rPr>
                    <w:t>硫化氢</w:t>
                  </w:r>
                </w:p>
              </w:tc>
              <w:tc>
                <w:tcPr>
                  <w:tcW w:w="854" w:type="pct"/>
                  <w:vMerge w:val="continue"/>
                  <w:tcBorders>
                    <w:tl2br w:val="nil"/>
                    <w:tr2bl w:val="nil"/>
                  </w:tcBorders>
                  <w:vAlign w:val="center"/>
                </w:tcPr>
                <w:p w14:paraId="3E292FF8">
                  <w:pPr>
                    <w:pStyle w:val="3"/>
                    <w:bidi w:val="0"/>
                    <w:rPr>
                      <w:rFonts w:hint="default"/>
                      <w:color w:val="auto"/>
                      <w:lang w:val="en-US" w:eastAsia="zh-CN"/>
                    </w:rPr>
                  </w:pPr>
                </w:p>
              </w:tc>
              <w:tc>
                <w:tcPr>
                  <w:tcW w:w="602" w:type="pct"/>
                  <w:vMerge w:val="continue"/>
                  <w:tcBorders>
                    <w:tl2br w:val="nil"/>
                    <w:tr2bl w:val="nil"/>
                  </w:tcBorders>
                  <w:vAlign w:val="center"/>
                </w:tcPr>
                <w:p w14:paraId="0E165768">
                  <w:pPr>
                    <w:pStyle w:val="3"/>
                    <w:bidi w:val="0"/>
                    <w:rPr>
                      <w:rFonts w:hint="eastAsia"/>
                      <w:color w:val="auto"/>
                      <w:lang w:val="en-US" w:eastAsia="zh-CN"/>
                    </w:rPr>
                  </w:pPr>
                </w:p>
              </w:tc>
              <w:tc>
                <w:tcPr>
                  <w:tcW w:w="850" w:type="pct"/>
                  <w:tcBorders>
                    <w:tl2br w:val="nil"/>
                    <w:tr2bl w:val="nil"/>
                  </w:tcBorders>
                  <w:vAlign w:val="center"/>
                </w:tcPr>
                <w:p w14:paraId="6D2FB01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1.207</w:t>
                  </w:r>
                </w:p>
              </w:tc>
              <w:tc>
                <w:tcPr>
                  <w:tcW w:w="752" w:type="pct"/>
                  <w:tcBorders>
                    <w:tl2br w:val="nil"/>
                    <w:tr2bl w:val="nil"/>
                  </w:tcBorders>
                  <w:vAlign w:val="center"/>
                </w:tcPr>
                <w:p w14:paraId="4237833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499" w:type="pct"/>
                  <w:tcBorders>
                    <w:tl2br w:val="nil"/>
                    <w:tr2bl w:val="nil"/>
                  </w:tcBorders>
                  <w:vAlign w:val="center"/>
                </w:tcPr>
                <w:p w14:paraId="5BE84D20">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达标</w:t>
                  </w:r>
                </w:p>
              </w:tc>
            </w:tr>
            <w:tr w14:paraId="70AFC3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8" w:type="pct"/>
                  <w:vMerge w:val="continue"/>
                  <w:tcBorders>
                    <w:tl2br w:val="nil"/>
                    <w:tr2bl w:val="nil"/>
                  </w:tcBorders>
                  <w:vAlign w:val="center"/>
                </w:tcPr>
                <w:p w14:paraId="44DC8DA0">
                  <w:pPr>
                    <w:pStyle w:val="3"/>
                    <w:bidi w:val="0"/>
                    <w:rPr>
                      <w:rFonts w:hint="eastAsia"/>
                      <w:color w:val="auto"/>
                      <w:lang w:val="en-US" w:eastAsia="zh-CN"/>
                    </w:rPr>
                  </w:pPr>
                </w:p>
              </w:tc>
              <w:tc>
                <w:tcPr>
                  <w:tcW w:w="632" w:type="pct"/>
                  <w:tcBorders>
                    <w:tl2br w:val="nil"/>
                    <w:tr2bl w:val="nil"/>
                  </w:tcBorders>
                  <w:vAlign w:val="center"/>
                </w:tcPr>
                <w:p w14:paraId="7939111A">
                  <w:pPr>
                    <w:pStyle w:val="3"/>
                    <w:bidi w:val="0"/>
                    <w:rPr>
                      <w:rFonts w:hint="eastAsia"/>
                      <w:color w:val="auto"/>
                      <w:lang w:eastAsia="zh-CN"/>
                    </w:rPr>
                  </w:pPr>
                  <w:r>
                    <w:rPr>
                      <w:rFonts w:hint="eastAsia"/>
                      <w:color w:val="auto"/>
                      <w:lang w:eastAsia="zh-CN"/>
                    </w:rPr>
                    <w:t>臭气浓度</w:t>
                  </w:r>
                </w:p>
              </w:tc>
              <w:tc>
                <w:tcPr>
                  <w:tcW w:w="854" w:type="pct"/>
                  <w:vMerge w:val="continue"/>
                  <w:tcBorders>
                    <w:tl2br w:val="nil"/>
                    <w:tr2bl w:val="nil"/>
                  </w:tcBorders>
                  <w:vAlign w:val="center"/>
                </w:tcPr>
                <w:p w14:paraId="51C2B7C3">
                  <w:pPr>
                    <w:pStyle w:val="3"/>
                    <w:bidi w:val="0"/>
                    <w:rPr>
                      <w:rFonts w:hint="default"/>
                      <w:color w:val="auto"/>
                      <w:lang w:val="en-US" w:eastAsia="zh-CN"/>
                    </w:rPr>
                  </w:pPr>
                </w:p>
              </w:tc>
              <w:tc>
                <w:tcPr>
                  <w:tcW w:w="602" w:type="pct"/>
                  <w:vMerge w:val="continue"/>
                  <w:tcBorders>
                    <w:tl2br w:val="nil"/>
                    <w:tr2bl w:val="nil"/>
                  </w:tcBorders>
                  <w:vAlign w:val="center"/>
                </w:tcPr>
                <w:p w14:paraId="61AB6431">
                  <w:pPr>
                    <w:pStyle w:val="3"/>
                    <w:bidi w:val="0"/>
                    <w:rPr>
                      <w:rFonts w:hint="eastAsia"/>
                      <w:color w:val="auto"/>
                      <w:lang w:val="en-US" w:eastAsia="zh-CN"/>
                    </w:rPr>
                  </w:pPr>
                </w:p>
              </w:tc>
              <w:tc>
                <w:tcPr>
                  <w:tcW w:w="850" w:type="pct"/>
                  <w:tcBorders>
                    <w:tl2br w:val="nil"/>
                    <w:tr2bl w:val="nil"/>
                  </w:tcBorders>
                  <w:vAlign w:val="center"/>
                </w:tcPr>
                <w:p w14:paraId="06D4FA85">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851</w:t>
                  </w:r>
                </w:p>
                <w:p w14:paraId="2F62DF2B">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无量纲</w:t>
                  </w:r>
                  <w:r>
                    <w:rPr>
                      <w:rFonts w:hint="eastAsia" w:ascii="Times New Roman" w:hAnsi="Times New Roman" w:eastAsia="宋体" w:cs="Times New Roman"/>
                      <w:color w:val="auto"/>
                      <w:lang w:val="en-US" w:eastAsia="zh-CN"/>
                    </w:rPr>
                    <w:t>）</w:t>
                  </w:r>
                </w:p>
              </w:tc>
              <w:tc>
                <w:tcPr>
                  <w:tcW w:w="752" w:type="pct"/>
                  <w:tcBorders>
                    <w:tl2br w:val="nil"/>
                    <w:tr2bl w:val="nil"/>
                  </w:tcBorders>
                  <w:vAlign w:val="center"/>
                </w:tcPr>
                <w:p w14:paraId="7AEF1643">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499" w:type="pct"/>
                  <w:tcBorders>
                    <w:tl2br w:val="nil"/>
                    <w:tr2bl w:val="nil"/>
                  </w:tcBorders>
                  <w:vAlign w:val="center"/>
                </w:tcPr>
                <w:p w14:paraId="11936675">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达标</w:t>
                  </w:r>
                </w:p>
              </w:tc>
            </w:tr>
          </w:tbl>
          <w:p w14:paraId="656AEEE3">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bidi="ar"/>
              </w:rPr>
              <w:t>由表</w:t>
            </w:r>
            <w:r>
              <w:rPr>
                <w:rFonts w:hint="eastAsia" w:ascii="Times New Roman" w:eastAsia="宋体" w:cs="Times New Roman"/>
                <w:color w:val="auto"/>
                <w:sz w:val="24"/>
                <w:szCs w:val="24"/>
                <w:lang w:val="en-US" w:eastAsia="zh-CN" w:bidi="ar"/>
              </w:rPr>
              <w:t>2.7-5</w:t>
            </w:r>
            <w:r>
              <w:rPr>
                <w:rFonts w:hint="default" w:ascii="Times New Roman" w:hAnsi="Times New Roman" w:eastAsia="宋体" w:cs="Times New Roman"/>
                <w:color w:val="auto"/>
                <w:sz w:val="24"/>
                <w:szCs w:val="24"/>
                <w:lang w:val="en-US" w:eastAsia="zh-CN" w:bidi="ar"/>
              </w:rPr>
              <w:t>可知：</w:t>
            </w:r>
            <w:r>
              <w:rPr>
                <w:rFonts w:hint="default" w:ascii="Times New Roman" w:hAnsi="Times New Roman" w:eastAsia="宋体" w:cs="Times New Roman"/>
                <w:b w:val="0"/>
                <w:bCs/>
                <w:color w:val="auto"/>
                <w:kern w:val="2"/>
                <w:sz w:val="24"/>
                <w:szCs w:val="24"/>
                <w:lang w:val="en-US" w:eastAsia="zh-CN" w:bidi="ar-SA"/>
              </w:rPr>
              <w:t>污水处理站</w:t>
            </w:r>
            <w:r>
              <w:rPr>
                <w:rFonts w:hint="default" w:ascii="Times New Roman" w:hAnsi="Times New Roman" w:eastAsia="宋体" w:cs="Times New Roman"/>
                <w:color w:val="auto"/>
                <w:sz w:val="24"/>
                <w:szCs w:val="24"/>
                <w:lang w:val="en-US" w:eastAsia="zh-CN" w:bidi="ar"/>
              </w:rPr>
              <w:t>产生的</w:t>
            </w:r>
            <w:r>
              <w:rPr>
                <w:rFonts w:hint="default" w:ascii="Times New Roman" w:hAnsi="Times New Roman" w:cs="Times New Roman"/>
                <w:color w:val="auto"/>
                <w:sz w:val="24"/>
                <w:szCs w:val="24"/>
                <w:lang w:val="en-US" w:eastAsia="zh-CN"/>
              </w:rPr>
              <w:t>氨、硫化氢</w:t>
            </w:r>
            <w:r>
              <w:rPr>
                <w:rFonts w:hint="eastAsia" w:ascii="Times New Roman" w:cs="Times New Roman"/>
                <w:color w:val="auto"/>
                <w:sz w:val="24"/>
                <w:szCs w:val="24"/>
                <w:lang w:val="en-US" w:eastAsia="zh-CN"/>
              </w:rPr>
              <w:t>、臭气浓度的</w:t>
            </w:r>
            <w:r>
              <w:rPr>
                <w:rFonts w:hint="default" w:ascii="Times New Roman" w:hAnsi="Times New Roman" w:eastAsia="宋体" w:cs="Times New Roman"/>
                <w:color w:val="auto"/>
                <w:sz w:val="24"/>
                <w:szCs w:val="24"/>
                <w:lang w:eastAsia="zh-CN"/>
              </w:rPr>
              <w:t>排放浓度满足</w:t>
            </w:r>
            <w:r>
              <w:rPr>
                <w:rFonts w:hint="default" w:ascii="Times New Roman" w:hAnsi="Times New Roman" w:eastAsia="宋体" w:cs="Times New Roman"/>
                <w:bCs/>
                <w:color w:val="auto"/>
                <w:sz w:val="24"/>
                <w:szCs w:val="24"/>
              </w:rPr>
              <w:t>《恶臭污染物排放标准》（GB14554-1993）</w:t>
            </w:r>
            <w:r>
              <w:rPr>
                <w:rFonts w:hint="default" w:ascii="Times New Roman" w:hAnsi="Times New Roman" w:eastAsia="宋体" w:cs="Times New Roman"/>
                <w:color w:val="auto"/>
                <w:sz w:val="24"/>
                <w:szCs w:val="24"/>
                <w:lang w:eastAsia="zh-CN"/>
              </w:rPr>
              <w:t>标准要求。</w:t>
            </w:r>
          </w:p>
          <w:p w14:paraId="3B77CE64">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rPr>
              <w:t>⑤</w:t>
            </w:r>
            <w:r>
              <w:rPr>
                <w:rFonts w:hint="eastAsia" w:ascii="宋体" w:hAnsi="宋体" w:eastAsia="宋体" w:cs="宋体"/>
                <w:color w:val="auto"/>
                <w:sz w:val="24"/>
                <w:szCs w:val="24"/>
                <w:lang w:eastAsia="zh-CN"/>
              </w:rPr>
              <w:t>品控室</w:t>
            </w:r>
          </w:p>
          <w:p w14:paraId="67C744E6">
            <w:pPr>
              <w:pStyle w:val="23"/>
              <w:spacing w:line="360" w:lineRule="auto"/>
              <w:ind w:firstLine="480" w:firstLineChars="200"/>
              <w:jc w:val="both"/>
              <w:rPr>
                <w:rFonts w:hint="default" w:ascii="Times New Roman" w:hAnsi="Times New Roman" w:eastAsia="宋体"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品控室在油品质量检测实验过程中将产生</w:t>
            </w:r>
            <w:r>
              <w:rPr>
                <w:rFonts w:hint="eastAsia" w:ascii="Times New Roman" w:cs="Times New Roman"/>
                <w:color w:val="auto"/>
                <w:sz w:val="24"/>
                <w:szCs w:val="24"/>
                <w:lang w:val="en-US" w:eastAsia="zh-CN"/>
              </w:rPr>
              <w:t>非甲烷总烃、氯化氢、硫酸雾，品控室产生的实验废气经活性炭吸附处理后引至15m高的DA007、DA008排气筒排放。</w:t>
            </w:r>
          </w:p>
          <w:p w14:paraId="73309D51">
            <w:pPr>
              <w:pStyle w:val="23"/>
              <w:spacing w:line="360" w:lineRule="auto"/>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eastAsia" w:ascii="Times New Roman" w:eastAsia="宋体" w:cs="Times New Roman"/>
                <w:b w:val="0"/>
                <w:bCs/>
                <w:color w:val="auto"/>
                <w:kern w:val="2"/>
                <w:sz w:val="24"/>
                <w:szCs w:val="24"/>
                <w:lang w:val="en-US" w:eastAsia="zh-CN" w:bidi="ar-SA"/>
              </w:rPr>
              <w:t>品控室</w:t>
            </w:r>
            <w:r>
              <w:rPr>
                <w:rFonts w:hint="default" w:ascii="Times New Roman" w:hAnsi="Times New Roman" w:cs="Times New Roman"/>
                <w:color w:val="auto"/>
                <w:sz w:val="24"/>
                <w:szCs w:val="24"/>
                <w:lang w:eastAsia="zh-CN"/>
              </w:rPr>
              <w:t>产生的</w:t>
            </w:r>
            <w:r>
              <w:rPr>
                <w:rFonts w:hint="eastAsia" w:ascii="Times New Roman" w:cs="Times New Roman"/>
                <w:color w:val="auto"/>
                <w:sz w:val="24"/>
                <w:szCs w:val="24"/>
                <w:lang w:val="en-US" w:eastAsia="zh-CN"/>
              </w:rPr>
              <w:t>非甲烷总烃、氯化氢、硫酸雾</w:t>
            </w:r>
            <w:r>
              <w:rPr>
                <w:rFonts w:hint="default" w:ascii="Times New Roman" w:hAnsi="Times New Roman" w:eastAsia="宋体" w:cs="Times New Roman"/>
                <w:b w:val="0"/>
                <w:bCs/>
                <w:color w:val="auto"/>
                <w:kern w:val="2"/>
                <w:sz w:val="24"/>
                <w:szCs w:val="24"/>
                <w:lang w:val="en-US" w:eastAsia="zh-CN" w:bidi="ar-SA"/>
              </w:rPr>
              <w:t>排放情况见表2.</w:t>
            </w:r>
            <w:r>
              <w:rPr>
                <w:rFonts w:hint="eastAsia" w:ascii="Times New Roman" w:eastAsia="宋体" w:cs="Times New Roman"/>
                <w:b w:val="0"/>
                <w:bCs/>
                <w:color w:val="auto"/>
                <w:kern w:val="2"/>
                <w:sz w:val="24"/>
                <w:szCs w:val="24"/>
                <w:lang w:val="en-US" w:eastAsia="zh-CN" w:bidi="ar-SA"/>
              </w:rPr>
              <w:t>7-6</w:t>
            </w:r>
            <w:r>
              <w:rPr>
                <w:rFonts w:hint="default" w:ascii="Times New Roman" w:hAnsi="Times New Roman" w:eastAsia="宋体" w:cs="Times New Roman"/>
                <w:b w:val="0"/>
                <w:bCs/>
                <w:color w:val="auto"/>
                <w:kern w:val="2"/>
                <w:sz w:val="24"/>
                <w:szCs w:val="24"/>
                <w:lang w:val="en-US" w:eastAsia="zh-CN" w:bidi="ar-SA"/>
              </w:rPr>
              <w:t>。</w:t>
            </w:r>
          </w:p>
          <w:p w14:paraId="67EC06D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2.7-6 品控室污染物排放情况一览表</w:t>
            </w:r>
          </w:p>
          <w:tbl>
            <w:tblPr>
              <w:tblStyle w:val="18"/>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985"/>
              <w:gridCol w:w="1514"/>
              <w:gridCol w:w="1010"/>
              <w:gridCol w:w="1426"/>
              <w:gridCol w:w="1264"/>
              <w:gridCol w:w="826"/>
            </w:tblGrid>
            <w:tr w14:paraId="2C2658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tcBorders>
                    <w:tl2br w:val="nil"/>
                    <w:tr2bl w:val="nil"/>
                  </w:tcBorders>
                  <w:vAlign w:val="center"/>
                </w:tcPr>
                <w:p w14:paraId="752E168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587" w:type="pct"/>
                  <w:tcBorders>
                    <w:tl2br w:val="nil"/>
                    <w:tr2bl w:val="nil"/>
                  </w:tcBorders>
                  <w:vAlign w:val="center"/>
                </w:tcPr>
                <w:p w14:paraId="17273C0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0A5A979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902" w:type="pct"/>
                  <w:tcBorders>
                    <w:tl2br w:val="nil"/>
                    <w:tr2bl w:val="nil"/>
                  </w:tcBorders>
                  <w:vAlign w:val="center"/>
                </w:tcPr>
                <w:p w14:paraId="5C12DD3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602" w:type="pct"/>
                  <w:tcBorders>
                    <w:tl2br w:val="nil"/>
                    <w:tr2bl w:val="nil"/>
                  </w:tcBorders>
                  <w:vAlign w:val="center"/>
                </w:tcPr>
                <w:p w14:paraId="1E6F19B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6027077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850" w:type="pct"/>
                  <w:tcBorders>
                    <w:tl2br w:val="nil"/>
                    <w:tr2bl w:val="nil"/>
                  </w:tcBorders>
                  <w:vAlign w:val="center"/>
                </w:tcPr>
                <w:p w14:paraId="00628D0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697E1F0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3" w:type="pct"/>
                  <w:tcBorders>
                    <w:tl2br w:val="nil"/>
                    <w:tr2bl w:val="nil"/>
                  </w:tcBorders>
                  <w:vAlign w:val="center"/>
                </w:tcPr>
                <w:p w14:paraId="1587D47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20D5C6B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92" w:type="pct"/>
                  <w:tcBorders>
                    <w:tl2br w:val="nil"/>
                    <w:tr2bl w:val="nil"/>
                  </w:tcBorders>
                  <w:vAlign w:val="center"/>
                </w:tcPr>
                <w:p w14:paraId="293CCBD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1DF0E38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5E54DD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vMerge w:val="restart"/>
                  <w:tcBorders>
                    <w:tl2br w:val="nil"/>
                    <w:tr2bl w:val="nil"/>
                  </w:tcBorders>
                  <w:vAlign w:val="center"/>
                </w:tcPr>
                <w:p w14:paraId="086D0EE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品控实验</w:t>
                  </w:r>
                </w:p>
              </w:tc>
              <w:tc>
                <w:tcPr>
                  <w:tcW w:w="587" w:type="pct"/>
                  <w:tcBorders>
                    <w:tl2br w:val="nil"/>
                    <w:tr2bl w:val="nil"/>
                  </w:tcBorders>
                  <w:vAlign w:val="center"/>
                </w:tcPr>
                <w:p w14:paraId="6652046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非甲烷总烃</w:t>
                  </w:r>
                </w:p>
              </w:tc>
              <w:tc>
                <w:tcPr>
                  <w:tcW w:w="902" w:type="pct"/>
                  <w:vMerge w:val="restart"/>
                  <w:tcBorders>
                    <w:tl2br w:val="nil"/>
                    <w:tr2bl w:val="nil"/>
                  </w:tcBorders>
                  <w:vAlign w:val="center"/>
                </w:tcPr>
                <w:p w14:paraId="2E7282F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活性炭吸附</w:t>
                  </w:r>
                </w:p>
              </w:tc>
              <w:tc>
                <w:tcPr>
                  <w:tcW w:w="602" w:type="pct"/>
                  <w:vMerge w:val="restart"/>
                  <w:tcBorders>
                    <w:tl2br w:val="nil"/>
                    <w:tr2bl w:val="nil"/>
                  </w:tcBorders>
                  <w:vAlign w:val="center"/>
                </w:tcPr>
                <w:p w14:paraId="67228A7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DA007</w:t>
                  </w:r>
                </w:p>
              </w:tc>
              <w:tc>
                <w:tcPr>
                  <w:tcW w:w="850" w:type="pct"/>
                  <w:tcBorders>
                    <w:tl2br w:val="nil"/>
                    <w:tr2bl w:val="nil"/>
                  </w:tcBorders>
                  <w:vAlign w:val="center"/>
                </w:tcPr>
                <w:p w14:paraId="6C33FA9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35.5</w:t>
                  </w:r>
                </w:p>
              </w:tc>
              <w:tc>
                <w:tcPr>
                  <w:tcW w:w="753" w:type="pct"/>
                  <w:tcBorders>
                    <w:tl2br w:val="nil"/>
                    <w:tr2bl w:val="nil"/>
                  </w:tcBorders>
                  <w:vAlign w:val="center"/>
                </w:tcPr>
                <w:p w14:paraId="10BE894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0.18</w:t>
                  </w:r>
                </w:p>
              </w:tc>
              <w:tc>
                <w:tcPr>
                  <w:tcW w:w="492" w:type="pct"/>
                  <w:tcBorders>
                    <w:tl2br w:val="nil"/>
                    <w:tr2bl w:val="nil"/>
                  </w:tcBorders>
                  <w:vAlign w:val="center"/>
                </w:tcPr>
                <w:p w14:paraId="4373207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248BBF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vMerge w:val="continue"/>
                  <w:tcBorders>
                    <w:tl2br w:val="nil"/>
                    <w:tr2bl w:val="nil"/>
                  </w:tcBorders>
                  <w:vAlign w:val="center"/>
                </w:tcPr>
                <w:p w14:paraId="488A4732">
                  <w:pPr>
                    <w:pStyle w:val="3"/>
                    <w:bidi w:val="0"/>
                    <w:rPr>
                      <w:rFonts w:hint="default" w:ascii="Times New Roman" w:hAnsi="Times New Roman" w:cs="Times New Roman"/>
                      <w:color w:val="auto"/>
                      <w:lang w:val="en-US" w:eastAsia="zh-CN"/>
                    </w:rPr>
                  </w:pPr>
                </w:p>
              </w:tc>
              <w:tc>
                <w:tcPr>
                  <w:tcW w:w="587" w:type="pct"/>
                  <w:tcBorders>
                    <w:tl2br w:val="nil"/>
                    <w:tr2bl w:val="nil"/>
                  </w:tcBorders>
                  <w:vAlign w:val="center"/>
                </w:tcPr>
                <w:p w14:paraId="07D38C3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氯化氢</w:t>
                  </w:r>
                </w:p>
              </w:tc>
              <w:tc>
                <w:tcPr>
                  <w:tcW w:w="902" w:type="pct"/>
                  <w:vMerge w:val="continue"/>
                  <w:tcBorders>
                    <w:tl2br w:val="nil"/>
                    <w:tr2bl w:val="nil"/>
                  </w:tcBorders>
                  <w:vAlign w:val="center"/>
                </w:tcPr>
                <w:p w14:paraId="3C10B560">
                  <w:pPr>
                    <w:pStyle w:val="3"/>
                    <w:bidi w:val="0"/>
                    <w:rPr>
                      <w:rFonts w:hint="default" w:ascii="Times New Roman" w:hAnsi="Times New Roman" w:cs="Times New Roman"/>
                      <w:color w:val="auto"/>
                      <w:lang w:val="en-US" w:eastAsia="zh-CN"/>
                    </w:rPr>
                  </w:pPr>
                </w:p>
              </w:tc>
              <w:tc>
                <w:tcPr>
                  <w:tcW w:w="602" w:type="pct"/>
                  <w:vMerge w:val="continue"/>
                  <w:tcBorders>
                    <w:tl2br w:val="nil"/>
                    <w:tr2bl w:val="nil"/>
                  </w:tcBorders>
                  <w:vAlign w:val="center"/>
                </w:tcPr>
                <w:p w14:paraId="2BD50B23">
                  <w:pPr>
                    <w:pStyle w:val="3"/>
                    <w:bidi w:val="0"/>
                    <w:rPr>
                      <w:rFonts w:hint="default" w:ascii="Times New Roman" w:hAnsi="Times New Roman" w:cs="Times New Roman"/>
                      <w:color w:val="auto"/>
                      <w:lang w:val="en-US" w:eastAsia="zh-CN"/>
                    </w:rPr>
                  </w:pPr>
                </w:p>
              </w:tc>
              <w:tc>
                <w:tcPr>
                  <w:tcW w:w="850" w:type="pct"/>
                  <w:tcBorders>
                    <w:tl2br w:val="nil"/>
                    <w:tr2bl w:val="nil"/>
                  </w:tcBorders>
                  <w:vAlign w:val="center"/>
                </w:tcPr>
                <w:p w14:paraId="3C97488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1.36</w:t>
                  </w:r>
                </w:p>
              </w:tc>
              <w:tc>
                <w:tcPr>
                  <w:tcW w:w="753" w:type="pct"/>
                  <w:tcBorders>
                    <w:tl2br w:val="nil"/>
                    <w:tr2bl w:val="nil"/>
                  </w:tcBorders>
                  <w:vAlign w:val="center"/>
                </w:tcPr>
                <w:p w14:paraId="674C066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0.007</w:t>
                  </w:r>
                </w:p>
              </w:tc>
              <w:tc>
                <w:tcPr>
                  <w:tcW w:w="492" w:type="pct"/>
                  <w:tcBorders>
                    <w:tl2br w:val="nil"/>
                    <w:tr2bl w:val="nil"/>
                  </w:tcBorders>
                  <w:vAlign w:val="center"/>
                </w:tcPr>
                <w:p w14:paraId="0A2685A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706DAE0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vMerge w:val="continue"/>
                  <w:tcBorders>
                    <w:tl2br w:val="nil"/>
                    <w:tr2bl w:val="nil"/>
                  </w:tcBorders>
                  <w:vAlign w:val="center"/>
                </w:tcPr>
                <w:p w14:paraId="3E863933">
                  <w:pPr>
                    <w:pStyle w:val="3"/>
                    <w:bidi w:val="0"/>
                    <w:rPr>
                      <w:rFonts w:hint="default" w:ascii="Times New Roman" w:hAnsi="Times New Roman" w:cs="Times New Roman"/>
                      <w:color w:val="auto"/>
                      <w:lang w:val="en-US" w:eastAsia="zh-CN"/>
                    </w:rPr>
                  </w:pPr>
                </w:p>
              </w:tc>
              <w:tc>
                <w:tcPr>
                  <w:tcW w:w="587" w:type="pct"/>
                  <w:tcBorders>
                    <w:tl2br w:val="nil"/>
                    <w:tr2bl w:val="nil"/>
                  </w:tcBorders>
                  <w:vAlign w:val="center"/>
                </w:tcPr>
                <w:p w14:paraId="78DC0D3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硫酸雾</w:t>
                  </w:r>
                </w:p>
              </w:tc>
              <w:tc>
                <w:tcPr>
                  <w:tcW w:w="902" w:type="pct"/>
                  <w:vMerge w:val="continue"/>
                  <w:tcBorders>
                    <w:tl2br w:val="nil"/>
                    <w:tr2bl w:val="nil"/>
                  </w:tcBorders>
                  <w:vAlign w:val="center"/>
                </w:tcPr>
                <w:p w14:paraId="47A46BBD">
                  <w:pPr>
                    <w:pStyle w:val="3"/>
                    <w:bidi w:val="0"/>
                    <w:rPr>
                      <w:rFonts w:hint="default" w:ascii="Times New Roman" w:hAnsi="Times New Roman" w:cs="Times New Roman"/>
                      <w:color w:val="auto"/>
                      <w:lang w:val="en-US" w:eastAsia="zh-CN"/>
                    </w:rPr>
                  </w:pPr>
                </w:p>
              </w:tc>
              <w:tc>
                <w:tcPr>
                  <w:tcW w:w="602" w:type="pct"/>
                  <w:vMerge w:val="continue"/>
                  <w:tcBorders>
                    <w:tl2br w:val="nil"/>
                    <w:tr2bl w:val="nil"/>
                  </w:tcBorders>
                  <w:vAlign w:val="center"/>
                </w:tcPr>
                <w:p w14:paraId="5B9254C6">
                  <w:pPr>
                    <w:pStyle w:val="3"/>
                    <w:bidi w:val="0"/>
                    <w:rPr>
                      <w:rFonts w:hint="default" w:ascii="Times New Roman" w:hAnsi="Times New Roman" w:cs="Times New Roman"/>
                      <w:color w:val="auto"/>
                      <w:lang w:val="en-US" w:eastAsia="zh-CN"/>
                    </w:rPr>
                  </w:pPr>
                </w:p>
              </w:tc>
              <w:tc>
                <w:tcPr>
                  <w:tcW w:w="850" w:type="pct"/>
                  <w:tcBorders>
                    <w:tl2br w:val="nil"/>
                    <w:tr2bl w:val="nil"/>
                  </w:tcBorders>
                  <w:vAlign w:val="center"/>
                </w:tcPr>
                <w:p w14:paraId="2F0FC1B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2.38</w:t>
                  </w:r>
                </w:p>
              </w:tc>
              <w:tc>
                <w:tcPr>
                  <w:tcW w:w="753" w:type="pct"/>
                  <w:tcBorders>
                    <w:tl2br w:val="nil"/>
                    <w:tr2bl w:val="nil"/>
                  </w:tcBorders>
                  <w:vAlign w:val="center"/>
                </w:tcPr>
                <w:p w14:paraId="08DA602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0.012</w:t>
                  </w:r>
                </w:p>
              </w:tc>
              <w:tc>
                <w:tcPr>
                  <w:tcW w:w="492" w:type="pct"/>
                  <w:tcBorders>
                    <w:tl2br w:val="nil"/>
                    <w:tr2bl w:val="nil"/>
                  </w:tcBorders>
                  <w:vAlign w:val="center"/>
                </w:tcPr>
                <w:p w14:paraId="4BEA123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1120FF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vMerge w:val="continue"/>
                  <w:tcBorders>
                    <w:tl2br w:val="nil"/>
                    <w:tr2bl w:val="nil"/>
                  </w:tcBorders>
                  <w:vAlign w:val="center"/>
                </w:tcPr>
                <w:p w14:paraId="428E541B">
                  <w:pPr>
                    <w:pStyle w:val="3"/>
                    <w:bidi w:val="0"/>
                    <w:rPr>
                      <w:rFonts w:hint="default" w:ascii="Times New Roman" w:hAnsi="Times New Roman" w:cs="Times New Roman"/>
                      <w:color w:val="auto"/>
                      <w:lang w:val="en-US" w:eastAsia="zh-CN"/>
                    </w:rPr>
                  </w:pPr>
                </w:p>
              </w:tc>
              <w:tc>
                <w:tcPr>
                  <w:tcW w:w="587" w:type="pct"/>
                  <w:tcBorders>
                    <w:tl2br w:val="nil"/>
                    <w:tr2bl w:val="nil"/>
                  </w:tcBorders>
                  <w:vAlign w:val="center"/>
                </w:tcPr>
                <w:p w14:paraId="34BEA63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非甲烷总烃</w:t>
                  </w:r>
                </w:p>
              </w:tc>
              <w:tc>
                <w:tcPr>
                  <w:tcW w:w="902" w:type="pct"/>
                  <w:vMerge w:val="restart"/>
                  <w:tcBorders>
                    <w:tl2br w:val="nil"/>
                    <w:tr2bl w:val="nil"/>
                  </w:tcBorders>
                  <w:vAlign w:val="center"/>
                </w:tcPr>
                <w:p w14:paraId="345DDE1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活性炭吸附</w:t>
                  </w:r>
                </w:p>
                <w:p w14:paraId="3062C49C">
                  <w:pPr>
                    <w:pStyle w:val="3"/>
                    <w:bidi w:val="0"/>
                    <w:rPr>
                      <w:rFonts w:hint="default" w:ascii="Times New Roman" w:hAnsi="Times New Roman" w:cs="Times New Roman"/>
                      <w:color w:val="auto"/>
                      <w:lang w:val="en-US" w:eastAsia="zh-CN"/>
                    </w:rPr>
                  </w:pPr>
                </w:p>
              </w:tc>
              <w:tc>
                <w:tcPr>
                  <w:tcW w:w="602" w:type="pct"/>
                  <w:vMerge w:val="restart"/>
                  <w:tcBorders>
                    <w:tl2br w:val="nil"/>
                    <w:tr2bl w:val="nil"/>
                  </w:tcBorders>
                  <w:vAlign w:val="center"/>
                </w:tcPr>
                <w:p w14:paraId="4CC6A3D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DA008</w:t>
                  </w:r>
                </w:p>
              </w:tc>
              <w:tc>
                <w:tcPr>
                  <w:tcW w:w="850" w:type="pct"/>
                  <w:tcBorders>
                    <w:tl2br w:val="nil"/>
                    <w:tr2bl w:val="nil"/>
                  </w:tcBorders>
                  <w:vAlign w:val="center"/>
                </w:tcPr>
                <w:p w14:paraId="03BE88E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22.833</w:t>
                  </w:r>
                </w:p>
              </w:tc>
              <w:tc>
                <w:tcPr>
                  <w:tcW w:w="753" w:type="pct"/>
                  <w:tcBorders>
                    <w:tl2br w:val="nil"/>
                    <w:tr2bl w:val="nil"/>
                  </w:tcBorders>
                  <w:vAlign w:val="center"/>
                </w:tcPr>
                <w:p w14:paraId="41D95EF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0.134</w:t>
                  </w:r>
                </w:p>
              </w:tc>
              <w:tc>
                <w:tcPr>
                  <w:tcW w:w="492" w:type="pct"/>
                  <w:tcBorders>
                    <w:tl2br w:val="nil"/>
                    <w:tr2bl w:val="nil"/>
                  </w:tcBorders>
                  <w:vAlign w:val="center"/>
                </w:tcPr>
                <w:p w14:paraId="47E33CC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313219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vMerge w:val="continue"/>
                  <w:tcBorders>
                    <w:tl2br w:val="nil"/>
                    <w:tr2bl w:val="nil"/>
                  </w:tcBorders>
                  <w:vAlign w:val="center"/>
                </w:tcPr>
                <w:p w14:paraId="5CF4E6EA">
                  <w:pPr>
                    <w:pStyle w:val="3"/>
                    <w:bidi w:val="0"/>
                    <w:rPr>
                      <w:rFonts w:hint="default" w:ascii="Times New Roman" w:hAnsi="Times New Roman" w:cs="Times New Roman"/>
                      <w:color w:val="auto"/>
                      <w:lang w:val="en-US" w:eastAsia="zh-CN"/>
                    </w:rPr>
                  </w:pPr>
                </w:p>
              </w:tc>
              <w:tc>
                <w:tcPr>
                  <w:tcW w:w="587" w:type="pct"/>
                  <w:tcBorders>
                    <w:tl2br w:val="nil"/>
                    <w:tr2bl w:val="nil"/>
                  </w:tcBorders>
                  <w:vAlign w:val="center"/>
                </w:tcPr>
                <w:p w14:paraId="17F622D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氯化氢</w:t>
                  </w:r>
                </w:p>
              </w:tc>
              <w:tc>
                <w:tcPr>
                  <w:tcW w:w="902" w:type="pct"/>
                  <w:vMerge w:val="continue"/>
                  <w:tcBorders>
                    <w:tl2br w:val="nil"/>
                    <w:tr2bl w:val="nil"/>
                  </w:tcBorders>
                  <w:vAlign w:val="center"/>
                </w:tcPr>
                <w:p w14:paraId="1E2A727B">
                  <w:pPr>
                    <w:pStyle w:val="3"/>
                    <w:bidi w:val="0"/>
                    <w:rPr>
                      <w:rFonts w:hint="default" w:ascii="Times New Roman" w:hAnsi="Times New Roman" w:cs="Times New Roman"/>
                      <w:color w:val="auto"/>
                      <w:lang w:val="en-US" w:eastAsia="zh-CN"/>
                    </w:rPr>
                  </w:pPr>
                </w:p>
              </w:tc>
              <w:tc>
                <w:tcPr>
                  <w:tcW w:w="602" w:type="pct"/>
                  <w:vMerge w:val="continue"/>
                  <w:tcBorders>
                    <w:tl2br w:val="nil"/>
                    <w:tr2bl w:val="nil"/>
                  </w:tcBorders>
                  <w:vAlign w:val="center"/>
                </w:tcPr>
                <w:p w14:paraId="10C4F31D">
                  <w:pPr>
                    <w:pStyle w:val="3"/>
                    <w:bidi w:val="0"/>
                    <w:rPr>
                      <w:rFonts w:hint="default" w:ascii="Times New Roman" w:hAnsi="Times New Roman" w:cs="Times New Roman"/>
                      <w:color w:val="auto"/>
                      <w:lang w:val="en-US" w:eastAsia="zh-CN"/>
                    </w:rPr>
                  </w:pPr>
                </w:p>
              </w:tc>
              <w:tc>
                <w:tcPr>
                  <w:tcW w:w="850" w:type="pct"/>
                  <w:tcBorders>
                    <w:tl2br w:val="nil"/>
                    <w:tr2bl w:val="nil"/>
                  </w:tcBorders>
                  <w:vAlign w:val="center"/>
                </w:tcPr>
                <w:p w14:paraId="06E732E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1.24</w:t>
                  </w:r>
                </w:p>
              </w:tc>
              <w:tc>
                <w:tcPr>
                  <w:tcW w:w="753" w:type="pct"/>
                  <w:tcBorders>
                    <w:tl2br w:val="nil"/>
                    <w:tr2bl w:val="nil"/>
                  </w:tcBorders>
                  <w:vAlign w:val="center"/>
                </w:tcPr>
                <w:p w14:paraId="59735C8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0.007</w:t>
                  </w:r>
                </w:p>
              </w:tc>
              <w:tc>
                <w:tcPr>
                  <w:tcW w:w="492" w:type="pct"/>
                  <w:tcBorders>
                    <w:tl2br w:val="nil"/>
                    <w:tr2bl w:val="nil"/>
                  </w:tcBorders>
                  <w:vAlign w:val="center"/>
                </w:tcPr>
                <w:p w14:paraId="18A6EF0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2A9C80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pct"/>
                  <w:vMerge w:val="continue"/>
                  <w:tcBorders>
                    <w:tl2br w:val="nil"/>
                    <w:tr2bl w:val="nil"/>
                  </w:tcBorders>
                  <w:vAlign w:val="center"/>
                </w:tcPr>
                <w:p w14:paraId="3C95438A">
                  <w:pPr>
                    <w:pStyle w:val="3"/>
                    <w:bidi w:val="0"/>
                    <w:rPr>
                      <w:rFonts w:hint="default" w:ascii="Times New Roman" w:hAnsi="Times New Roman" w:cs="Times New Roman"/>
                      <w:color w:val="auto"/>
                      <w:lang w:val="en-US" w:eastAsia="zh-CN"/>
                    </w:rPr>
                  </w:pPr>
                </w:p>
              </w:tc>
              <w:tc>
                <w:tcPr>
                  <w:tcW w:w="587" w:type="pct"/>
                  <w:tcBorders>
                    <w:tl2br w:val="nil"/>
                    <w:tr2bl w:val="nil"/>
                  </w:tcBorders>
                  <w:vAlign w:val="center"/>
                </w:tcPr>
                <w:p w14:paraId="03A3880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硫酸雾</w:t>
                  </w:r>
                </w:p>
              </w:tc>
              <w:tc>
                <w:tcPr>
                  <w:tcW w:w="902" w:type="pct"/>
                  <w:vMerge w:val="continue"/>
                  <w:tcBorders>
                    <w:tl2br w:val="nil"/>
                    <w:tr2bl w:val="nil"/>
                  </w:tcBorders>
                  <w:vAlign w:val="center"/>
                </w:tcPr>
                <w:p w14:paraId="130362E9">
                  <w:pPr>
                    <w:pStyle w:val="3"/>
                    <w:bidi w:val="0"/>
                    <w:rPr>
                      <w:rFonts w:hint="default" w:ascii="Times New Roman" w:hAnsi="Times New Roman" w:cs="Times New Roman"/>
                      <w:color w:val="auto"/>
                      <w:lang w:val="en-US" w:eastAsia="zh-CN"/>
                    </w:rPr>
                  </w:pPr>
                </w:p>
              </w:tc>
              <w:tc>
                <w:tcPr>
                  <w:tcW w:w="602" w:type="pct"/>
                  <w:vMerge w:val="continue"/>
                  <w:tcBorders>
                    <w:tl2br w:val="nil"/>
                    <w:tr2bl w:val="nil"/>
                  </w:tcBorders>
                  <w:vAlign w:val="center"/>
                </w:tcPr>
                <w:p w14:paraId="71F0467C">
                  <w:pPr>
                    <w:pStyle w:val="3"/>
                    <w:bidi w:val="0"/>
                    <w:rPr>
                      <w:rFonts w:hint="default" w:ascii="Times New Roman" w:hAnsi="Times New Roman" w:cs="Times New Roman"/>
                      <w:color w:val="auto"/>
                      <w:lang w:val="en-US" w:eastAsia="zh-CN"/>
                    </w:rPr>
                  </w:pPr>
                </w:p>
              </w:tc>
              <w:tc>
                <w:tcPr>
                  <w:tcW w:w="850" w:type="pct"/>
                  <w:tcBorders>
                    <w:tl2br w:val="nil"/>
                    <w:tr2bl w:val="nil"/>
                  </w:tcBorders>
                  <w:vAlign w:val="center"/>
                </w:tcPr>
                <w:p w14:paraId="2EDA2AC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2.313</w:t>
                  </w:r>
                </w:p>
              </w:tc>
              <w:tc>
                <w:tcPr>
                  <w:tcW w:w="753" w:type="pct"/>
                  <w:tcBorders>
                    <w:tl2br w:val="nil"/>
                    <w:tr2bl w:val="nil"/>
                  </w:tcBorders>
                  <w:vAlign w:val="center"/>
                </w:tcPr>
                <w:p w14:paraId="08ED42E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0.014</w:t>
                  </w:r>
                </w:p>
              </w:tc>
              <w:tc>
                <w:tcPr>
                  <w:tcW w:w="492" w:type="pct"/>
                  <w:tcBorders>
                    <w:tl2br w:val="nil"/>
                    <w:tr2bl w:val="nil"/>
                  </w:tcBorders>
                  <w:vAlign w:val="center"/>
                </w:tcPr>
                <w:p w14:paraId="13ED39B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bl>
          <w:p w14:paraId="07A164CF">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bidi="ar"/>
              </w:rPr>
              <w:t>由表2.</w:t>
            </w:r>
            <w:r>
              <w:rPr>
                <w:rFonts w:hint="eastAsia" w:ascii="Times New Roman" w:eastAsia="宋体" w:cs="Times New Roman"/>
                <w:color w:val="auto"/>
                <w:sz w:val="24"/>
                <w:szCs w:val="24"/>
                <w:lang w:val="en-US" w:eastAsia="zh-CN" w:bidi="ar"/>
              </w:rPr>
              <w:t>7-6</w:t>
            </w:r>
            <w:r>
              <w:rPr>
                <w:rFonts w:hint="default" w:ascii="Times New Roman" w:hAnsi="Times New Roman" w:eastAsia="宋体" w:cs="Times New Roman"/>
                <w:color w:val="auto"/>
                <w:sz w:val="24"/>
                <w:szCs w:val="24"/>
                <w:lang w:val="en-US" w:eastAsia="zh-CN" w:bidi="ar"/>
              </w:rPr>
              <w:t>可知：</w:t>
            </w:r>
            <w:r>
              <w:rPr>
                <w:rFonts w:hint="eastAsia" w:ascii="Times New Roman" w:eastAsia="宋体" w:cs="Times New Roman"/>
                <w:b w:val="0"/>
                <w:bCs/>
                <w:color w:val="auto"/>
                <w:kern w:val="2"/>
                <w:sz w:val="24"/>
                <w:szCs w:val="24"/>
                <w:lang w:val="en-US" w:eastAsia="zh-CN" w:bidi="ar-SA"/>
              </w:rPr>
              <w:t>品控室</w:t>
            </w:r>
            <w:r>
              <w:rPr>
                <w:rFonts w:hint="default" w:ascii="Times New Roman" w:hAnsi="Times New Roman" w:eastAsia="宋体" w:cs="Times New Roman"/>
                <w:color w:val="auto"/>
                <w:sz w:val="24"/>
                <w:szCs w:val="24"/>
                <w:lang w:val="en-US" w:eastAsia="zh-CN" w:bidi="ar"/>
              </w:rPr>
              <w:t>产生的</w:t>
            </w:r>
            <w:r>
              <w:rPr>
                <w:rFonts w:hint="eastAsia" w:ascii="Times New Roman" w:cs="Times New Roman"/>
                <w:color w:val="auto"/>
                <w:sz w:val="24"/>
                <w:szCs w:val="24"/>
                <w:lang w:val="en-US" w:eastAsia="zh-CN"/>
              </w:rPr>
              <w:t>非甲烷总烃、氯化氢、硫酸雾经收集、处理后</w:t>
            </w:r>
            <w:r>
              <w:rPr>
                <w:rFonts w:hint="default" w:ascii="Times New Roman" w:hAnsi="Times New Roman" w:eastAsia="宋体" w:cs="Times New Roman"/>
                <w:color w:val="auto"/>
                <w:sz w:val="24"/>
                <w:szCs w:val="24"/>
                <w:lang w:eastAsia="zh-CN"/>
              </w:rPr>
              <w:t>其排放浓度、排放速率满足</w:t>
            </w:r>
            <w:r>
              <w:rPr>
                <w:rFonts w:hint="default" w:ascii="Times New Roman" w:hAnsi="Times New Roman" w:eastAsia="宋体" w:cs="Times New Roman"/>
                <w:color w:val="auto"/>
                <w:sz w:val="24"/>
                <w:szCs w:val="24"/>
              </w:rPr>
              <w:t>《大气污染物综合排放标准》（DB50/418-2016）表1</w:t>
            </w:r>
            <w:r>
              <w:rPr>
                <w:rFonts w:hint="default" w:ascii="Times New Roman" w:hAnsi="Times New Roman" w:eastAsia="宋体" w:cs="Times New Roman"/>
                <w:color w:val="auto"/>
                <w:sz w:val="24"/>
                <w:szCs w:val="24"/>
                <w:lang w:eastAsia="zh-CN"/>
              </w:rPr>
              <w:t>标准</w:t>
            </w:r>
            <w:r>
              <w:rPr>
                <w:rFonts w:hint="eastAsia" w:ascii="Times New Roman" w:eastAsia="宋体" w:cs="Times New Roman"/>
                <w:color w:val="auto"/>
                <w:sz w:val="24"/>
                <w:szCs w:val="24"/>
                <w:lang w:eastAsia="zh-CN"/>
              </w:rPr>
              <w:t>要求</w:t>
            </w:r>
            <w:r>
              <w:rPr>
                <w:rFonts w:hint="default" w:ascii="Times New Roman" w:hAnsi="Times New Roman" w:eastAsia="宋体" w:cs="Times New Roman"/>
                <w:color w:val="auto"/>
                <w:sz w:val="24"/>
                <w:szCs w:val="24"/>
                <w:lang w:eastAsia="zh-CN"/>
              </w:rPr>
              <w:t>。</w:t>
            </w:r>
          </w:p>
          <w:p w14:paraId="23888486">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hAnsi="宋体" w:eastAsia="宋体" w:cs="宋体"/>
                <w:color w:val="auto"/>
                <w:sz w:val="24"/>
                <w:szCs w:val="24"/>
                <w:lang w:eastAsia="zh-CN"/>
              </w:rPr>
            </w:pPr>
            <w:r>
              <w:rPr>
                <w:rFonts w:hint="eastAsia" w:ascii="宋体" w:hAnsi="宋体" w:eastAsia="宋体" w:cs="宋体"/>
                <w:color w:val="auto"/>
                <w:sz w:val="24"/>
                <w:szCs w:val="24"/>
                <w:lang w:eastAsia="zh-CN"/>
              </w:rPr>
              <w:t>⑥</w:t>
            </w:r>
            <w:r>
              <w:rPr>
                <w:rFonts w:hint="eastAsia" w:hAnsi="宋体" w:eastAsia="宋体" w:cs="宋体"/>
                <w:color w:val="auto"/>
                <w:sz w:val="24"/>
                <w:szCs w:val="24"/>
                <w:lang w:eastAsia="zh-CN"/>
              </w:rPr>
              <w:t>包装车间</w:t>
            </w:r>
          </w:p>
          <w:p w14:paraId="5F7AA883">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包装车间吹瓶工序将产生非甲烷总烃，吹瓶工序产生的非甲烷总烃经活性炭吸附处理后引至15m高的DA009排气筒排放。</w:t>
            </w:r>
          </w:p>
          <w:p w14:paraId="78D5B0E7">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eastAsia" w:ascii="Times New Roman" w:eastAsia="宋体" w:cs="Times New Roman"/>
                <w:b w:val="0"/>
                <w:bCs/>
                <w:color w:val="auto"/>
                <w:kern w:val="2"/>
                <w:sz w:val="24"/>
                <w:szCs w:val="24"/>
                <w:lang w:val="en-US" w:eastAsia="zh-CN" w:bidi="ar-SA"/>
              </w:rPr>
              <w:t>包装车间吹瓶工序</w:t>
            </w:r>
            <w:r>
              <w:rPr>
                <w:rFonts w:hint="default" w:ascii="Times New Roman" w:hAnsi="Times New Roman" w:cs="Times New Roman"/>
                <w:color w:val="auto"/>
                <w:sz w:val="24"/>
                <w:szCs w:val="24"/>
                <w:lang w:eastAsia="zh-CN"/>
              </w:rPr>
              <w:t>产生的</w:t>
            </w:r>
            <w:r>
              <w:rPr>
                <w:rFonts w:hint="eastAsia" w:ascii="Times New Roman" w:cs="Times New Roman"/>
                <w:color w:val="auto"/>
                <w:sz w:val="24"/>
                <w:szCs w:val="24"/>
                <w:lang w:val="en-US" w:eastAsia="zh-CN"/>
              </w:rPr>
              <w:t>非甲烷总烃</w:t>
            </w:r>
            <w:r>
              <w:rPr>
                <w:rFonts w:hint="default" w:ascii="Times New Roman" w:hAnsi="Times New Roman" w:eastAsia="宋体" w:cs="Times New Roman"/>
                <w:b w:val="0"/>
                <w:bCs/>
                <w:color w:val="auto"/>
                <w:kern w:val="2"/>
                <w:sz w:val="24"/>
                <w:szCs w:val="24"/>
                <w:lang w:val="en-US" w:eastAsia="zh-CN" w:bidi="ar-SA"/>
              </w:rPr>
              <w:t>排放情况见表2.</w:t>
            </w:r>
            <w:r>
              <w:rPr>
                <w:rFonts w:hint="eastAsia" w:ascii="Times New Roman" w:eastAsia="宋体" w:cs="Times New Roman"/>
                <w:b w:val="0"/>
                <w:bCs/>
                <w:color w:val="auto"/>
                <w:kern w:val="2"/>
                <w:sz w:val="24"/>
                <w:szCs w:val="24"/>
                <w:lang w:val="en-US" w:eastAsia="zh-CN" w:bidi="ar-SA"/>
              </w:rPr>
              <w:t>7-7</w:t>
            </w:r>
            <w:r>
              <w:rPr>
                <w:rFonts w:hint="default" w:ascii="Times New Roman" w:hAnsi="Times New Roman" w:eastAsia="宋体" w:cs="Times New Roman"/>
                <w:b w:val="0"/>
                <w:bCs/>
                <w:color w:val="auto"/>
                <w:kern w:val="2"/>
                <w:sz w:val="24"/>
                <w:szCs w:val="24"/>
                <w:lang w:val="en-US" w:eastAsia="zh-CN" w:bidi="ar-SA"/>
              </w:rPr>
              <w:t>。</w:t>
            </w:r>
          </w:p>
          <w:p w14:paraId="4ADD22F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2.7-7 包装车间污染物排放情况一览表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978"/>
              <w:gridCol w:w="1514"/>
              <w:gridCol w:w="1011"/>
              <w:gridCol w:w="1427"/>
              <w:gridCol w:w="1264"/>
              <w:gridCol w:w="843"/>
            </w:tblGrid>
            <w:tr w14:paraId="1EF7EC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tcBorders>
                    <w:tl2br w:val="nil"/>
                    <w:tr2bl w:val="nil"/>
                  </w:tcBorders>
                  <w:vAlign w:val="center"/>
                </w:tcPr>
                <w:p w14:paraId="6BACD13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583" w:type="pct"/>
                  <w:tcBorders>
                    <w:tl2br w:val="nil"/>
                    <w:tr2bl w:val="nil"/>
                  </w:tcBorders>
                  <w:vAlign w:val="center"/>
                </w:tcPr>
                <w:p w14:paraId="36F4600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2A202A4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902" w:type="pct"/>
                  <w:tcBorders>
                    <w:tl2br w:val="nil"/>
                    <w:tr2bl w:val="nil"/>
                  </w:tcBorders>
                  <w:vAlign w:val="center"/>
                </w:tcPr>
                <w:p w14:paraId="6EBC5D1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602" w:type="pct"/>
                  <w:tcBorders>
                    <w:tl2br w:val="nil"/>
                    <w:tr2bl w:val="nil"/>
                  </w:tcBorders>
                  <w:vAlign w:val="center"/>
                </w:tcPr>
                <w:p w14:paraId="3AF130A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576D31F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850" w:type="pct"/>
                  <w:tcBorders>
                    <w:tl2br w:val="nil"/>
                    <w:tr2bl w:val="nil"/>
                  </w:tcBorders>
                  <w:vAlign w:val="center"/>
                </w:tcPr>
                <w:p w14:paraId="1DFEE05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3E2149C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3" w:type="pct"/>
                  <w:tcBorders>
                    <w:tl2br w:val="nil"/>
                    <w:tr2bl w:val="nil"/>
                  </w:tcBorders>
                  <w:vAlign w:val="center"/>
                </w:tcPr>
                <w:p w14:paraId="7C72DCF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1E95098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502" w:type="pct"/>
                  <w:tcBorders>
                    <w:tl2br w:val="nil"/>
                    <w:tr2bl w:val="nil"/>
                  </w:tcBorders>
                  <w:vAlign w:val="center"/>
                </w:tcPr>
                <w:p w14:paraId="4239DD8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2FFEEED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2EA75A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tcBorders>
                    <w:tl2br w:val="nil"/>
                    <w:tr2bl w:val="nil"/>
                  </w:tcBorders>
                  <w:vAlign w:val="center"/>
                </w:tcPr>
                <w:p w14:paraId="27E90DC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吹瓶</w:t>
                  </w:r>
                </w:p>
              </w:tc>
              <w:tc>
                <w:tcPr>
                  <w:tcW w:w="583" w:type="pct"/>
                  <w:tcBorders>
                    <w:tl2br w:val="nil"/>
                    <w:tr2bl w:val="nil"/>
                  </w:tcBorders>
                  <w:vAlign w:val="center"/>
                </w:tcPr>
                <w:p w14:paraId="33B3D90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非甲烷总烃</w:t>
                  </w:r>
                </w:p>
              </w:tc>
              <w:tc>
                <w:tcPr>
                  <w:tcW w:w="902" w:type="pct"/>
                  <w:tcBorders>
                    <w:tl2br w:val="nil"/>
                    <w:tr2bl w:val="nil"/>
                  </w:tcBorders>
                  <w:vAlign w:val="center"/>
                </w:tcPr>
                <w:p w14:paraId="43DCB68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活性炭吸附</w:t>
                  </w:r>
                </w:p>
              </w:tc>
              <w:tc>
                <w:tcPr>
                  <w:tcW w:w="602" w:type="pct"/>
                  <w:tcBorders>
                    <w:tl2br w:val="nil"/>
                    <w:tr2bl w:val="nil"/>
                  </w:tcBorders>
                  <w:vAlign w:val="center"/>
                </w:tcPr>
                <w:p w14:paraId="6B82C11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DA009</w:t>
                  </w:r>
                </w:p>
              </w:tc>
              <w:tc>
                <w:tcPr>
                  <w:tcW w:w="850" w:type="pct"/>
                  <w:tcBorders>
                    <w:tl2br w:val="nil"/>
                    <w:tr2bl w:val="nil"/>
                  </w:tcBorders>
                  <w:vAlign w:val="center"/>
                </w:tcPr>
                <w:p w14:paraId="15F0E7C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16.133</w:t>
                  </w:r>
                </w:p>
              </w:tc>
              <w:tc>
                <w:tcPr>
                  <w:tcW w:w="753" w:type="pct"/>
                  <w:tcBorders>
                    <w:tl2br w:val="nil"/>
                    <w:tr2bl w:val="nil"/>
                  </w:tcBorders>
                  <w:vAlign w:val="center"/>
                </w:tcPr>
                <w:p w14:paraId="753D963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6</w:t>
                  </w:r>
                </w:p>
              </w:tc>
              <w:tc>
                <w:tcPr>
                  <w:tcW w:w="502" w:type="pct"/>
                  <w:tcBorders>
                    <w:tl2br w:val="nil"/>
                    <w:tr2bl w:val="nil"/>
                  </w:tcBorders>
                  <w:vAlign w:val="center"/>
                </w:tcPr>
                <w:p w14:paraId="4A6C2AD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bl>
          <w:p w14:paraId="43878B1A">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bidi="ar"/>
              </w:rPr>
              <w:t>由表2.</w:t>
            </w:r>
            <w:r>
              <w:rPr>
                <w:rFonts w:hint="eastAsia" w:ascii="Times New Roman" w:eastAsia="宋体" w:cs="Times New Roman"/>
                <w:color w:val="auto"/>
                <w:sz w:val="24"/>
                <w:szCs w:val="24"/>
                <w:lang w:val="en-US" w:eastAsia="zh-CN" w:bidi="ar"/>
              </w:rPr>
              <w:t>7-7</w:t>
            </w:r>
            <w:r>
              <w:rPr>
                <w:rFonts w:hint="default" w:ascii="Times New Roman" w:hAnsi="Times New Roman" w:eastAsia="宋体" w:cs="Times New Roman"/>
                <w:color w:val="auto"/>
                <w:sz w:val="24"/>
                <w:szCs w:val="24"/>
                <w:lang w:val="en-US" w:eastAsia="zh-CN" w:bidi="ar"/>
              </w:rPr>
              <w:t>可知：</w:t>
            </w:r>
            <w:r>
              <w:rPr>
                <w:rFonts w:hint="eastAsia" w:ascii="Times New Roman" w:eastAsia="宋体" w:cs="Times New Roman"/>
                <w:b w:val="0"/>
                <w:bCs/>
                <w:color w:val="auto"/>
                <w:kern w:val="2"/>
                <w:sz w:val="24"/>
                <w:szCs w:val="24"/>
                <w:lang w:val="en-US" w:eastAsia="zh-CN" w:bidi="ar-SA"/>
              </w:rPr>
              <w:t>包装车间吹瓶工序</w:t>
            </w:r>
            <w:r>
              <w:rPr>
                <w:rFonts w:hint="default" w:ascii="Times New Roman" w:hAnsi="Times New Roman" w:eastAsia="宋体" w:cs="Times New Roman"/>
                <w:color w:val="auto"/>
                <w:sz w:val="24"/>
                <w:szCs w:val="24"/>
                <w:lang w:val="en-US" w:eastAsia="zh-CN" w:bidi="ar"/>
              </w:rPr>
              <w:t>产生的</w:t>
            </w:r>
            <w:r>
              <w:rPr>
                <w:rFonts w:hint="eastAsia" w:ascii="Times New Roman" w:cs="Times New Roman"/>
                <w:color w:val="auto"/>
                <w:sz w:val="24"/>
                <w:szCs w:val="24"/>
                <w:lang w:val="en-US" w:eastAsia="zh-CN"/>
              </w:rPr>
              <w:t>非甲烷总烃经活性炭处理后</w:t>
            </w:r>
            <w:r>
              <w:rPr>
                <w:rFonts w:hint="default" w:ascii="Times New Roman" w:hAnsi="Times New Roman" w:eastAsia="宋体" w:cs="Times New Roman"/>
                <w:color w:val="auto"/>
                <w:sz w:val="24"/>
                <w:szCs w:val="24"/>
                <w:lang w:eastAsia="zh-CN"/>
              </w:rPr>
              <w:t>其排放浓度</w:t>
            </w:r>
            <w:r>
              <w:rPr>
                <w:rFonts w:hint="eastAsia" w:ascii="Times New Roman" w:eastAsia="宋体" w:cs="Times New Roman"/>
                <w:color w:val="auto"/>
                <w:sz w:val="24"/>
                <w:szCs w:val="24"/>
                <w:lang w:eastAsia="zh-CN"/>
              </w:rPr>
              <w:t>、</w:t>
            </w:r>
            <w:r>
              <w:rPr>
                <w:rFonts w:hint="default" w:ascii="Times New Roman" w:hAnsi="Times New Roman" w:eastAsia="宋体" w:cs="Times New Roman"/>
                <w:b w:val="0"/>
                <w:bCs w:val="0"/>
                <w:color w:val="auto"/>
                <w:sz w:val="24"/>
                <w:szCs w:val="24"/>
                <w:lang w:eastAsia="zh-CN"/>
              </w:rPr>
              <w:t>排放速率满足</w:t>
            </w:r>
            <w:r>
              <w:rPr>
                <w:rFonts w:hint="default" w:ascii="Times New Roman" w:hAnsi="Times New Roman" w:eastAsia="宋体" w:cs="Times New Roman"/>
                <w:b w:val="0"/>
                <w:bCs w:val="0"/>
                <w:color w:val="auto"/>
                <w:sz w:val="24"/>
                <w:szCs w:val="24"/>
              </w:rPr>
              <w:t>《合成树脂工业污染物排放标准》（GB31572-2015</w:t>
            </w:r>
            <w:r>
              <w:rPr>
                <w:rFonts w:hint="eastAsia" w:asci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eastAsia="zh-CN"/>
              </w:rPr>
              <w:t>标准要求。</w:t>
            </w:r>
          </w:p>
          <w:p w14:paraId="30480325">
            <w:pPr>
              <w:bidi w:val="0"/>
              <w:rPr>
                <w:rFonts w:hint="eastAsia" w:ascii="Times New Roman" w:eastAsia="宋体" w:cs="Times New Roman"/>
                <w:color w:val="auto"/>
                <w:highlight w:val="none"/>
                <w:lang w:val="en-US" w:eastAsia="zh-CN" w:bidi="ar"/>
              </w:rPr>
            </w:pPr>
            <w:r>
              <w:rPr>
                <w:rFonts w:hint="eastAsia" w:ascii="宋体" w:hAnsi="宋体" w:eastAsia="宋体" w:cs="宋体"/>
                <w:color w:val="auto"/>
                <w:sz w:val="24"/>
                <w:szCs w:val="24"/>
                <w:highlight w:val="none"/>
                <w:lang w:eastAsia="zh-CN"/>
              </w:rPr>
              <w:t>⑦</w:t>
            </w:r>
            <w:r>
              <w:rPr>
                <w:rFonts w:hint="eastAsia" w:ascii="Times New Roman" w:eastAsia="宋体" w:cs="Times New Roman"/>
                <w:color w:val="auto"/>
                <w:highlight w:val="none"/>
                <w:lang w:eastAsia="zh-CN" w:bidi="ar"/>
              </w:rPr>
              <w:t>预处理车间</w:t>
            </w:r>
          </w:p>
          <w:p w14:paraId="30DA7133">
            <w:pPr>
              <w:pStyle w:val="23"/>
              <w:spacing w:line="360" w:lineRule="auto"/>
              <w:jc w:val="both"/>
              <w:rPr>
                <w:rFonts w:hint="eastAsia" w:ascii="Times New Roman" w:eastAsia="等线"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预处理车间产生的废气主要为各工序产生的颗粒物，其中</w:t>
            </w:r>
            <w:r>
              <w:rPr>
                <w:rFonts w:hint="default" w:ascii="Times New Roman" w:hAnsi="Times New Roman" w:cs="Times New Roman"/>
                <w:color w:val="auto"/>
              </w:rPr>
              <w:t>大豆</w:t>
            </w:r>
            <w:r>
              <w:rPr>
                <w:rFonts w:hint="eastAsia" w:ascii="Times New Roman" w:hAnsi="Times New Roman" w:eastAsia="宋体" w:cs="Times New Roman"/>
                <w:color w:val="auto"/>
                <w:lang w:eastAsia="zh-CN"/>
              </w:rPr>
              <w:t>称量、</w:t>
            </w:r>
            <w:r>
              <w:rPr>
                <w:rFonts w:hint="default" w:ascii="Times New Roman" w:hAnsi="Times New Roman" w:cs="Times New Roman"/>
                <w:color w:val="auto"/>
              </w:rPr>
              <w:t>振动清理</w:t>
            </w:r>
            <w:r>
              <w:rPr>
                <w:rFonts w:hint="eastAsia" w:ascii="Times New Roman" w:hAnsi="Times New Roman" w:eastAsia="宋体" w:cs="Times New Roman"/>
                <w:color w:val="auto"/>
                <w:lang w:eastAsia="zh-CN"/>
              </w:rPr>
              <w:t>工序</w:t>
            </w:r>
            <w:r>
              <w:rPr>
                <w:rFonts w:hint="default" w:ascii="Times New Roman" w:hAnsi="Times New Roman" w:eastAsia="宋体" w:cs="Times New Roman"/>
                <w:color w:val="auto"/>
              </w:rPr>
              <w:t>产生的</w:t>
            </w:r>
            <w:r>
              <w:rPr>
                <w:rFonts w:hint="default" w:ascii="Times New Roman" w:hAnsi="Times New Roman" w:eastAsia="宋体" w:cs="Times New Roman"/>
                <w:color w:val="auto"/>
                <w:lang w:eastAsia="zh-CN"/>
              </w:rPr>
              <w:t>颗粒物</w:t>
            </w:r>
            <w:r>
              <w:rPr>
                <w:rFonts w:hint="default" w:ascii="Times New Roman" w:hAnsi="Times New Roman" w:eastAsia="宋体" w:cs="Times New Roman"/>
                <w:color w:val="auto"/>
              </w:rPr>
              <w:t>经布袋除尘器处理后，</w:t>
            </w:r>
            <w:r>
              <w:rPr>
                <w:rFonts w:hint="default" w:ascii="Times New Roman" w:hAnsi="Times New Roman" w:eastAsia="宋体" w:cs="Times New Roman"/>
                <w:color w:val="auto"/>
                <w:lang w:eastAsia="zh-CN"/>
              </w:rPr>
              <w:t>通过</w:t>
            </w:r>
            <w:r>
              <w:rPr>
                <w:rFonts w:hint="default" w:ascii="Times New Roman" w:hAnsi="Times New Roman" w:eastAsia="宋体" w:cs="Times New Roman"/>
                <w:color w:val="auto"/>
                <w:lang w:val="en-US" w:eastAsia="zh-CN"/>
              </w:rPr>
              <w:t>25</w:t>
            </w:r>
            <w:r>
              <w:rPr>
                <w:rFonts w:hint="default" w:ascii="Times New Roman" w:hAnsi="Times New Roman" w:eastAsia="宋体" w:cs="Times New Roman"/>
                <w:color w:val="auto"/>
              </w:rPr>
              <w:t>m高</w:t>
            </w:r>
            <w:r>
              <w:rPr>
                <w:rFonts w:hint="default" w:ascii="Times New Roman" w:hAnsi="Times New Roman" w:eastAsia="宋体" w:cs="Times New Roman"/>
                <w:color w:val="auto"/>
                <w:lang w:val="en-US" w:eastAsia="zh-CN"/>
              </w:rPr>
              <w:t>DA011</w:t>
            </w:r>
            <w:r>
              <w:rPr>
                <w:rFonts w:hint="default" w:ascii="Times New Roman" w:hAnsi="Times New Roman" w:eastAsia="宋体" w:cs="Times New Roman"/>
                <w:color w:val="auto"/>
              </w:rPr>
              <w:t>排气筒排放</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大豆在调质前初步脱皮</w:t>
            </w:r>
            <w:r>
              <w:rPr>
                <w:rFonts w:hint="default" w:ascii="Times New Roman" w:hAnsi="Times New Roman" w:eastAsia="宋体" w:cs="Times New Roman"/>
                <w:color w:val="auto"/>
                <w:lang w:eastAsia="zh-CN"/>
              </w:rPr>
              <w:t>、大豆脱皮、大豆粉碎、筛分豆粕和细料、粉碎豆皮、</w:t>
            </w:r>
            <w:r>
              <w:rPr>
                <w:rFonts w:hint="default" w:ascii="Times New Roman" w:hAnsi="Times New Roman" w:eastAsia="宋体" w:cs="Times New Roman"/>
                <w:color w:val="auto"/>
              </w:rPr>
              <w:t>豆粕筛分粗料重新粉碎</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粉碎豆粕</w:t>
            </w:r>
            <w:r>
              <w:rPr>
                <w:rFonts w:hint="default" w:ascii="Times New Roman" w:hAnsi="Times New Roman" w:eastAsia="宋体" w:cs="Times New Roman"/>
                <w:color w:val="auto"/>
                <w:lang w:eastAsia="zh-CN"/>
              </w:rPr>
              <w:t>工序</w:t>
            </w:r>
            <w:r>
              <w:rPr>
                <w:rFonts w:hint="default" w:ascii="Times New Roman" w:hAnsi="Times New Roman" w:eastAsia="宋体" w:cs="Times New Roman"/>
                <w:color w:val="auto"/>
              </w:rPr>
              <w:t>中产生的</w:t>
            </w:r>
            <w:r>
              <w:rPr>
                <w:rFonts w:hint="default" w:ascii="Times New Roman" w:hAnsi="Times New Roman" w:eastAsia="宋体" w:cs="Times New Roman"/>
                <w:color w:val="auto"/>
                <w:lang w:eastAsia="zh-CN"/>
              </w:rPr>
              <w:t>颗粒物</w:t>
            </w:r>
            <w:r>
              <w:rPr>
                <w:rFonts w:hint="default" w:ascii="Times New Roman" w:hAnsi="Times New Roman" w:eastAsia="宋体" w:cs="Times New Roman"/>
                <w:color w:val="auto"/>
              </w:rPr>
              <w:t>经旋风除尘器</w:t>
            </w:r>
            <w:r>
              <w:rPr>
                <w:rFonts w:hint="default" w:ascii="Times New Roman" w:hAnsi="Times New Roman" w:eastAsia="宋体" w:cs="Times New Roman"/>
                <w:color w:val="auto"/>
                <w:lang w:val="en-US" w:eastAsia="zh-CN"/>
              </w:rPr>
              <w:t>+滤筒除尘器</w:t>
            </w:r>
            <w:r>
              <w:rPr>
                <w:rFonts w:hint="default" w:ascii="Times New Roman" w:hAnsi="Times New Roman" w:eastAsia="宋体" w:cs="Times New Roman"/>
                <w:color w:val="auto"/>
              </w:rPr>
              <w:t>处理后，</w:t>
            </w:r>
            <w:r>
              <w:rPr>
                <w:rFonts w:hint="default" w:ascii="Times New Roman" w:hAnsi="Times New Roman" w:eastAsia="宋体" w:cs="Times New Roman"/>
                <w:color w:val="auto"/>
                <w:lang w:eastAsia="zh-CN"/>
              </w:rPr>
              <w:t>通过</w:t>
            </w:r>
            <w:r>
              <w:rPr>
                <w:rFonts w:hint="default" w:ascii="Times New Roman" w:hAnsi="Times New Roman" w:eastAsia="宋体" w:cs="Times New Roman"/>
                <w:color w:val="auto"/>
              </w:rPr>
              <w:t>2</w:t>
            </w: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m高</w:t>
            </w:r>
            <w:r>
              <w:rPr>
                <w:rFonts w:hint="default" w:ascii="Times New Roman" w:hAnsi="Times New Roman" w:eastAsia="宋体" w:cs="Times New Roman"/>
                <w:color w:val="auto"/>
                <w:lang w:val="en-US" w:eastAsia="zh-CN"/>
              </w:rPr>
              <w:t>DA012</w:t>
            </w:r>
            <w:r>
              <w:rPr>
                <w:rFonts w:hint="default" w:ascii="Times New Roman" w:hAnsi="Times New Roman" w:eastAsia="宋体" w:cs="Times New Roman"/>
                <w:color w:val="auto"/>
              </w:rPr>
              <w:t>排气筒</w:t>
            </w:r>
            <w:r>
              <w:rPr>
                <w:rFonts w:hint="default" w:ascii="Times New Roman" w:hAnsi="Times New Roman" w:cs="Times New Roman"/>
                <w:color w:val="auto"/>
              </w:rPr>
              <w:t>排放</w:t>
            </w:r>
            <w:r>
              <w:rPr>
                <w:rFonts w:hint="eastAsia" w:ascii="Times New Roman" w:cs="Times New Roman"/>
                <w:color w:val="auto"/>
                <w:lang w:eastAsia="zh-CN"/>
              </w:rPr>
              <w:t>；</w:t>
            </w:r>
            <w:r>
              <w:rPr>
                <w:rFonts w:hint="default" w:ascii="Times New Roman" w:hAnsi="Times New Roman" w:cs="Times New Roman"/>
                <w:color w:val="auto"/>
              </w:rPr>
              <w:t>大豆调</w:t>
            </w:r>
            <w:r>
              <w:rPr>
                <w:rFonts w:hint="default" w:ascii="Times New Roman" w:hAnsi="Times New Roman" w:cs="Times New Roman"/>
                <w:color w:val="auto"/>
                <w:lang w:eastAsia="zh-CN"/>
              </w:rPr>
              <w:t>质</w:t>
            </w:r>
            <w:r>
              <w:rPr>
                <w:rFonts w:hint="eastAsia" w:ascii="Times New Roman" w:hAnsi="Times New Roman" w:eastAsia="宋体" w:cs="Times New Roman"/>
                <w:color w:val="auto"/>
                <w:lang w:eastAsia="zh-CN"/>
              </w:rPr>
              <w:t>、轧制胚片、膨化冷却胚片工序</w:t>
            </w:r>
            <w:r>
              <w:rPr>
                <w:rFonts w:hint="default" w:ascii="Times New Roman" w:hAnsi="Times New Roman" w:cs="Times New Roman"/>
                <w:color w:val="auto"/>
              </w:rPr>
              <w:t>中产生的</w:t>
            </w:r>
            <w:r>
              <w:rPr>
                <w:rFonts w:hint="default" w:ascii="Times New Roman" w:hAnsi="Times New Roman" w:cs="Times New Roman"/>
                <w:color w:val="auto"/>
                <w:lang w:eastAsia="zh-CN"/>
              </w:rPr>
              <w:t>颗粒物</w:t>
            </w:r>
            <w:r>
              <w:rPr>
                <w:rFonts w:hint="default" w:ascii="Times New Roman" w:hAnsi="Times New Roman" w:cs="Times New Roman"/>
                <w:color w:val="auto"/>
              </w:rPr>
              <w:t>经旋风除尘器</w:t>
            </w:r>
            <w:r>
              <w:rPr>
                <w:rFonts w:hint="eastAsia" w:ascii="Times New Roman" w:cs="Times New Roman"/>
                <w:color w:val="auto"/>
                <w:lang w:val="en-US" w:eastAsia="zh-CN"/>
              </w:rPr>
              <w:t>+多效气混药捕塔</w:t>
            </w:r>
            <w:r>
              <w:rPr>
                <w:rFonts w:hint="default" w:ascii="Times New Roman" w:hAnsi="Times New Roman" w:cs="Times New Roman"/>
                <w:color w:val="auto"/>
              </w:rPr>
              <w:t>处理后，</w:t>
            </w:r>
            <w:r>
              <w:rPr>
                <w:rFonts w:hint="eastAsia" w:ascii="Times New Roman" w:hAnsi="Times New Roman" w:eastAsia="宋体" w:cs="Times New Roman"/>
                <w:color w:val="auto"/>
                <w:lang w:eastAsia="zh-CN"/>
              </w:rPr>
              <w:t>通过</w:t>
            </w:r>
            <w:r>
              <w:rPr>
                <w:rFonts w:hint="default" w:ascii="Times New Roman" w:hAnsi="Times New Roman" w:cs="Times New Roman"/>
                <w:color w:val="auto"/>
              </w:rPr>
              <w:t>2</w:t>
            </w: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m高</w:t>
            </w:r>
            <w:r>
              <w:rPr>
                <w:rFonts w:hint="eastAsia" w:ascii="Times New Roman" w:hAnsi="Times New Roman" w:eastAsia="宋体" w:cs="Times New Roman"/>
                <w:color w:val="auto"/>
                <w:lang w:val="en-US" w:eastAsia="zh-CN"/>
              </w:rPr>
              <w:t>DA0013</w:t>
            </w:r>
            <w:r>
              <w:rPr>
                <w:rFonts w:hint="default" w:ascii="Times New Roman" w:hAnsi="Times New Roman" w:cs="Times New Roman"/>
                <w:color w:val="auto"/>
              </w:rPr>
              <w:t>排气筒排放</w:t>
            </w:r>
            <w:r>
              <w:rPr>
                <w:rFonts w:hint="eastAsia" w:ascii="Times New Roman" w:hAnsi="Times New Roman" w:eastAsia="宋体" w:cs="Times New Roman"/>
                <w:color w:val="auto"/>
                <w:lang w:eastAsia="zh-CN"/>
              </w:rPr>
              <w:t>。</w:t>
            </w:r>
          </w:p>
          <w:p w14:paraId="0E36A79D">
            <w:pPr>
              <w:pStyle w:val="23"/>
              <w:spacing w:line="360" w:lineRule="auto"/>
              <w:ind w:left="0" w:leftChars="0" w:firstLine="480" w:firstLineChars="200"/>
              <w:jc w:val="both"/>
              <w:rPr>
                <w:rFonts w:hint="eastAsia" w:asci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default" w:ascii="Times New Roman" w:hAnsi="Times New Roman" w:eastAsia="宋体" w:cs="Times New Roman"/>
                <w:b w:val="0"/>
                <w:bCs/>
                <w:color w:val="auto"/>
                <w:kern w:val="2"/>
                <w:sz w:val="24"/>
                <w:szCs w:val="24"/>
                <w:lang w:val="en-US" w:eastAsia="zh-CN" w:bidi="ar-SA"/>
              </w:rPr>
              <w:t>预处理生产车间各生产</w:t>
            </w:r>
            <w:r>
              <w:rPr>
                <w:rFonts w:hint="eastAsia" w:ascii="Times New Roman" w:eastAsia="宋体" w:cs="Times New Roman"/>
                <w:b w:val="0"/>
                <w:bCs/>
                <w:color w:val="auto"/>
                <w:kern w:val="2"/>
                <w:sz w:val="24"/>
                <w:szCs w:val="24"/>
                <w:lang w:val="en-US" w:eastAsia="zh-CN" w:bidi="ar-SA"/>
              </w:rPr>
              <w:t>工序颗粒物排放情况见表2.7-8。</w:t>
            </w:r>
          </w:p>
          <w:p w14:paraId="0CFC321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表2.7-8 预处理车间各工序污染物排放情况一览表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978"/>
              <w:gridCol w:w="1514"/>
              <w:gridCol w:w="1011"/>
              <w:gridCol w:w="1427"/>
              <w:gridCol w:w="1264"/>
              <w:gridCol w:w="843"/>
            </w:tblGrid>
            <w:tr w14:paraId="20127B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tcBorders>
                    <w:tl2br w:val="nil"/>
                    <w:tr2bl w:val="nil"/>
                  </w:tcBorders>
                  <w:vAlign w:val="center"/>
                </w:tcPr>
                <w:p w14:paraId="449F37B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583" w:type="pct"/>
                  <w:tcBorders>
                    <w:tl2br w:val="nil"/>
                    <w:tr2bl w:val="nil"/>
                  </w:tcBorders>
                  <w:vAlign w:val="center"/>
                </w:tcPr>
                <w:p w14:paraId="116D8E9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1158B18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902" w:type="pct"/>
                  <w:tcBorders>
                    <w:tl2br w:val="nil"/>
                    <w:tr2bl w:val="nil"/>
                  </w:tcBorders>
                  <w:vAlign w:val="center"/>
                </w:tcPr>
                <w:p w14:paraId="0DBDD8F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602" w:type="pct"/>
                  <w:tcBorders>
                    <w:tl2br w:val="nil"/>
                    <w:tr2bl w:val="nil"/>
                  </w:tcBorders>
                  <w:vAlign w:val="center"/>
                </w:tcPr>
                <w:p w14:paraId="53752F8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215638A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850" w:type="pct"/>
                  <w:tcBorders>
                    <w:tl2br w:val="nil"/>
                    <w:tr2bl w:val="nil"/>
                  </w:tcBorders>
                  <w:vAlign w:val="center"/>
                </w:tcPr>
                <w:p w14:paraId="3FAD45F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1FCEFFB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3" w:type="pct"/>
                  <w:tcBorders>
                    <w:tl2br w:val="nil"/>
                    <w:tr2bl w:val="nil"/>
                  </w:tcBorders>
                  <w:vAlign w:val="center"/>
                </w:tcPr>
                <w:p w14:paraId="676632E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7FDF1D7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502" w:type="pct"/>
                  <w:tcBorders>
                    <w:tl2br w:val="nil"/>
                    <w:tr2bl w:val="nil"/>
                  </w:tcBorders>
                  <w:vAlign w:val="center"/>
                </w:tcPr>
                <w:p w14:paraId="264F51F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09CF069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500E3B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tcBorders>
                    <w:tl2br w:val="nil"/>
                    <w:tr2bl w:val="nil"/>
                  </w:tcBorders>
                  <w:vAlign w:val="center"/>
                </w:tcPr>
                <w:p w14:paraId="0DBD5807">
                  <w:pPr>
                    <w:pStyle w:val="3"/>
                    <w:bidi w:val="0"/>
                    <w:rPr>
                      <w:rFonts w:hint="default" w:ascii="Times New Roman" w:hAnsi="Times New Roman" w:cs="Times New Roman"/>
                      <w:color w:val="auto"/>
                      <w:lang w:val="en-US" w:eastAsia="zh-CN"/>
                    </w:rPr>
                  </w:pPr>
                  <w:r>
                    <w:rPr>
                      <w:rFonts w:hint="eastAsia" w:ascii="Times New Roman" w:hAnsi="Times New Roman" w:eastAsia="宋体" w:cs="Times New Roman"/>
                      <w:color w:val="auto"/>
                      <w:lang w:eastAsia="zh-CN"/>
                    </w:rPr>
                    <w:t>称量、</w:t>
                  </w:r>
                  <w:r>
                    <w:rPr>
                      <w:rFonts w:hint="default" w:ascii="Times New Roman" w:hAnsi="Times New Roman" w:cs="Times New Roman"/>
                      <w:color w:val="auto"/>
                    </w:rPr>
                    <w:t>振动清理</w:t>
                  </w:r>
                </w:p>
              </w:tc>
              <w:tc>
                <w:tcPr>
                  <w:tcW w:w="583" w:type="pct"/>
                  <w:tcBorders>
                    <w:tl2br w:val="nil"/>
                    <w:tr2bl w:val="nil"/>
                  </w:tcBorders>
                  <w:vAlign w:val="center"/>
                </w:tcPr>
                <w:p w14:paraId="5C84C31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颗粒物</w:t>
                  </w:r>
                </w:p>
              </w:tc>
              <w:tc>
                <w:tcPr>
                  <w:tcW w:w="902" w:type="pct"/>
                  <w:tcBorders>
                    <w:tl2br w:val="nil"/>
                    <w:tr2bl w:val="nil"/>
                  </w:tcBorders>
                  <w:vAlign w:val="center"/>
                </w:tcPr>
                <w:p w14:paraId="2D2A4605">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val="en-US" w:eastAsia="zh-CN"/>
                    </w:rPr>
                    <w:t>布袋除尘器</w:t>
                  </w:r>
                </w:p>
              </w:tc>
              <w:tc>
                <w:tcPr>
                  <w:tcW w:w="602" w:type="pct"/>
                  <w:tcBorders>
                    <w:tl2br w:val="nil"/>
                    <w:tr2bl w:val="nil"/>
                  </w:tcBorders>
                  <w:vAlign w:val="center"/>
                </w:tcPr>
                <w:p w14:paraId="6862803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w:t>
                  </w:r>
                  <w:r>
                    <w:rPr>
                      <w:rFonts w:hint="eastAsia" w:ascii="Times New Roman" w:hAnsi="Times New Roman" w:cs="Times New Roman"/>
                      <w:color w:val="auto"/>
                      <w:lang w:val="en-US" w:eastAsia="zh-CN"/>
                    </w:rPr>
                    <w:t>11</w:t>
                  </w:r>
                </w:p>
              </w:tc>
              <w:tc>
                <w:tcPr>
                  <w:tcW w:w="850" w:type="pct"/>
                  <w:tcBorders>
                    <w:tl2br w:val="nil"/>
                    <w:tr2bl w:val="nil"/>
                  </w:tcBorders>
                  <w:vAlign w:val="center"/>
                </w:tcPr>
                <w:p w14:paraId="71764A6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14.6</w:t>
                  </w:r>
                </w:p>
              </w:tc>
              <w:tc>
                <w:tcPr>
                  <w:tcW w:w="753" w:type="pct"/>
                  <w:tcBorders>
                    <w:tl2br w:val="nil"/>
                    <w:tr2bl w:val="nil"/>
                  </w:tcBorders>
                  <w:vAlign w:val="center"/>
                </w:tcPr>
                <w:p w14:paraId="604EE1D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0.204</w:t>
                  </w:r>
                </w:p>
              </w:tc>
              <w:tc>
                <w:tcPr>
                  <w:tcW w:w="502" w:type="pct"/>
                  <w:tcBorders>
                    <w:tl2br w:val="nil"/>
                    <w:tr2bl w:val="nil"/>
                  </w:tcBorders>
                  <w:vAlign w:val="center"/>
                </w:tcPr>
                <w:p w14:paraId="1392CAA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636F52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tcBorders>
                    <w:tl2br w:val="nil"/>
                    <w:tr2bl w:val="nil"/>
                  </w:tcBorders>
                  <w:vAlign w:val="center"/>
                </w:tcPr>
                <w:p w14:paraId="25E78E51">
                  <w:pPr>
                    <w:pStyle w:val="3"/>
                    <w:bidi w:val="0"/>
                    <w:jc w:val="both"/>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rPr>
                    <w:t>初步脱皮</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lang w:eastAsia="zh-CN"/>
                    </w:rPr>
                    <w:t>脱皮、筛分豆粕和细料、粉碎豆皮、</w:t>
                  </w:r>
                  <w:r>
                    <w:rPr>
                      <w:rFonts w:hint="default" w:ascii="Times New Roman" w:hAnsi="Times New Roman" w:eastAsia="宋体" w:cs="Times New Roman"/>
                      <w:color w:val="auto"/>
                    </w:rPr>
                    <w:t>豆粕筛分粗料重新粉碎</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粉碎豆粕</w:t>
                  </w:r>
                </w:p>
              </w:tc>
              <w:tc>
                <w:tcPr>
                  <w:tcW w:w="583" w:type="pct"/>
                  <w:tcBorders>
                    <w:tl2br w:val="nil"/>
                    <w:tr2bl w:val="nil"/>
                  </w:tcBorders>
                  <w:vAlign w:val="center"/>
                </w:tcPr>
                <w:p w14:paraId="04B9AC3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颗粒物</w:t>
                  </w:r>
                </w:p>
              </w:tc>
              <w:tc>
                <w:tcPr>
                  <w:tcW w:w="902" w:type="pct"/>
                  <w:tcBorders>
                    <w:tl2br w:val="nil"/>
                    <w:tr2bl w:val="nil"/>
                  </w:tcBorders>
                  <w:vAlign w:val="center"/>
                </w:tcPr>
                <w:p w14:paraId="01BB3828">
                  <w:pPr>
                    <w:pStyle w:val="3"/>
                    <w:bidi w:val="0"/>
                    <w:jc w:val="both"/>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旋风除尘器+滤筒除尘器</w:t>
                  </w:r>
                </w:p>
              </w:tc>
              <w:tc>
                <w:tcPr>
                  <w:tcW w:w="602" w:type="pct"/>
                  <w:tcBorders>
                    <w:tl2br w:val="nil"/>
                    <w:tr2bl w:val="nil"/>
                  </w:tcBorders>
                  <w:vAlign w:val="center"/>
                </w:tcPr>
                <w:p w14:paraId="4EE48CE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w:t>
                  </w:r>
                  <w:r>
                    <w:rPr>
                      <w:rFonts w:hint="eastAsia" w:ascii="Times New Roman" w:hAnsi="Times New Roman" w:cs="Times New Roman"/>
                      <w:color w:val="auto"/>
                      <w:lang w:val="en-US" w:eastAsia="zh-CN"/>
                    </w:rPr>
                    <w:t>12</w:t>
                  </w:r>
                </w:p>
              </w:tc>
              <w:tc>
                <w:tcPr>
                  <w:tcW w:w="850" w:type="pct"/>
                  <w:tcBorders>
                    <w:tl2br w:val="nil"/>
                    <w:tr2bl w:val="nil"/>
                  </w:tcBorders>
                  <w:vAlign w:val="center"/>
                </w:tcPr>
                <w:p w14:paraId="0BE9DCD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14.433</w:t>
                  </w:r>
                </w:p>
              </w:tc>
              <w:tc>
                <w:tcPr>
                  <w:tcW w:w="753" w:type="pct"/>
                  <w:tcBorders>
                    <w:tl2br w:val="nil"/>
                    <w:tr2bl w:val="nil"/>
                  </w:tcBorders>
                  <w:vAlign w:val="center"/>
                </w:tcPr>
                <w:p w14:paraId="73A664A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0.942</w:t>
                  </w:r>
                </w:p>
              </w:tc>
              <w:tc>
                <w:tcPr>
                  <w:tcW w:w="502" w:type="pct"/>
                  <w:tcBorders>
                    <w:tl2br w:val="nil"/>
                    <w:tr2bl w:val="nil"/>
                  </w:tcBorders>
                  <w:vAlign w:val="center"/>
                </w:tcPr>
                <w:p w14:paraId="3F06655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7CC7B5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4" w:type="pct"/>
                  <w:tcBorders>
                    <w:tl2br w:val="nil"/>
                    <w:tr2bl w:val="nil"/>
                  </w:tcBorders>
                  <w:vAlign w:val="center"/>
                </w:tcPr>
                <w:p w14:paraId="0BBEB43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大豆调</w:t>
                  </w:r>
                  <w:r>
                    <w:rPr>
                      <w:rFonts w:hint="default" w:ascii="Times New Roman" w:hAnsi="Times New Roman" w:cs="Times New Roman"/>
                      <w:color w:val="auto"/>
                      <w:lang w:eastAsia="zh-CN"/>
                    </w:rPr>
                    <w:t>质</w:t>
                  </w:r>
                  <w:r>
                    <w:rPr>
                      <w:rFonts w:hint="eastAsia" w:ascii="Times New Roman" w:hAnsi="Times New Roman" w:eastAsia="宋体" w:cs="Times New Roman"/>
                      <w:color w:val="auto"/>
                      <w:lang w:eastAsia="zh-CN"/>
                    </w:rPr>
                    <w:t>、轧制胚片、膨化冷却胚片</w:t>
                  </w:r>
                </w:p>
              </w:tc>
              <w:tc>
                <w:tcPr>
                  <w:tcW w:w="583" w:type="pct"/>
                  <w:tcBorders>
                    <w:tl2br w:val="nil"/>
                    <w:tr2bl w:val="nil"/>
                  </w:tcBorders>
                  <w:vAlign w:val="center"/>
                </w:tcPr>
                <w:p w14:paraId="3BAEA25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颗粒物</w:t>
                  </w:r>
                </w:p>
              </w:tc>
              <w:tc>
                <w:tcPr>
                  <w:tcW w:w="902" w:type="pct"/>
                  <w:tcBorders>
                    <w:tl2br w:val="nil"/>
                    <w:tr2bl w:val="nil"/>
                  </w:tcBorders>
                  <w:vAlign w:val="center"/>
                </w:tcPr>
                <w:p w14:paraId="6BAB42A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旋风除尘器+多效气混药捕塔</w:t>
                  </w:r>
                </w:p>
              </w:tc>
              <w:tc>
                <w:tcPr>
                  <w:tcW w:w="602" w:type="pct"/>
                  <w:tcBorders>
                    <w:tl2br w:val="nil"/>
                    <w:tr2bl w:val="nil"/>
                  </w:tcBorders>
                  <w:vAlign w:val="center"/>
                </w:tcPr>
                <w:p w14:paraId="6829BFF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w:t>
                  </w:r>
                  <w:r>
                    <w:rPr>
                      <w:rFonts w:hint="eastAsia" w:ascii="Times New Roman" w:hAnsi="Times New Roman" w:cs="Times New Roman"/>
                      <w:color w:val="auto"/>
                      <w:lang w:val="en-US" w:eastAsia="zh-CN"/>
                    </w:rPr>
                    <w:t>13</w:t>
                  </w:r>
                </w:p>
              </w:tc>
              <w:tc>
                <w:tcPr>
                  <w:tcW w:w="850" w:type="pct"/>
                  <w:tcBorders>
                    <w:tl2br w:val="nil"/>
                    <w:tr2bl w:val="nil"/>
                  </w:tcBorders>
                  <w:vAlign w:val="center"/>
                </w:tcPr>
                <w:p w14:paraId="4CCC055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12.9</w:t>
                  </w:r>
                </w:p>
              </w:tc>
              <w:tc>
                <w:tcPr>
                  <w:tcW w:w="753" w:type="pct"/>
                  <w:tcBorders>
                    <w:tl2br w:val="nil"/>
                    <w:tr2bl w:val="nil"/>
                  </w:tcBorders>
                  <w:vAlign w:val="center"/>
                </w:tcPr>
                <w:p w14:paraId="1E69971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0.463</w:t>
                  </w:r>
                </w:p>
              </w:tc>
              <w:tc>
                <w:tcPr>
                  <w:tcW w:w="502" w:type="pct"/>
                  <w:tcBorders>
                    <w:tl2br w:val="nil"/>
                    <w:tr2bl w:val="nil"/>
                  </w:tcBorders>
                  <w:vAlign w:val="center"/>
                </w:tcPr>
                <w:p w14:paraId="0F34C1C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bl>
          <w:p w14:paraId="0BE57158">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jc w:val="both"/>
              <w:textAlignment w:val="auto"/>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由表</w:t>
            </w:r>
            <w:r>
              <w:rPr>
                <w:rFonts w:hint="eastAsia" w:ascii="Times New Roman" w:eastAsia="宋体" w:cs="Times New Roman"/>
                <w:color w:val="auto"/>
                <w:sz w:val="24"/>
                <w:szCs w:val="24"/>
                <w:lang w:val="en-US" w:eastAsia="zh-CN" w:bidi="ar"/>
              </w:rPr>
              <w:t>2.7-8</w:t>
            </w:r>
            <w:r>
              <w:rPr>
                <w:rFonts w:hint="default" w:ascii="Times New Roman" w:hAnsi="Times New Roman" w:eastAsia="宋体" w:cs="Times New Roman"/>
                <w:color w:val="auto"/>
                <w:sz w:val="24"/>
                <w:szCs w:val="24"/>
                <w:lang w:val="en-US" w:eastAsia="zh-CN" w:bidi="ar"/>
              </w:rPr>
              <w:t>可知：预处理车间</w:t>
            </w:r>
            <w:r>
              <w:rPr>
                <w:rFonts w:hint="default" w:ascii="Times New Roman" w:hAnsi="Times New Roman" w:eastAsia="宋体" w:cs="Times New Roman"/>
                <w:color w:val="auto"/>
                <w:sz w:val="24"/>
                <w:szCs w:val="24"/>
                <w:lang w:eastAsia="zh-CN"/>
              </w:rPr>
              <w:t>各生产工序产生的颗粒物经收集、处理后，其排放浓度、排放速率满足</w:t>
            </w:r>
            <w:r>
              <w:rPr>
                <w:rFonts w:hint="default" w:ascii="Times New Roman" w:hAnsi="Times New Roman" w:eastAsia="宋体" w:cs="Times New Roman"/>
                <w:color w:val="auto"/>
                <w:sz w:val="24"/>
                <w:szCs w:val="24"/>
              </w:rPr>
              <w:t>《大气污染物综合排放标准》（DB50/418-2016）表1</w:t>
            </w:r>
            <w:r>
              <w:rPr>
                <w:rFonts w:hint="default" w:ascii="Times New Roman" w:hAnsi="Times New Roman" w:eastAsia="宋体" w:cs="Times New Roman"/>
                <w:color w:val="auto"/>
                <w:sz w:val="24"/>
                <w:szCs w:val="24"/>
                <w:lang w:eastAsia="zh-CN"/>
              </w:rPr>
              <w:t>标准值。</w:t>
            </w:r>
          </w:p>
          <w:p w14:paraId="6261FDC2">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eastAsia="zh-CN"/>
              </w:rPr>
              <w:t>⑧</w:t>
            </w:r>
            <w:r>
              <w:rPr>
                <w:rFonts w:hint="eastAsia" w:ascii="Times New Roman" w:eastAsia="宋体" w:cs="Times New Roman"/>
                <w:bCs/>
                <w:color w:val="auto"/>
                <w:lang w:eastAsia="zh-CN"/>
              </w:rPr>
              <w:t>浸出车间</w:t>
            </w:r>
          </w:p>
          <w:p w14:paraId="65FFCAB8">
            <w:pPr>
              <w:pStyle w:val="23"/>
              <w:spacing w:line="360" w:lineRule="auto"/>
              <w:ind w:firstLine="480" w:firstLineChars="200"/>
              <w:jc w:val="both"/>
              <w:rPr>
                <w:rFonts w:hint="eastAsia" w:ascii="Times New Roman" w:eastAsia="等线" w:cs="Times New Roman"/>
                <w:b w:val="0"/>
                <w:bCs/>
                <w:color w:val="auto"/>
                <w:kern w:val="2"/>
                <w:sz w:val="24"/>
                <w:szCs w:val="24"/>
                <w:lang w:val="en-US" w:eastAsia="zh-CN" w:bidi="ar-SA"/>
              </w:rPr>
            </w:pPr>
            <w:r>
              <w:rPr>
                <w:rFonts w:hint="eastAsia" w:ascii="Times New Roman" w:eastAsia="宋体" w:cs="Times New Roman"/>
                <w:b w:val="0"/>
                <w:bCs/>
                <w:color w:val="auto"/>
                <w:kern w:val="2"/>
                <w:sz w:val="24"/>
                <w:szCs w:val="24"/>
                <w:lang w:val="en-US" w:eastAsia="zh-CN" w:bidi="ar-SA"/>
              </w:rPr>
              <w:t>浸出车间产生的废气主要为浸出、脱溶工序产生的非甲烷总烃，</w:t>
            </w:r>
            <w:r>
              <w:rPr>
                <w:rFonts w:hint="default" w:ascii="Times New Roman" w:hAnsi="Times New Roman" w:cs="Times New Roman"/>
                <w:color w:val="auto"/>
              </w:rPr>
              <w:t>豆粕</w:t>
            </w:r>
            <w:r>
              <w:rPr>
                <w:rFonts w:hint="default" w:ascii="Times New Roman" w:hAnsi="Times New Roman" w:cs="Times New Roman"/>
                <w:color w:val="auto"/>
                <w:lang w:eastAsia="zh-CN"/>
              </w:rPr>
              <w:t>干燥冷却工序</w:t>
            </w:r>
            <w:r>
              <w:rPr>
                <w:rFonts w:hint="default" w:ascii="Times New Roman" w:hAnsi="Times New Roman" w:cs="Times New Roman"/>
                <w:color w:val="auto"/>
              </w:rPr>
              <w:t>产生</w:t>
            </w:r>
            <w:r>
              <w:rPr>
                <w:rFonts w:hint="default" w:ascii="Times New Roman" w:hAnsi="Times New Roman" w:cs="Times New Roman"/>
                <w:color w:val="auto"/>
                <w:lang w:eastAsia="zh-CN"/>
              </w:rPr>
              <w:t>颗粒物</w:t>
            </w:r>
            <w:r>
              <w:rPr>
                <w:rFonts w:hint="eastAsia" w:ascii="Times New Roman" w:cs="Times New Roman"/>
                <w:color w:val="auto"/>
                <w:lang w:eastAsia="zh-CN"/>
              </w:rPr>
              <w:t>，</w:t>
            </w:r>
            <w:r>
              <w:rPr>
                <w:rFonts w:hint="eastAsia" w:ascii="Times New Roman" w:eastAsia="宋体" w:cs="Times New Roman"/>
                <w:b w:val="0"/>
                <w:bCs/>
                <w:color w:val="auto"/>
                <w:kern w:val="2"/>
                <w:sz w:val="24"/>
                <w:szCs w:val="24"/>
                <w:lang w:val="en-US" w:eastAsia="zh-CN" w:bidi="ar-SA"/>
              </w:rPr>
              <w:t>浸出、脱溶工序产生的非甲烷总烃采用</w:t>
            </w:r>
            <w:r>
              <w:rPr>
                <w:rFonts w:hint="eastAsia" w:ascii="Times New Roman" w:hAnsi="Times New Roman" w:eastAsia="宋体" w:cs="Times New Roman"/>
                <w:color w:val="auto"/>
                <w:highlight w:val="none"/>
                <w:lang w:eastAsia="zh-CN"/>
              </w:rPr>
              <w:t>冷凝回收</w:t>
            </w:r>
            <w:r>
              <w:rPr>
                <w:rFonts w:hint="eastAsia" w:ascii="Times New Roman" w:hAnsi="Times New Roman" w:cs="Times New Roman"/>
                <w:color w:val="auto"/>
                <w:highlight w:val="none"/>
                <w:lang w:val="en-US" w:eastAsia="zh-CN"/>
              </w:rPr>
              <w:t>+碱液喷淋塔处理</w:t>
            </w:r>
            <w:r>
              <w:rPr>
                <w:rFonts w:hint="default" w:ascii="Times New Roman" w:hAnsi="Times New Roman" w:cs="Times New Roman"/>
                <w:color w:val="auto"/>
                <w:highlight w:val="none"/>
                <w:lang w:eastAsia="zh-CN"/>
              </w:rPr>
              <w:t>后</w:t>
            </w:r>
            <w:r>
              <w:rPr>
                <w:rFonts w:hint="default" w:ascii="Times New Roman" w:hAnsi="Times New Roman" w:cs="Times New Roman"/>
                <w:color w:val="auto"/>
                <w:highlight w:val="none"/>
              </w:rPr>
              <w:t>经20m高</w:t>
            </w:r>
            <w:r>
              <w:rPr>
                <w:rFonts w:hint="eastAsia" w:ascii="Times New Roman" w:hAnsi="Times New Roman" w:eastAsia="宋体" w:cs="Times New Roman"/>
                <w:color w:val="auto"/>
                <w:highlight w:val="none"/>
                <w:lang w:val="en-US" w:eastAsia="zh-CN"/>
              </w:rPr>
              <w:t>DA014</w:t>
            </w:r>
            <w:r>
              <w:rPr>
                <w:rFonts w:hint="default" w:ascii="Times New Roman" w:hAnsi="Times New Roman" w:cs="Times New Roman"/>
                <w:color w:val="auto"/>
                <w:highlight w:val="none"/>
              </w:rPr>
              <w:t>排气筒</w:t>
            </w:r>
            <w:r>
              <w:rPr>
                <w:rFonts w:hint="eastAsia" w:ascii="Times New Roman" w:cs="Times New Roman"/>
                <w:color w:val="auto"/>
                <w:highlight w:val="none"/>
                <w:lang w:eastAsia="zh-CN"/>
              </w:rPr>
              <w:t>；</w:t>
            </w:r>
            <w:r>
              <w:rPr>
                <w:rFonts w:hint="default" w:ascii="Times New Roman" w:hAnsi="Times New Roman" w:cs="Times New Roman"/>
                <w:color w:val="auto"/>
              </w:rPr>
              <w:t>豆粕</w:t>
            </w:r>
            <w:r>
              <w:rPr>
                <w:rFonts w:hint="default" w:ascii="Times New Roman" w:hAnsi="Times New Roman" w:cs="Times New Roman"/>
                <w:color w:val="auto"/>
                <w:lang w:eastAsia="zh-CN"/>
              </w:rPr>
              <w:t>干燥冷却工序</w:t>
            </w:r>
            <w:r>
              <w:rPr>
                <w:rFonts w:hint="default" w:ascii="Times New Roman" w:hAnsi="Times New Roman" w:cs="Times New Roman"/>
                <w:color w:val="auto"/>
              </w:rPr>
              <w:t>产</w:t>
            </w:r>
            <w:r>
              <w:rPr>
                <w:rFonts w:hint="eastAsia" w:ascii="Times New Roman" w:cs="Times New Roman"/>
                <w:color w:val="auto"/>
                <w:lang w:eastAsia="zh-CN"/>
              </w:rPr>
              <w:t>生的</w:t>
            </w:r>
            <w:r>
              <w:rPr>
                <w:rFonts w:hint="default" w:ascii="Times New Roman" w:hAnsi="Times New Roman" w:cs="Times New Roman"/>
                <w:color w:val="auto"/>
                <w:lang w:eastAsia="zh-CN"/>
              </w:rPr>
              <w:t>颗粒物</w:t>
            </w:r>
            <w:r>
              <w:rPr>
                <w:rFonts w:hint="eastAsia" w:ascii="Times New Roman" w:cs="Times New Roman"/>
                <w:color w:val="auto"/>
                <w:lang w:eastAsia="zh-CN"/>
              </w:rPr>
              <w:t>采用</w:t>
            </w:r>
            <w:r>
              <w:rPr>
                <w:rFonts w:hint="default" w:ascii="Times New Roman" w:hAnsi="Times New Roman" w:cs="Times New Roman"/>
                <w:color w:val="auto"/>
              </w:rPr>
              <w:t>旋风除尘器</w:t>
            </w:r>
            <w:r>
              <w:rPr>
                <w:rFonts w:hint="eastAsia" w:ascii="Times New Roman" w:hAnsi="Times New Roman" w:cs="Times New Roman"/>
                <w:color w:val="auto"/>
                <w:highlight w:val="none"/>
                <w:lang w:val="en-US" w:eastAsia="zh-CN"/>
              </w:rPr>
              <w:t>处理</w:t>
            </w:r>
            <w:r>
              <w:rPr>
                <w:rFonts w:hint="default" w:ascii="Times New Roman" w:hAnsi="Times New Roman" w:cs="Times New Roman"/>
                <w:color w:val="auto"/>
                <w:highlight w:val="none"/>
                <w:lang w:eastAsia="zh-CN"/>
              </w:rPr>
              <w:t>后</w:t>
            </w:r>
            <w:r>
              <w:rPr>
                <w:rFonts w:hint="default" w:ascii="Times New Roman" w:hAnsi="Times New Roman" w:cs="Times New Roman"/>
                <w:color w:val="auto"/>
                <w:highlight w:val="none"/>
              </w:rPr>
              <w:t>经20m高</w:t>
            </w:r>
            <w:r>
              <w:rPr>
                <w:rFonts w:hint="eastAsia" w:ascii="Times New Roman" w:hAnsi="Times New Roman" w:eastAsia="宋体" w:cs="Times New Roman"/>
                <w:color w:val="auto"/>
                <w:highlight w:val="none"/>
                <w:lang w:val="en-US" w:eastAsia="zh-CN"/>
              </w:rPr>
              <w:t>DA014</w:t>
            </w:r>
            <w:r>
              <w:rPr>
                <w:rFonts w:hint="default" w:ascii="Times New Roman" w:hAnsi="Times New Roman" w:cs="Times New Roman"/>
                <w:color w:val="auto"/>
                <w:highlight w:val="none"/>
              </w:rPr>
              <w:t>排气筒</w:t>
            </w:r>
            <w:r>
              <w:rPr>
                <w:rFonts w:hint="eastAsia" w:ascii="Times New Roman" w:cs="Times New Roman"/>
                <w:color w:val="auto"/>
                <w:highlight w:val="none"/>
                <w:lang w:eastAsia="zh-CN"/>
              </w:rPr>
              <w:t>。</w:t>
            </w:r>
          </w:p>
          <w:p w14:paraId="675FC7C4">
            <w:pPr>
              <w:pStyle w:val="23"/>
              <w:spacing w:line="360" w:lineRule="auto"/>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default" w:ascii="Times New Roman" w:hAnsi="Times New Roman" w:eastAsia="宋体" w:cs="Times New Roman"/>
                <w:b w:val="0"/>
                <w:bCs/>
                <w:color w:val="auto"/>
                <w:kern w:val="2"/>
                <w:sz w:val="24"/>
                <w:szCs w:val="24"/>
                <w:lang w:val="en-US" w:eastAsia="zh-CN" w:bidi="ar-SA"/>
              </w:rPr>
              <w:t>预处理生产车间各生产</w:t>
            </w:r>
            <w:r>
              <w:rPr>
                <w:rFonts w:hint="eastAsia" w:ascii="Times New Roman" w:eastAsia="宋体" w:cs="Times New Roman"/>
                <w:b w:val="0"/>
                <w:bCs/>
                <w:color w:val="auto"/>
                <w:kern w:val="2"/>
                <w:sz w:val="24"/>
                <w:szCs w:val="24"/>
                <w:lang w:val="en-US" w:eastAsia="zh-CN" w:bidi="ar-SA"/>
              </w:rPr>
              <w:t>工序颗粒物排放情况见表2.7-9。</w:t>
            </w:r>
          </w:p>
          <w:p w14:paraId="18E4E57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表2.7-9 浸出车间各工序污染物排放情况一览表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6"/>
              <w:gridCol w:w="1007"/>
              <w:gridCol w:w="1514"/>
              <w:gridCol w:w="1010"/>
              <w:gridCol w:w="1426"/>
              <w:gridCol w:w="1264"/>
              <w:gridCol w:w="779"/>
            </w:tblGrid>
            <w:tr w14:paraId="6DD4F5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pct"/>
                  <w:tcBorders>
                    <w:tl2br w:val="nil"/>
                    <w:tr2bl w:val="nil"/>
                  </w:tcBorders>
                  <w:vAlign w:val="center"/>
                </w:tcPr>
                <w:p w14:paraId="3BB17A8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600" w:type="pct"/>
                  <w:tcBorders>
                    <w:tl2br w:val="nil"/>
                    <w:tr2bl w:val="nil"/>
                  </w:tcBorders>
                  <w:vAlign w:val="center"/>
                </w:tcPr>
                <w:p w14:paraId="7B51724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7EE70F3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902" w:type="pct"/>
                  <w:tcBorders>
                    <w:tl2br w:val="nil"/>
                    <w:tr2bl w:val="nil"/>
                  </w:tcBorders>
                  <w:vAlign w:val="center"/>
                </w:tcPr>
                <w:p w14:paraId="46EF258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602" w:type="pct"/>
                  <w:tcBorders>
                    <w:tl2br w:val="nil"/>
                    <w:tr2bl w:val="nil"/>
                  </w:tcBorders>
                  <w:vAlign w:val="center"/>
                </w:tcPr>
                <w:p w14:paraId="4EBC92B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51C14C9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850" w:type="pct"/>
                  <w:tcBorders>
                    <w:tl2br w:val="nil"/>
                    <w:tr2bl w:val="nil"/>
                  </w:tcBorders>
                  <w:vAlign w:val="center"/>
                </w:tcPr>
                <w:p w14:paraId="1C88FD4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604AB4C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3" w:type="pct"/>
                  <w:tcBorders>
                    <w:tl2br w:val="nil"/>
                    <w:tr2bl w:val="nil"/>
                  </w:tcBorders>
                  <w:vAlign w:val="center"/>
                </w:tcPr>
                <w:p w14:paraId="754369C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6F2DDFB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64" w:type="pct"/>
                  <w:tcBorders>
                    <w:tl2br w:val="nil"/>
                    <w:tr2bl w:val="nil"/>
                  </w:tcBorders>
                  <w:vAlign w:val="center"/>
                </w:tcPr>
                <w:p w14:paraId="0C12ADF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0B86BBB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30EE5A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pct"/>
                  <w:tcBorders>
                    <w:tl2br w:val="nil"/>
                    <w:tr2bl w:val="nil"/>
                  </w:tcBorders>
                  <w:vAlign w:val="center"/>
                </w:tcPr>
                <w:p w14:paraId="56D9C47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浸出、脱溶</w:t>
                  </w:r>
                </w:p>
              </w:tc>
              <w:tc>
                <w:tcPr>
                  <w:tcW w:w="600" w:type="pct"/>
                  <w:tcBorders>
                    <w:tl2br w:val="nil"/>
                    <w:tr2bl w:val="nil"/>
                  </w:tcBorders>
                  <w:vAlign w:val="center"/>
                </w:tcPr>
                <w:p w14:paraId="44186F4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非甲烷总烃</w:t>
                  </w:r>
                </w:p>
              </w:tc>
              <w:tc>
                <w:tcPr>
                  <w:tcW w:w="902" w:type="pct"/>
                  <w:tcBorders>
                    <w:tl2br w:val="nil"/>
                    <w:tr2bl w:val="nil"/>
                  </w:tcBorders>
                  <w:vAlign w:val="center"/>
                </w:tcPr>
                <w:p w14:paraId="46D687A7">
                  <w:pPr>
                    <w:pStyle w:val="3"/>
                    <w:bidi w:val="0"/>
                    <w:rPr>
                      <w:rFonts w:hint="default" w:ascii="Times New Roman" w:hAnsi="Times New Roman" w:cs="Times New Roman"/>
                      <w:color w:val="auto"/>
                      <w:lang w:eastAsia="zh-CN"/>
                    </w:rPr>
                  </w:pPr>
                  <w:r>
                    <w:rPr>
                      <w:rFonts w:hint="default" w:ascii="Times New Roman" w:hAnsi="Times New Roman" w:eastAsia="宋体" w:cs="Times New Roman"/>
                      <w:color w:val="auto"/>
                      <w:highlight w:val="none"/>
                      <w:lang w:eastAsia="zh-CN"/>
                    </w:rPr>
                    <w:t>冷凝回收</w:t>
                  </w:r>
                  <w:r>
                    <w:rPr>
                      <w:rFonts w:hint="default" w:ascii="Times New Roman" w:hAnsi="Times New Roman" w:cs="Times New Roman"/>
                      <w:color w:val="auto"/>
                      <w:highlight w:val="none"/>
                      <w:lang w:val="en-US" w:eastAsia="zh-CN"/>
                    </w:rPr>
                    <w:t>+碱液喷淋塔</w:t>
                  </w:r>
                </w:p>
              </w:tc>
              <w:tc>
                <w:tcPr>
                  <w:tcW w:w="602" w:type="pct"/>
                  <w:vMerge w:val="restart"/>
                  <w:tcBorders>
                    <w:tl2br w:val="nil"/>
                    <w:tr2bl w:val="nil"/>
                  </w:tcBorders>
                  <w:vAlign w:val="center"/>
                </w:tcPr>
                <w:p w14:paraId="6FB1028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DA014</w:t>
                  </w:r>
                </w:p>
              </w:tc>
              <w:tc>
                <w:tcPr>
                  <w:tcW w:w="850" w:type="pct"/>
                  <w:tcBorders>
                    <w:tl2br w:val="nil"/>
                    <w:tr2bl w:val="nil"/>
                  </w:tcBorders>
                  <w:vAlign w:val="center"/>
                </w:tcPr>
                <w:p w14:paraId="5980CDA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31.8</w:t>
                  </w:r>
                </w:p>
              </w:tc>
              <w:tc>
                <w:tcPr>
                  <w:tcW w:w="753" w:type="pct"/>
                  <w:tcBorders>
                    <w:tl2br w:val="nil"/>
                    <w:tr2bl w:val="nil"/>
                  </w:tcBorders>
                  <w:vAlign w:val="center"/>
                </w:tcPr>
                <w:p w14:paraId="363B4BB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1.320</w:t>
                  </w:r>
                </w:p>
              </w:tc>
              <w:tc>
                <w:tcPr>
                  <w:tcW w:w="464" w:type="pct"/>
                  <w:tcBorders>
                    <w:tl2br w:val="nil"/>
                    <w:tr2bl w:val="nil"/>
                  </w:tcBorders>
                  <w:vAlign w:val="center"/>
                </w:tcPr>
                <w:p w14:paraId="4DA463F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达标</w:t>
                  </w:r>
                </w:p>
              </w:tc>
            </w:tr>
            <w:tr w14:paraId="6F7727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6" w:type="pct"/>
                  <w:tcBorders>
                    <w:tl2br w:val="nil"/>
                    <w:tr2bl w:val="nil"/>
                  </w:tcBorders>
                  <w:vAlign w:val="center"/>
                </w:tcPr>
                <w:p w14:paraId="35E6BED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干燥冷却</w:t>
                  </w:r>
                </w:p>
              </w:tc>
              <w:tc>
                <w:tcPr>
                  <w:tcW w:w="600" w:type="pct"/>
                  <w:tcBorders>
                    <w:tl2br w:val="nil"/>
                    <w:tr2bl w:val="nil"/>
                  </w:tcBorders>
                  <w:vAlign w:val="center"/>
                </w:tcPr>
                <w:p w14:paraId="5B4FB4D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02" w:type="pct"/>
                  <w:tcBorders>
                    <w:tl2br w:val="nil"/>
                    <w:tr2bl w:val="nil"/>
                  </w:tcBorders>
                  <w:vAlign w:val="center"/>
                </w:tcPr>
                <w:p w14:paraId="359D59B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旋风除尘器</w:t>
                  </w:r>
                </w:p>
              </w:tc>
              <w:tc>
                <w:tcPr>
                  <w:tcW w:w="602" w:type="pct"/>
                  <w:vMerge w:val="continue"/>
                  <w:tcBorders>
                    <w:tl2br w:val="nil"/>
                    <w:tr2bl w:val="nil"/>
                  </w:tcBorders>
                  <w:vAlign w:val="center"/>
                </w:tcPr>
                <w:p w14:paraId="02798FB6">
                  <w:pPr>
                    <w:pStyle w:val="3"/>
                    <w:bidi w:val="0"/>
                    <w:rPr>
                      <w:rFonts w:hint="default" w:ascii="Times New Roman" w:hAnsi="Times New Roman" w:cs="Times New Roman"/>
                      <w:color w:val="auto"/>
                      <w:lang w:val="en-US" w:eastAsia="zh-CN"/>
                    </w:rPr>
                  </w:pPr>
                </w:p>
              </w:tc>
              <w:tc>
                <w:tcPr>
                  <w:tcW w:w="850" w:type="pct"/>
                  <w:tcBorders>
                    <w:tl2br w:val="nil"/>
                    <w:tr2bl w:val="nil"/>
                  </w:tcBorders>
                  <w:vAlign w:val="center"/>
                </w:tcPr>
                <w:p w14:paraId="51D9101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6.367</w:t>
                  </w:r>
                </w:p>
              </w:tc>
              <w:tc>
                <w:tcPr>
                  <w:tcW w:w="753" w:type="pct"/>
                  <w:tcBorders>
                    <w:tl2br w:val="nil"/>
                    <w:tr2bl w:val="nil"/>
                  </w:tcBorders>
                  <w:vAlign w:val="center"/>
                </w:tcPr>
                <w:p w14:paraId="67001EA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0.2</w:t>
                  </w:r>
                  <w:r>
                    <w:rPr>
                      <w:rFonts w:hint="eastAsia" w:ascii="Times New Roman" w:hAnsi="Times New Roman" w:cs="Times New Roman"/>
                      <w:color w:val="auto"/>
                      <w:lang w:val="en-US" w:eastAsia="zh-CN"/>
                    </w:rPr>
                    <w:t>64</w:t>
                  </w:r>
                </w:p>
              </w:tc>
              <w:tc>
                <w:tcPr>
                  <w:tcW w:w="464" w:type="pct"/>
                  <w:tcBorders>
                    <w:tl2br w:val="nil"/>
                    <w:tr2bl w:val="nil"/>
                  </w:tcBorders>
                  <w:vAlign w:val="center"/>
                </w:tcPr>
                <w:p w14:paraId="5BD6FA7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bl>
          <w:p w14:paraId="3D3B6FCE">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eastAsia="宋体" w:cs="Times New Roman"/>
                <w:color w:val="auto"/>
                <w:sz w:val="24"/>
                <w:szCs w:val="24"/>
                <w:lang w:val="en-US" w:eastAsia="zh-CN" w:bidi="ar"/>
              </w:rPr>
            </w:pPr>
            <w:r>
              <w:rPr>
                <w:rFonts w:hint="default" w:ascii="Times New Roman" w:hAnsi="Times New Roman" w:eastAsia="宋体" w:cs="Times New Roman"/>
                <w:color w:val="auto"/>
                <w:sz w:val="24"/>
                <w:szCs w:val="24"/>
                <w:lang w:val="en-US" w:eastAsia="zh-CN" w:bidi="ar"/>
              </w:rPr>
              <w:t>由表2.</w:t>
            </w:r>
            <w:r>
              <w:rPr>
                <w:rFonts w:hint="eastAsia" w:ascii="Times New Roman" w:eastAsia="宋体" w:cs="Times New Roman"/>
                <w:color w:val="auto"/>
                <w:sz w:val="24"/>
                <w:szCs w:val="24"/>
                <w:lang w:val="en-US" w:eastAsia="zh-CN" w:bidi="ar"/>
              </w:rPr>
              <w:t>7-9</w:t>
            </w:r>
            <w:r>
              <w:rPr>
                <w:rFonts w:hint="default" w:ascii="Times New Roman" w:hAnsi="Times New Roman" w:eastAsia="宋体" w:cs="Times New Roman"/>
                <w:color w:val="auto"/>
                <w:sz w:val="24"/>
                <w:szCs w:val="24"/>
                <w:lang w:val="en-US" w:eastAsia="zh-CN" w:bidi="ar"/>
              </w:rPr>
              <w:t>可知：</w:t>
            </w:r>
            <w:r>
              <w:rPr>
                <w:rFonts w:hint="eastAsia" w:ascii="Times New Roman" w:eastAsia="宋体" w:cs="Times New Roman"/>
                <w:color w:val="auto"/>
                <w:sz w:val="24"/>
                <w:szCs w:val="24"/>
                <w:lang w:val="en-US" w:eastAsia="zh-CN" w:bidi="ar"/>
              </w:rPr>
              <w:t>浸出</w:t>
            </w:r>
            <w:r>
              <w:rPr>
                <w:rFonts w:hint="default" w:ascii="Times New Roman" w:hAnsi="Times New Roman" w:eastAsia="宋体" w:cs="Times New Roman"/>
                <w:color w:val="auto"/>
                <w:sz w:val="24"/>
                <w:szCs w:val="24"/>
                <w:lang w:val="en-US" w:eastAsia="zh-CN" w:bidi="ar"/>
              </w:rPr>
              <w:t>车间</w:t>
            </w:r>
            <w:r>
              <w:rPr>
                <w:rFonts w:hint="default" w:ascii="Times New Roman" w:hAnsi="Times New Roman" w:eastAsia="宋体" w:cs="Times New Roman"/>
                <w:color w:val="auto"/>
                <w:sz w:val="24"/>
                <w:szCs w:val="24"/>
                <w:lang w:eastAsia="zh-CN"/>
              </w:rPr>
              <w:t>产生的颗粒物</w:t>
            </w:r>
            <w:r>
              <w:rPr>
                <w:rFonts w:hint="eastAsia" w:ascii="Times New Roman" w:eastAsia="宋体" w:cs="Times New Roman"/>
                <w:color w:val="auto"/>
                <w:sz w:val="24"/>
                <w:szCs w:val="24"/>
                <w:lang w:eastAsia="zh-CN"/>
              </w:rPr>
              <w:t>、非甲烷总烃</w:t>
            </w:r>
            <w:r>
              <w:rPr>
                <w:rFonts w:hint="default" w:ascii="Times New Roman" w:hAnsi="Times New Roman" w:eastAsia="宋体" w:cs="Times New Roman"/>
                <w:color w:val="auto"/>
                <w:sz w:val="24"/>
                <w:szCs w:val="24"/>
                <w:lang w:eastAsia="zh-CN"/>
              </w:rPr>
              <w:t>经收集、处理后，其排放浓度、排放速率满足</w:t>
            </w:r>
            <w:r>
              <w:rPr>
                <w:rFonts w:hint="default" w:ascii="Times New Roman" w:hAnsi="Times New Roman" w:eastAsia="宋体" w:cs="Times New Roman"/>
                <w:color w:val="auto"/>
                <w:sz w:val="24"/>
                <w:szCs w:val="24"/>
              </w:rPr>
              <w:t>《大气污染物综合排放标准》（DB50/418-2016）表1</w:t>
            </w:r>
            <w:r>
              <w:rPr>
                <w:rFonts w:hint="default" w:ascii="Times New Roman" w:hAnsi="Times New Roman" w:eastAsia="宋体" w:cs="Times New Roman"/>
                <w:color w:val="auto"/>
                <w:sz w:val="24"/>
                <w:szCs w:val="24"/>
                <w:lang w:eastAsia="zh-CN"/>
              </w:rPr>
              <w:t>标准</w:t>
            </w:r>
            <w:r>
              <w:rPr>
                <w:rFonts w:hint="eastAsia" w:ascii="Times New Roman" w:eastAsia="宋体" w:cs="Times New Roman"/>
                <w:color w:val="auto"/>
                <w:sz w:val="24"/>
                <w:szCs w:val="24"/>
                <w:lang w:eastAsia="zh-CN"/>
              </w:rPr>
              <w:t>要求</w:t>
            </w:r>
            <w:r>
              <w:rPr>
                <w:rFonts w:hint="default" w:ascii="Times New Roman" w:hAnsi="Times New Roman" w:eastAsia="宋体" w:cs="Times New Roman"/>
                <w:color w:val="auto"/>
                <w:sz w:val="24"/>
                <w:szCs w:val="24"/>
                <w:lang w:eastAsia="zh-CN"/>
              </w:rPr>
              <w:t>。</w:t>
            </w:r>
          </w:p>
          <w:p w14:paraId="1CBAA555">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⑨散粕</w:t>
            </w:r>
            <w:r>
              <w:rPr>
                <w:rFonts w:hint="eastAsia" w:hAnsi="宋体" w:eastAsia="宋体" w:cs="宋体"/>
                <w:color w:val="auto"/>
                <w:sz w:val="24"/>
                <w:szCs w:val="24"/>
                <w:highlight w:val="none"/>
                <w:lang w:eastAsia="zh-CN"/>
              </w:rPr>
              <w:t>筒仓</w:t>
            </w:r>
            <w:r>
              <w:rPr>
                <w:rFonts w:hint="eastAsia" w:hAnsi="宋体" w:eastAsia="宋体" w:cs="宋体"/>
                <w:color w:val="auto"/>
                <w:sz w:val="24"/>
                <w:szCs w:val="24"/>
                <w:highlight w:val="none"/>
                <w:lang w:val="en-US" w:eastAsia="zh-CN"/>
              </w:rPr>
              <w:t>/豆皮仓</w:t>
            </w:r>
          </w:p>
          <w:p w14:paraId="74C0CE90">
            <w:pPr>
              <w:pStyle w:val="23"/>
              <w:spacing w:line="360" w:lineRule="auto"/>
              <w:ind w:firstLine="480" w:firstLineChars="200"/>
              <w:jc w:val="both"/>
              <w:rPr>
                <w:rFonts w:hint="default" w:ascii="Times New Roman" w:eastAsia="宋体" w:cs="Times New Roman"/>
                <w:b w:val="0"/>
                <w:bCs/>
                <w:color w:val="auto"/>
                <w:kern w:val="2"/>
                <w:sz w:val="24"/>
                <w:szCs w:val="24"/>
                <w:highlight w:val="none"/>
                <w:lang w:val="en-US" w:eastAsia="zh-CN" w:bidi="ar-SA"/>
              </w:rPr>
            </w:pPr>
            <w:r>
              <w:rPr>
                <w:rFonts w:hint="eastAsia" w:ascii="Times New Roman" w:eastAsia="宋体" w:cs="Times New Roman"/>
                <w:b w:val="0"/>
                <w:bCs/>
                <w:color w:val="auto"/>
                <w:kern w:val="2"/>
                <w:sz w:val="24"/>
                <w:szCs w:val="24"/>
                <w:highlight w:val="none"/>
                <w:lang w:val="en-US" w:eastAsia="zh-CN" w:bidi="ar-SA"/>
              </w:rPr>
              <w:t>现有工程设置2个散粕筒仓、2个豆粕筒仓，豆粕进仓、装车工序产生的颗粒物经布袋除尘器处理后引至25m高的DA015排气筒排放；豆粕进仓、打包工序产生的颗粒物经布袋除尘器处理后引至37m高的DA016排气筒排放；豆皮进仓、装车工序产生的颗粒物经布袋除尘器处理后引至33m高的DA017排气筒排放；豆皮进仓、打包工序产生的颗粒物经布袋除尘器处理后引至37m高的DA018排气筒排放；</w:t>
            </w:r>
          </w:p>
          <w:p w14:paraId="1B7E039A">
            <w:pPr>
              <w:pStyle w:val="23"/>
              <w:spacing w:line="360" w:lineRule="auto"/>
              <w:ind w:left="0" w:leftChars="0" w:firstLine="480" w:firstLineChars="200"/>
              <w:jc w:val="both"/>
              <w:rPr>
                <w:rFonts w:hint="default"/>
                <w:color w:val="auto"/>
                <w:lang w:val="en-US" w:eastAsia="zh-CN"/>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w:t>
            </w:r>
            <w:r>
              <w:rPr>
                <w:rFonts w:hint="eastAsia" w:ascii="Times New Roman" w:eastAsia="宋体" w:cs="Times New Roman"/>
                <w:b w:val="0"/>
                <w:bCs/>
                <w:color w:val="auto"/>
                <w:kern w:val="2"/>
                <w:sz w:val="24"/>
                <w:szCs w:val="24"/>
                <w:highlight w:val="none"/>
                <w:lang w:val="en-US" w:eastAsia="zh-CN" w:bidi="ar-SA"/>
              </w:rPr>
              <w:t>577</w:t>
            </w:r>
            <w:r>
              <w:rPr>
                <w:rFonts w:hint="default" w:ascii="Times New Roman" w:hAnsi="Times New Roman" w:eastAsia="宋体" w:cs="Times New Roman"/>
                <w:b w:val="0"/>
                <w:bCs/>
                <w:color w:val="auto"/>
                <w:kern w:val="2"/>
                <w:sz w:val="24"/>
                <w:szCs w:val="24"/>
                <w:highlight w:val="none"/>
                <w:lang w:val="en-US" w:eastAsia="zh-CN" w:bidi="ar-SA"/>
              </w:rPr>
              <w:t>号，</w:t>
            </w:r>
            <w:r>
              <w:rPr>
                <w:rFonts w:hint="eastAsia" w:ascii="宋体" w:hAnsi="宋体" w:eastAsia="宋体" w:cs="宋体"/>
                <w:color w:val="auto"/>
                <w:sz w:val="24"/>
                <w:szCs w:val="24"/>
                <w:highlight w:val="none"/>
                <w:lang w:eastAsia="zh-CN"/>
              </w:rPr>
              <w:t>散粕</w:t>
            </w:r>
            <w:r>
              <w:rPr>
                <w:rFonts w:hint="eastAsia" w:hAnsi="宋体" w:eastAsia="宋体" w:cs="宋体"/>
                <w:color w:val="auto"/>
                <w:sz w:val="24"/>
                <w:szCs w:val="24"/>
                <w:highlight w:val="none"/>
                <w:lang w:eastAsia="zh-CN"/>
              </w:rPr>
              <w:t>筒仓</w:t>
            </w:r>
            <w:r>
              <w:rPr>
                <w:rFonts w:hint="eastAsia" w:hAnsi="宋体" w:eastAsia="宋体" w:cs="宋体"/>
                <w:color w:val="auto"/>
                <w:sz w:val="24"/>
                <w:szCs w:val="24"/>
                <w:highlight w:val="none"/>
                <w:lang w:val="en-US" w:eastAsia="zh-CN"/>
              </w:rPr>
              <w:t>/豆皮仓</w:t>
            </w:r>
            <w:r>
              <w:rPr>
                <w:rFonts w:hint="default" w:ascii="Times New Roman" w:hAnsi="Times New Roman" w:cs="Times New Roman"/>
                <w:color w:val="auto"/>
                <w:sz w:val="24"/>
                <w:szCs w:val="24"/>
                <w:highlight w:val="none"/>
                <w:lang w:val="en-US" w:eastAsia="zh-CN"/>
              </w:rPr>
              <w:t>颗粒物</w:t>
            </w:r>
            <w:r>
              <w:rPr>
                <w:rFonts w:hint="default" w:ascii="Times New Roman" w:hAnsi="Times New Roman" w:eastAsia="宋体" w:cs="Times New Roman"/>
                <w:b w:val="0"/>
                <w:bCs/>
                <w:color w:val="auto"/>
                <w:kern w:val="2"/>
                <w:sz w:val="24"/>
                <w:szCs w:val="24"/>
                <w:highlight w:val="none"/>
                <w:lang w:val="en-US" w:eastAsia="zh-CN" w:bidi="ar-SA"/>
              </w:rPr>
              <w:t>排放情况见表2.</w:t>
            </w:r>
            <w:r>
              <w:rPr>
                <w:rFonts w:hint="eastAsia" w:ascii="Times New Roman" w:eastAsia="宋体" w:cs="Times New Roman"/>
                <w:b w:val="0"/>
                <w:bCs/>
                <w:color w:val="auto"/>
                <w:kern w:val="2"/>
                <w:sz w:val="24"/>
                <w:szCs w:val="24"/>
                <w:highlight w:val="none"/>
                <w:lang w:val="en-US" w:eastAsia="zh-CN" w:bidi="ar-SA"/>
              </w:rPr>
              <w:t>7-10</w:t>
            </w:r>
            <w:r>
              <w:rPr>
                <w:rFonts w:hint="default" w:ascii="Times New Roman" w:hAnsi="Times New Roman" w:eastAsia="宋体" w:cs="Times New Roman"/>
                <w:b w:val="0"/>
                <w:bCs/>
                <w:color w:val="auto"/>
                <w:kern w:val="2"/>
                <w:sz w:val="24"/>
                <w:szCs w:val="24"/>
                <w:highlight w:val="none"/>
                <w:lang w:val="en-US" w:eastAsia="zh-CN" w:bidi="ar-SA"/>
              </w:rPr>
              <w:t>。</w:t>
            </w:r>
          </w:p>
          <w:p w14:paraId="0B10A4D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2.7-10 </w:t>
            </w:r>
            <w:r>
              <w:rPr>
                <w:rFonts w:hint="eastAsia" w:ascii="Times New Roman" w:hAnsi="Times New Roman" w:cs="Times New Roman"/>
                <w:color w:val="auto"/>
                <w:lang w:val="en-US" w:eastAsia="zh-CN"/>
              </w:rPr>
              <w:t>散粕筒仓/豆皮仓</w:t>
            </w:r>
            <w:r>
              <w:rPr>
                <w:rFonts w:hint="default" w:ascii="Times New Roman" w:hAnsi="Times New Roman" w:cs="Times New Roman"/>
                <w:color w:val="auto"/>
                <w:lang w:val="en-US" w:eastAsia="zh-CN"/>
              </w:rPr>
              <w:t>污染物排放情况一览表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995"/>
              <w:gridCol w:w="1512"/>
              <w:gridCol w:w="1109"/>
              <w:gridCol w:w="1341"/>
              <w:gridCol w:w="1260"/>
              <w:gridCol w:w="797"/>
            </w:tblGrid>
            <w:tr w14:paraId="7311F8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pct"/>
                  <w:tcBorders>
                    <w:tl2br w:val="nil"/>
                    <w:tr2bl w:val="nil"/>
                  </w:tcBorders>
                  <w:vAlign w:val="center"/>
                </w:tcPr>
                <w:p w14:paraId="327C8F6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生产工序</w:t>
                  </w:r>
                </w:p>
              </w:tc>
              <w:tc>
                <w:tcPr>
                  <w:tcW w:w="593" w:type="pct"/>
                  <w:tcBorders>
                    <w:tl2br w:val="nil"/>
                    <w:tr2bl w:val="nil"/>
                  </w:tcBorders>
                  <w:vAlign w:val="center"/>
                </w:tcPr>
                <w:p w14:paraId="0886F35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w:t>
                  </w:r>
                </w:p>
                <w:p w14:paraId="0EA6F13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物</w:t>
                  </w:r>
                </w:p>
              </w:tc>
              <w:tc>
                <w:tcPr>
                  <w:tcW w:w="901" w:type="pct"/>
                  <w:tcBorders>
                    <w:tl2br w:val="nil"/>
                    <w:tr2bl w:val="nil"/>
                  </w:tcBorders>
                  <w:vAlign w:val="center"/>
                </w:tcPr>
                <w:p w14:paraId="365105A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治理设施</w:t>
                  </w:r>
                </w:p>
              </w:tc>
              <w:tc>
                <w:tcPr>
                  <w:tcW w:w="661" w:type="pct"/>
                  <w:tcBorders>
                    <w:tl2br w:val="nil"/>
                    <w:tr2bl w:val="nil"/>
                  </w:tcBorders>
                  <w:vAlign w:val="center"/>
                </w:tcPr>
                <w:p w14:paraId="108CFA1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排气筒</w:t>
                  </w:r>
                </w:p>
                <w:p w14:paraId="13563E3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编号</w:t>
                  </w:r>
                </w:p>
              </w:tc>
              <w:tc>
                <w:tcPr>
                  <w:tcW w:w="799" w:type="pct"/>
                  <w:tcBorders>
                    <w:tl2br w:val="nil"/>
                    <w:tr2bl w:val="nil"/>
                  </w:tcBorders>
                  <w:vAlign w:val="center"/>
                </w:tcPr>
                <w:p w14:paraId="22E3722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排放浓度</w:t>
                  </w:r>
                </w:p>
                <w:p w14:paraId="59F460F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mg/m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eastAsia="zh-CN"/>
                    </w:rPr>
                    <w:t>）</w:t>
                  </w:r>
                </w:p>
              </w:tc>
              <w:tc>
                <w:tcPr>
                  <w:tcW w:w="751" w:type="pct"/>
                  <w:tcBorders>
                    <w:tl2br w:val="nil"/>
                    <w:tr2bl w:val="nil"/>
                  </w:tcBorders>
                  <w:vAlign w:val="center"/>
                </w:tcPr>
                <w:p w14:paraId="6714614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排放速率</w:t>
                  </w:r>
                </w:p>
                <w:p w14:paraId="02A86DD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kg/h</w:t>
                  </w:r>
                  <w:r>
                    <w:rPr>
                      <w:rFonts w:hint="default" w:ascii="Times New Roman" w:hAnsi="Times New Roman" w:cs="Times New Roman"/>
                      <w:color w:val="auto"/>
                      <w:lang w:eastAsia="zh-CN"/>
                    </w:rPr>
                    <w:t>）</w:t>
                  </w:r>
                </w:p>
              </w:tc>
              <w:tc>
                <w:tcPr>
                  <w:tcW w:w="475" w:type="pct"/>
                  <w:tcBorders>
                    <w:tl2br w:val="nil"/>
                    <w:tr2bl w:val="nil"/>
                  </w:tcBorders>
                  <w:vAlign w:val="center"/>
                </w:tcPr>
                <w:p w14:paraId="4851EEA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p w14:paraId="1F60D66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情况</w:t>
                  </w:r>
                </w:p>
              </w:tc>
            </w:tr>
            <w:tr w14:paraId="230A82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pct"/>
                  <w:vMerge w:val="restart"/>
                  <w:tcBorders>
                    <w:tl2br w:val="nil"/>
                    <w:tr2bl w:val="nil"/>
                  </w:tcBorders>
                  <w:vAlign w:val="center"/>
                </w:tcPr>
                <w:p w14:paraId="3EFB819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豆粕转运</w:t>
                  </w:r>
                </w:p>
              </w:tc>
              <w:tc>
                <w:tcPr>
                  <w:tcW w:w="593" w:type="pct"/>
                  <w:tcBorders>
                    <w:tl2br w:val="nil"/>
                    <w:tr2bl w:val="nil"/>
                  </w:tcBorders>
                  <w:vAlign w:val="center"/>
                </w:tcPr>
                <w:p w14:paraId="0AED28C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01" w:type="pct"/>
                  <w:tcBorders>
                    <w:tl2br w:val="nil"/>
                    <w:tr2bl w:val="nil"/>
                  </w:tcBorders>
                  <w:vAlign w:val="center"/>
                </w:tcPr>
                <w:p w14:paraId="248D367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661" w:type="pct"/>
                  <w:tcBorders>
                    <w:tl2br w:val="nil"/>
                    <w:tr2bl w:val="nil"/>
                  </w:tcBorders>
                  <w:vAlign w:val="center"/>
                </w:tcPr>
                <w:p w14:paraId="572208F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DA001</w:t>
                  </w:r>
                  <w:r>
                    <w:rPr>
                      <w:rFonts w:hint="eastAsia" w:ascii="Times New Roman" w:hAnsi="Times New Roman" w:cs="Times New Roman"/>
                      <w:color w:val="auto"/>
                      <w:lang w:val="en-US" w:eastAsia="zh-CN"/>
                    </w:rPr>
                    <w:t>5</w:t>
                  </w:r>
                </w:p>
              </w:tc>
              <w:tc>
                <w:tcPr>
                  <w:tcW w:w="799" w:type="pct"/>
                  <w:tcBorders>
                    <w:tl2br w:val="nil"/>
                    <w:tr2bl w:val="nil"/>
                  </w:tcBorders>
                  <w:shd w:val="clear" w:color="auto" w:fill="auto"/>
                  <w:vAlign w:val="center"/>
                </w:tcPr>
                <w:p w14:paraId="57EE687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22.733 </w:t>
                  </w:r>
                </w:p>
              </w:tc>
              <w:tc>
                <w:tcPr>
                  <w:tcW w:w="751" w:type="pct"/>
                  <w:tcBorders>
                    <w:tl2br w:val="nil"/>
                    <w:tr2bl w:val="nil"/>
                  </w:tcBorders>
                  <w:shd w:val="clear" w:color="auto" w:fill="auto"/>
                  <w:vAlign w:val="center"/>
                </w:tcPr>
                <w:p w14:paraId="59D0A1B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0.219 </w:t>
                  </w:r>
                </w:p>
              </w:tc>
              <w:tc>
                <w:tcPr>
                  <w:tcW w:w="475" w:type="pct"/>
                  <w:tcBorders>
                    <w:tl2br w:val="nil"/>
                    <w:tr2bl w:val="nil"/>
                  </w:tcBorders>
                  <w:vAlign w:val="center"/>
                </w:tcPr>
                <w:p w14:paraId="650F774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4B6367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pct"/>
                  <w:vMerge w:val="continue"/>
                  <w:tcBorders>
                    <w:tl2br w:val="nil"/>
                    <w:tr2bl w:val="nil"/>
                  </w:tcBorders>
                  <w:vAlign w:val="center"/>
                </w:tcPr>
                <w:p w14:paraId="11699CE7">
                  <w:pPr>
                    <w:pStyle w:val="3"/>
                    <w:bidi w:val="0"/>
                    <w:rPr>
                      <w:rFonts w:hint="default" w:ascii="Times New Roman" w:hAnsi="Times New Roman" w:cs="Times New Roman"/>
                      <w:color w:val="auto"/>
                      <w:lang w:val="en-US" w:eastAsia="zh-CN"/>
                    </w:rPr>
                  </w:pPr>
                </w:p>
              </w:tc>
              <w:tc>
                <w:tcPr>
                  <w:tcW w:w="593" w:type="pct"/>
                  <w:tcBorders>
                    <w:tl2br w:val="nil"/>
                    <w:tr2bl w:val="nil"/>
                  </w:tcBorders>
                  <w:vAlign w:val="center"/>
                </w:tcPr>
                <w:p w14:paraId="579D50D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01" w:type="pct"/>
                  <w:tcBorders>
                    <w:tl2br w:val="nil"/>
                    <w:tr2bl w:val="nil"/>
                  </w:tcBorders>
                  <w:vAlign w:val="center"/>
                </w:tcPr>
                <w:p w14:paraId="1686286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661" w:type="pct"/>
                  <w:tcBorders>
                    <w:tl2br w:val="nil"/>
                    <w:tr2bl w:val="nil"/>
                  </w:tcBorders>
                  <w:vAlign w:val="center"/>
                </w:tcPr>
                <w:p w14:paraId="31EBB63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DA001</w:t>
                  </w:r>
                  <w:r>
                    <w:rPr>
                      <w:rFonts w:hint="eastAsia" w:ascii="Times New Roman" w:hAnsi="Times New Roman" w:cs="Times New Roman"/>
                      <w:color w:val="auto"/>
                      <w:lang w:val="en-US" w:eastAsia="zh-CN"/>
                    </w:rPr>
                    <w:t>6</w:t>
                  </w:r>
                </w:p>
              </w:tc>
              <w:tc>
                <w:tcPr>
                  <w:tcW w:w="799" w:type="pct"/>
                  <w:tcBorders>
                    <w:tl2br w:val="nil"/>
                    <w:tr2bl w:val="nil"/>
                  </w:tcBorders>
                  <w:shd w:val="clear" w:color="auto" w:fill="auto"/>
                  <w:vAlign w:val="center"/>
                </w:tcPr>
                <w:p w14:paraId="2AE3F6C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23.900 </w:t>
                  </w:r>
                </w:p>
              </w:tc>
              <w:tc>
                <w:tcPr>
                  <w:tcW w:w="751" w:type="pct"/>
                  <w:tcBorders>
                    <w:tl2br w:val="nil"/>
                    <w:tr2bl w:val="nil"/>
                  </w:tcBorders>
                  <w:shd w:val="clear" w:color="auto" w:fill="auto"/>
                  <w:vAlign w:val="center"/>
                </w:tcPr>
                <w:p w14:paraId="194C848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0.118 </w:t>
                  </w:r>
                </w:p>
              </w:tc>
              <w:tc>
                <w:tcPr>
                  <w:tcW w:w="475" w:type="pct"/>
                  <w:tcBorders>
                    <w:tl2br w:val="nil"/>
                    <w:tr2bl w:val="nil"/>
                  </w:tcBorders>
                  <w:vAlign w:val="center"/>
                </w:tcPr>
                <w:p w14:paraId="66FFAE15">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67DC71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pct"/>
                  <w:vMerge w:val="restart"/>
                  <w:tcBorders>
                    <w:tl2br w:val="nil"/>
                    <w:tr2bl w:val="nil"/>
                  </w:tcBorders>
                  <w:vAlign w:val="center"/>
                </w:tcPr>
                <w:p w14:paraId="33E116B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豆皮转运</w:t>
                  </w:r>
                </w:p>
              </w:tc>
              <w:tc>
                <w:tcPr>
                  <w:tcW w:w="593" w:type="pct"/>
                  <w:tcBorders>
                    <w:tl2br w:val="nil"/>
                    <w:tr2bl w:val="nil"/>
                  </w:tcBorders>
                  <w:vAlign w:val="center"/>
                </w:tcPr>
                <w:p w14:paraId="1AB4512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01" w:type="pct"/>
                  <w:tcBorders>
                    <w:tl2br w:val="nil"/>
                    <w:tr2bl w:val="nil"/>
                  </w:tcBorders>
                  <w:vAlign w:val="center"/>
                </w:tcPr>
                <w:p w14:paraId="1C4001B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661" w:type="pct"/>
                  <w:tcBorders>
                    <w:tl2br w:val="nil"/>
                    <w:tr2bl w:val="nil"/>
                  </w:tcBorders>
                  <w:vAlign w:val="center"/>
                </w:tcPr>
                <w:p w14:paraId="00A6E6A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DA001</w:t>
                  </w:r>
                  <w:r>
                    <w:rPr>
                      <w:rFonts w:hint="eastAsia" w:ascii="Times New Roman" w:hAnsi="Times New Roman" w:cs="Times New Roman"/>
                      <w:color w:val="auto"/>
                      <w:lang w:val="en-US" w:eastAsia="zh-CN"/>
                    </w:rPr>
                    <w:t>7</w:t>
                  </w:r>
                </w:p>
              </w:tc>
              <w:tc>
                <w:tcPr>
                  <w:tcW w:w="799" w:type="pct"/>
                  <w:tcBorders>
                    <w:tl2br w:val="nil"/>
                    <w:tr2bl w:val="nil"/>
                  </w:tcBorders>
                  <w:vAlign w:val="center"/>
                </w:tcPr>
                <w:p w14:paraId="6F5C5E7F">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25.933 </w:t>
                  </w:r>
                </w:p>
              </w:tc>
              <w:tc>
                <w:tcPr>
                  <w:tcW w:w="751" w:type="pct"/>
                  <w:tcBorders>
                    <w:tl2br w:val="nil"/>
                    <w:tr2bl w:val="nil"/>
                  </w:tcBorders>
                  <w:vAlign w:val="center"/>
                </w:tcPr>
                <w:p w14:paraId="4E7133A8">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0.106 </w:t>
                  </w:r>
                </w:p>
              </w:tc>
              <w:tc>
                <w:tcPr>
                  <w:tcW w:w="475" w:type="pct"/>
                  <w:tcBorders>
                    <w:tl2br w:val="nil"/>
                    <w:tr2bl w:val="nil"/>
                  </w:tcBorders>
                  <w:vAlign w:val="center"/>
                </w:tcPr>
                <w:p w14:paraId="601FB49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518C3C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pct"/>
                  <w:vMerge w:val="continue"/>
                  <w:tcBorders>
                    <w:tl2br w:val="nil"/>
                    <w:tr2bl w:val="nil"/>
                  </w:tcBorders>
                  <w:vAlign w:val="center"/>
                </w:tcPr>
                <w:p w14:paraId="3C0F0A2B">
                  <w:pPr>
                    <w:pStyle w:val="3"/>
                    <w:bidi w:val="0"/>
                    <w:rPr>
                      <w:rFonts w:hint="default" w:ascii="Times New Roman" w:hAnsi="Times New Roman" w:cs="Times New Roman"/>
                      <w:color w:val="auto"/>
                      <w:lang w:val="en-US" w:eastAsia="zh-CN"/>
                    </w:rPr>
                  </w:pPr>
                </w:p>
              </w:tc>
              <w:tc>
                <w:tcPr>
                  <w:tcW w:w="593" w:type="pct"/>
                  <w:tcBorders>
                    <w:tl2br w:val="nil"/>
                    <w:tr2bl w:val="nil"/>
                  </w:tcBorders>
                  <w:vAlign w:val="center"/>
                </w:tcPr>
                <w:p w14:paraId="0176815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901" w:type="pct"/>
                  <w:tcBorders>
                    <w:tl2br w:val="nil"/>
                    <w:tr2bl w:val="nil"/>
                  </w:tcBorders>
                  <w:vAlign w:val="center"/>
                </w:tcPr>
                <w:p w14:paraId="6F2A173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布袋除尘器</w:t>
                  </w:r>
                </w:p>
              </w:tc>
              <w:tc>
                <w:tcPr>
                  <w:tcW w:w="661" w:type="pct"/>
                  <w:tcBorders>
                    <w:tl2br w:val="nil"/>
                    <w:tr2bl w:val="nil"/>
                  </w:tcBorders>
                  <w:vAlign w:val="center"/>
                </w:tcPr>
                <w:p w14:paraId="5EE5761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DA001</w:t>
                  </w:r>
                  <w:r>
                    <w:rPr>
                      <w:rFonts w:hint="eastAsia" w:ascii="Times New Roman" w:hAnsi="Times New Roman" w:cs="Times New Roman"/>
                      <w:color w:val="auto"/>
                      <w:lang w:val="en-US" w:eastAsia="zh-CN"/>
                    </w:rPr>
                    <w:t>8</w:t>
                  </w:r>
                </w:p>
              </w:tc>
              <w:tc>
                <w:tcPr>
                  <w:tcW w:w="799" w:type="pct"/>
                  <w:tcBorders>
                    <w:tl2br w:val="nil"/>
                    <w:tr2bl w:val="nil"/>
                  </w:tcBorders>
                  <w:shd w:val="clear" w:color="auto" w:fill="auto"/>
                  <w:vAlign w:val="center"/>
                </w:tcPr>
                <w:p w14:paraId="1F0A99E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26.267 </w:t>
                  </w:r>
                </w:p>
              </w:tc>
              <w:tc>
                <w:tcPr>
                  <w:tcW w:w="751" w:type="pct"/>
                  <w:tcBorders>
                    <w:tl2br w:val="nil"/>
                    <w:tr2bl w:val="nil"/>
                  </w:tcBorders>
                  <w:shd w:val="clear" w:color="auto" w:fill="auto"/>
                  <w:vAlign w:val="center"/>
                </w:tcPr>
                <w:p w14:paraId="2869F85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0.162 </w:t>
                  </w:r>
                </w:p>
              </w:tc>
              <w:tc>
                <w:tcPr>
                  <w:tcW w:w="475" w:type="pct"/>
                  <w:tcBorders>
                    <w:tl2br w:val="nil"/>
                    <w:tr2bl w:val="nil"/>
                  </w:tcBorders>
                  <w:vAlign w:val="center"/>
                </w:tcPr>
                <w:p w14:paraId="0B0F94B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bl>
          <w:p w14:paraId="5E4696C3">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val="en-US" w:eastAsia="zh-CN" w:bidi="ar"/>
              </w:rPr>
              <w:t>由表2.</w:t>
            </w:r>
            <w:r>
              <w:rPr>
                <w:rFonts w:hint="eastAsia" w:ascii="Times New Roman" w:eastAsia="宋体" w:cs="Times New Roman"/>
                <w:color w:val="auto"/>
                <w:sz w:val="24"/>
                <w:szCs w:val="24"/>
                <w:lang w:val="en-US" w:eastAsia="zh-CN" w:bidi="ar"/>
              </w:rPr>
              <w:t>7-10</w:t>
            </w:r>
            <w:r>
              <w:rPr>
                <w:rFonts w:hint="default" w:ascii="Times New Roman" w:hAnsi="Times New Roman" w:eastAsia="宋体" w:cs="Times New Roman"/>
                <w:color w:val="auto"/>
                <w:sz w:val="24"/>
                <w:szCs w:val="24"/>
                <w:lang w:val="en-US" w:eastAsia="zh-CN" w:bidi="ar"/>
              </w:rPr>
              <w:t>可知：</w:t>
            </w:r>
            <w:r>
              <w:rPr>
                <w:rFonts w:hint="eastAsia" w:ascii="Times New Roman" w:eastAsia="宋体" w:cs="Times New Roman"/>
                <w:b w:val="0"/>
                <w:bCs/>
                <w:color w:val="auto"/>
                <w:kern w:val="2"/>
                <w:sz w:val="24"/>
                <w:szCs w:val="24"/>
                <w:lang w:val="en-US" w:eastAsia="zh-CN" w:bidi="ar-SA"/>
              </w:rPr>
              <w:t>散粕筒仓/豆皮仓转运过程中</w:t>
            </w:r>
            <w:r>
              <w:rPr>
                <w:rFonts w:hint="default" w:ascii="Times New Roman" w:hAnsi="Times New Roman" w:eastAsia="宋体" w:cs="Times New Roman"/>
                <w:color w:val="auto"/>
                <w:sz w:val="24"/>
                <w:szCs w:val="24"/>
                <w:lang w:val="en-US" w:eastAsia="zh-CN" w:bidi="ar"/>
              </w:rPr>
              <w:t>产生的</w:t>
            </w:r>
            <w:r>
              <w:rPr>
                <w:rFonts w:hint="default" w:ascii="Times New Roman" w:hAnsi="Times New Roman" w:cs="Times New Roman"/>
                <w:color w:val="auto"/>
                <w:sz w:val="24"/>
                <w:szCs w:val="24"/>
                <w:lang w:val="en-US" w:eastAsia="zh-CN"/>
              </w:rPr>
              <w:t>颗粒物</w:t>
            </w:r>
            <w:r>
              <w:rPr>
                <w:rFonts w:hint="eastAsia" w:ascii="Times New Roman" w:cs="Times New Roman"/>
                <w:color w:val="auto"/>
                <w:sz w:val="24"/>
                <w:szCs w:val="24"/>
                <w:lang w:val="en-US" w:eastAsia="zh-CN"/>
              </w:rPr>
              <w:t>经布袋除尘器处理后</w:t>
            </w:r>
            <w:r>
              <w:rPr>
                <w:rFonts w:hint="default" w:ascii="Times New Roman" w:hAnsi="Times New Roman" w:eastAsia="宋体" w:cs="Times New Roman"/>
                <w:color w:val="auto"/>
                <w:sz w:val="24"/>
                <w:szCs w:val="24"/>
                <w:lang w:eastAsia="zh-CN"/>
              </w:rPr>
              <w:t>其排放浓度、排放速率满足</w:t>
            </w:r>
            <w:r>
              <w:rPr>
                <w:rFonts w:hint="default" w:ascii="Times New Roman" w:hAnsi="Times New Roman" w:eastAsia="宋体" w:cs="Times New Roman"/>
                <w:color w:val="auto"/>
                <w:sz w:val="24"/>
                <w:szCs w:val="24"/>
              </w:rPr>
              <w:t>《大气污染物综合排放标准》（DB50/418-2016）表1</w:t>
            </w:r>
            <w:r>
              <w:rPr>
                <w:rFonts w:hint="default" w:ascii="Times New Roman" w:hAnsi="Times New Roman" w:eastAsia="宋体" w:cs="Times New Roman"/>
                <w:color w:val="auto"/>
                <w:sz w:val="24"/>
                <w:szCs w:val="24"/>
                <w:lang w:eastAsia="zh-CN"/>
              </w:rPr>
              <w:t>标准</w:t>
            </w:r>
            <w:r>
              <w:rPr>
                <w:rFonts w:hint="eastAsia" w:ascii="Times New Roman" w:eastAsia="宋体" w:cs="Times New Roman"/>
                <w:color w:val="auto"/>
                <w:sz w:val="24"/>
                <w:szCs w:val="24"/>
                <w:lang w:eastAsia="zh-CN"/>
              </w:rPr>
              <w:t>要求</w:t>
            </w:r>
            <w:r>
              <w:rPr>
                <w:rFonts w:hint="default" w:ascii="Times New Roman" w:hAnsi="Times New Roman" w:eastAsia="宋体" w:cs="Times New Roman"/>
                <w:color w:val="auto"/>
                <w:sz w:val="24"/>
                <w:szCs w:val="24"/>
                <w:lang w:eastAsia="zh-CN"/>
              </w:rPr>
              <w:t>。</w:t>
            </w:r>
          </w:p>
          <w:p w14:paraId="333989A7">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eastAsia="宋体" w:cs="Times New Roman"/>
                <w:b w:val="0"/>
                <w:bCs w:val="0"/>
                <w:color w:val="auto"/>
                <w:sz w:val="24"/>
                <w:szCs w:val="24"/>
                <w:lang w:eastAsia="zh-CN"/>
              </w:rPr>
            </w:pPr>
            <w:r>
              <w:rPr>
                <w:rFonts w:hint="eastAsia" w:ascii="宋体" w:hAnsi="宋体" w:eastAsia="宋体" w:cs="宋体"/>
                <w:color w:val="auto"/>
                <w:sz w:val="24"/>
                <w:szCs w:val="24"/>
                <w:lang w:eastAsia="zh-CN"/>
              </w:rPr>
              <w:t>⑩</w:t>
            </w:r>
            <w:r>
              <w:rPr>
                <w:rFonts w:hint="eastAsia" w:ascii="Times New Roman" w:eastAsia="宋体" w:cs="Times New Roman"/>
                <w:b w:val="0"/>
                <w:bCs w:val="0"/>
                <w:color w:val="auto"/>
                <w:sz w:val="24"/>
                <w:szCs w:val="24"/>
                <w:lang w:eastAsia="zh-CN"/>
              </w:rPr>
              <w:t>无组织废气</w:t>
            </w:r>
          </w:p>
          <w:p w14:paraId="0054D377">
            <w:pPr>
              <w:pStyle w:val="23"/>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default" w:ascii="Times New Roman" w:hAnsi="Times New Roman" w:eastAsia="宋体" w:cs="Times New Roman"/>
                <w:bCs/>
                <w:color w:val="auto"/>
                <w:sz w:val="24"/>
                <w:szCs w:val="24"/>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》中质环（检）字[2024]第Z240169号，</w:t>
            </w:r>
            <w:r>
              <w:rPr>
                <w:rFonts w:hint="eastAsia" w:ascii="Times New Roman" w:eastAsia="宋体" w:cs="Times New Roman"/>
                <w:b w:val="0"/>
                <w:bCs/>
                <w:color w:val="auto"/>
                <w:kern w:val="2"/>
                <w:sz w:val="24"/>
                <w:szCs w:val="24"/>
                <w:lang w:val="en-US" w:eastAsia="zh-CN" w:bidi="ar-SA"/>
              </w:rPr>
              <w:t>现有工程无组织废气</w:t>
            </w:r>
            <w:r>
              <w:rPr>
                <w:rFonts w:hint="eastAsia" w:ascii="Times New Roman" w:hAnsi="Times New Roman" w:eastAsia="宋体" w:cs="Times New Roman"/>
                <w:b w:val="0"/>
                <w:bCs/>
                <w:color w:val="auto"/>
                <w:kern w:val="2"/>
                <w:sz w:val="24"/>
                <w:szCs w:val="24"/>
                <w:lang w:val="en-US" w:eastAsia="zh-CN" w:bidi="ar-SA"/>
              </w:rPr>
              <w:t>监测</w:t>
            </w:r>
            <w:r>
              <w:rPr>
                <w:rFonts w:hint="default" w:ascii="Times New Roman" w:hAnsi="Times New Roman" w:eastAsia="宋体" w:cs="Times New Roman"/>
                <w:b w:val="0"/>
                <w:bCs/>
                <w:color w:val="auto"/>
                <w:kern w:val="2"/>
                <w:sz w:val="24"/>
                <w:szCs w:val="24"/>
                <w:lang w:val="en-US" w:eastAsia="zh-CN" w:bidi="ar-SA"/>
              </w:rPr>
              <w:t>情况见表2.</w:t>
            </w:r>
            <w:r>
              <w:rPr>
                <w:rFonts w:hint="eastAsia" w:ascii="Times New Roman" w:eastAsia="宋体" w:cs="Times New Roman"/>
                <w:b w:val="0"/>
                <w:bCs/>
                <w:color w:val="auto"/>
                <w:kern w:val="2"/>
                <w:sz w:val="24"/>
                <w:szCs w:val="24"/>
                <w:lang w:val="en-US" w:eastAsia="zh-CN" w:bidi="ar-SA"/>
              </w:rPr>
              <w:t>7-11</w:t>
            </w:r>
            <w:r>
              <w:rPr>
                <w:rFonts w:hint="default" w:ascii="Times New Roman" w:hAnsi="Times New Roman" w:eastAsia="宋体" w:cs="Times New Roman"/>
                <w:b w:val="0"/>
                <w:bCs/>
                <w:color w:val="auto"/>
                <w:kern w:val="2"/>
                <w:sz w:val="24"/>
                <w:szCs w:val="24"/>
                <w:lang w:val="en-US" w:eastAsia="zh-CN" w:bidi="ar-SA"/>
              </w:rPr>
              <w:t>。</w:t>
            </w:r>
          </w:p>
          <w:p w14:paraId="38E023E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表</w:t>
            </w:r>
            <w:r>
              <w:rPr>
                <w:rFonts w:hint="default" w:ascii="Times New Roman" w:hAnsi="Times New Roman" w:cs="Times New Roman"/>
                <w:color w:val="auto"/>
                <w:lang w:val="en-US" w:eastAsia="zh-CN"/>
              </w:rPr>
              <w:t>2.7-11 现有工程无组织废气监测情况一览表</w:t>
            </w:r>
          </w:p>
          <w:tbl>
            <w:tblPr>
              <w:tblStyle w:val="17"/>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23"/>
              <w:gridCol w:w="1056"/>
              <w:gridCol w:w="1355"/>
              <w:gridCol w:w="1457"/>
              <w:gridCol w:w="1217"/>
              <w:gridCol w:w="978"/>
              <w:gridCol w:w="996"/>
            </w:tblGrid>
            <w:tr w14:paraId="44622E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restart"/>
                  <w:tcBorders>
                    <w:tl2br w:val="nil"/>
                    <w:tr2bl w:val="nil"/>
                  </w:tcBorders>
                  <w:noWrap w:val="0"/>
                  <w:vAlign w:val="center"/>
                </w:tcPr>
                <w:p w14:paraId="3F9AB080">
                  <w:pPr>
                    <w:pStyle w:val="3"/>
                    <w:bidi w:val="0"/>
                    <w:rPr>
                      <w:rFonts w:hint="default" w:ascii="Times New Roman" w:hAnsi="Times New Roman" w:cs="Times New Roman"/>
                      <w:color w:val="auto"/>
                    </w:rPr>
                  </w:pPr>
                  <w:r>
                    <w:rPr>
                      <w:rFonts w:hint="default" w:ascii="Times New Roman" w:hAnsi="Times New Roman" w:cs="Times New Roman"/>
                      <w:color w:val="auto"/>
                    </w:rPr>
                    <w:t>检测点位</w:t>
                  </w:r>
                </w:p>
              </w:tc>
              <w:tc>
                <w:tcPr>
                  <w:tcW w:w="630" w:type="pct"/>
                  <w:vMerge w:val="restart"/>
                  <w:tcBorders>
                    <w:tl2br w:val="nil"/>
                    <w:tr2bl w:val="nil"/>
                  </w:tcBorders>
                  <w:noWrap w:val="0"/>
                  <w:vAlign w:val="center"/>
                </w:tcPr>
                <w:p w14:paraId="387F893C">
                  <w:pPr>
                    <w:pStyle w:val="3"/>
                    <w:bidi w:val="0"/>
                    <w:rPr>
                      <w:rFonts w:hint="default" w:ascii="Times New Roman" w:hAnsi="Times New Roman" w:cs="Times New Roman"/>
                      <w:color w:val="auto"/>
                    </w:rPr>
                  </w:pPr>
                  <w:r>
                    <w:rPr>
                      <w:rFonts w:hint="default" w:ascii="Times New Roman" w:hAnsi="Times New Roman" w:cs="Times New Roman"/>
                      <w:color w:val="auto"/>
                    </w:rPr>
                    <w:t>检测频次</w:t>
                  </w:r>
                </w:p>
              </w:tc>
              <w:tc>
                <w:tcPr>
                  <w:tcW w:w="808" w:type="pct"/>
                  <w:tcBorders>
                    <w:tl2br w:val="nil"/>
                    <w:tr2bl w:val="nil"/>
                  </w:tcBorders>
                  <w:noWrap w:val="0"/>
                  <w:vAlign w:val="center"/>
                </w:tcPr>
                <w:p w14:paraId="507186E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非甲烷总烃</w:t>
                  </w:r>
                </w:p>
              </w:tc>
              <w:tc>
                <w:tcPr>
                  <w:tcW w:w="869" w:type="pct"/>
                  <w:tcBorders>
                    <w:tl2br w:val="nil"/>
                    <w:tr2bl w:val="nil"/>
                  </w:tcBorders>
                  <w:noWrap w:val="0"/>
                  <w:vAlign w:val="center"/>
                </w:tcPr>
                <w:p w14:paraId="0205A15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颗粒物</w:t>
                  </w:r>
                </w:p>
              </w:tc>
              <w:tc>
                <w:tcPr>
                  <w:tcW w:w="726" w:type="pct"/>
                  <w:tcBorders>
                    <w:tl2br w:val="nil"/>
                    <w:tr2bl w:val="nil"/>
                  </w:tcBorders>
                  <w:noWrap w:val="0"/>
                  <w:vAlign w:val="center"/>
                </w:tcPr>
                <w:p w14:paraId="3018A4F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臭气浓度</w:t>
                  </w:r>
                </w:p>
              </w:tc>
              <w:tc>
                <w:tcPr>
                  <w:tcW w:w="583" w:type="pct"/>
                  <w:tcBorders>
                    <w:tl2br w:val="nil"/>
                    <w:tr2bl w:val="nil"/>
                  </w:tcBorders>
                  <w:noWrap w:val="0"/>
                  <w:vAlign w:val="center"/>
                </w:tcPr>
                <w:p w14:paraId="7D07D39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硫化氢</w:t>
                  </w:r>
                </w:p>
              </w:tc>
              <w:tc>
                <w:tcPr>
                  <w:tcW w:w="591" w:type="pct"/>
                  <w:tcBorders>
                    <w:tl2br w:val="nil"/>
                    <w:tr2bl w:val="nil"/>
                  </w:tcBorders>
                  <w:noWrap w:val="0"/>
                  <w:vAlign w:val="center"/>
                </w:tcPr>
                <w:p w14:paraId="1879D5E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氨</w:t>
                  </w:r>
                </w:p>
              </w:tc>
            </w:tr>
            <w:tr w14:paraId="1239341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79998BCC">
                  <w:pPr>
                    <w:pStyle w:val="3"/>
                    <w:bidi w:val="0"/>
                    <w:rPr>
                      <w:rFonts w:hint="default" w:ascii="Times New Roman" w:hAnsi="Times New Roman" w:cs="Times New Roman"/>
                      <w:color w:val="auto"/>
                    </w:rPr>
                  </w:pPr>
                </w:p>
              </w:tc>
              <w:tc>
                <w:tcPr>
                  <w:tcW w:w="630" w:type="pct"/>
                  <w:vMerge w:val="continue"/>
                  <w:tcBorders>
                    <w:tl2br w:val="nil"/>
                    <w:tr2bl w:val="nil"/>
                  </w:tcBorders>
                  <w:noWrap w:val="0"/>
                  <w:vAlign w:val="center"/>
                </w:tcPr>
                <w:p w14:paraId="3CC49A08">
                  <w:pPr>
                    <w:pStyle w:val="3"/>
                    <w:bidi w:val="0"/>
                    <w:rPr>
                      <w:rFonts w:hint="default" w:ascii="Times New Roman" w:hAnsi="Times New Roman" w:cs="Times New Roman"/>
                      <w:color w:val="auto"/>
                    </w:rPr>
                  </w:pPr>
                </w:p>
              </w:tc>
              <w:tc>
                <w:tcPr>
                  <w:tcW w:w="808" w:type="pct"/>
                  <w:tcBorders>
                    <w:tl2br w:val="nil"/>
                    <w:tr2bl w:val="nil"/>
                  </w:tcBorders>
                  <w:noWrap w:val="0"/>
                  <w:vAlign w:val="center"/>
                </w:tcPr>
                <w:p w14:paraId="0526895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mg</w:t>
                  </w:r>
                  <w:r>
                    <w:rPr>
                      <w:rFonts w:hint="default" w:ascii="Times New Roman" w:hAnsi="Times New Roman" w:cs="Times New Roman"/>
                      <w:color w:val="auto"/>
                    </w:rPr>
                    <w:t>/m³</w:t>
                  </w:r>
                </w:p>
              </w:tc>
              <w:tc>
                <w:tcPr>
                  <w:tcW w:w="869" w:type="pct"/>
                  <w:tcBorders>
                    <w:tl2br w:val="nil"/>
                    <w:tr2bl w:val="nil"/>
                  </w:tcBorders>
                  <w:noWrap w:val="0"/>
                  <w:vAlign w:val="center"/>
                </w:tcPr>
                <w:p w14:paraId="709CE43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mg</w:t>
                  </w:r>
                  <w:r>
                    <w:rPr>
                      <w:rFonts w:hint="default" w:ascii="Times New Roman" w:hAnsi="Times New Roman" w:cs="Times New Roman"/>
                      <w:color w:val="auto"/>
                    </w:rPr>
                    <w:t>/m³</w:t>
                  </w:r>
                </w:p>
              </w:tc>
              <w:tc>
                <w:tcPr>
                  <w:tcW w:w="726" w:type="pct"/>
                  <w:tcBorders>
                    <w:tl2br w:val="nil"/>
                    <w:tr2bl w:val="nil"/>
                  </w:tcBorders>
                  <w:noWrap w:val="0"/>
                  <w:vAlign w:val="center"/>
                </w:tcPr>
                <w:p w14:paraId="3F30DA3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无量纲</w:t>
                  </w:r>
                </w:p>
              </w:tc>
              <w:tc>
                <w:tcPr>
                  <w:tcW w:w="583" w:type="pct"/>
                  <w:tcBorders>
                    <w:tl2br w:val="nil"/>
                    <w:tr2bl w:val="nil"/>
                  </w:tcBorders>
                  <w:noWrap w:val="0"/>
                  <w:vAlign w:val="center"/>
                </w:tcPr>
                <w:p w14:paraId="5FC05B0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mg</w:t>
                  </w:r>
                  <w:r>
                    <w:rPr>
                      <w:rFonts w:hint="default" w:ascii="Times New Roman" w:hAnsi="Times New Roman" w:cs="Times New Roman"/>
                      <w:color w:val="auto"/>
                    </w:rPr>
                    <w:t>/m³</w:t>
                  </w:r>
                </w:p>
              </w:tc>
              <w:tc>
                <w:tcPr>
                  <w:tcW w:w="591" w:type="pct"/>
                  <w:tcBorders>
                    <w:tl2br w:val="nil"/>
                    <w:tr2bl w:val="nil"/>
                  </w:tcBorders>
                  <w:noWrap w:val="0"/>
                  <w:vAlign w:val="center"/>
                </w:tcPr>
                <w:p w14:paraId="2AD4644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mg</w:t>
                  </w:r>
                  <w:r>
                    <w:rPr>
                      <w:rFonts w:hint="default" w:ascii="Times New Roman" w:hAnsi="Times New Roman" w:cs="Times New Roman"/>
                      <w:color w:val="auto"/>
                    </w:rPr>
                    <w:t>/m³</w:t>
                  </w:r>
                </w:p>
              </w:tc>
            </w:tr>
            <w:tr w14:paraId="167D8DE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restart"/>
                  <w:tcBorders>
                    <w:tl2br w:val="nil"/>
                    <w:tr2bl w:val="nil"/>
                  </w:tcBorders>
                  <w:noWrap w:val="0"/>
                  <w:vAlign w:val="center"/>
                </w:tcPr>
                <w:p w14:paraId="07C5053D">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西侧厂界</w:t>
                  </w:r>
                </w:p>
              </w:tc>
              <w:tc>
                <w:tcPr>
                  <w:tcW w:w="630" w:type="pct"/>
                  <w:tcBorders>
                    <w:tl2br w:val="nil"/>
                    <w:tr2bl w:val="nil"/>
                  </w:tcBorders>
                  <w:noWrap w:val="0"/>
                  <w:vAlign w:val="center"/>
                </w:tcPr>
                <w:p w14:paraId="3C6B3274">
                  <w:pPr>
                    <w:pStyle w:val="3"/>
                    <w:bidi w:val="0"/>
                    <w:rPr>
                      <w:rFonts w:hint="default" w:ascii="Times New Roman" w:hAnsi="Times New Roman" w:cs="Times New Roman"/>
                      <w:color w:val="auto"/>
                    </w:rPr>
                  </w:pPr>
                  <w:r>
                    <w:rPr>
                      <w:rFonts w:hint="default" w:ascii="Times New Roman" w:hAnsi="Times New Roman" w:cs="Times New Roman"/>
                      <w:color w:val="auto"/>
                    </w:rPr>
                    <w:t>第一次</w:t>
                  </w:r>
                </w:p>
              </w:tc>
              <w:tc>
                <w:tcPr>
                  <w:tcW w:w="808" w:type="pct"/>
                  <w:tcBorders>
                    <w:tl2br w:val="nil"/>
                    <w:tr2bl w:val="nil"/>
                  </w:tcBorders>
                  <w:noWrap w:val="0"/>
                  <w:vAlign w:val="center"/>
                </w:tcPr>
                <w:p w14:paraId="3FD15D5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2.07</w:t>
                  </w:r>
                </w:p>
              </w:tc>
              <w:tc>
                <w:tcPr>
                  <w:tcW w:w="869" w:type="pct"/>
                  <w:tcBorders>
                    <w:tl2br w:val="nil"/>
                    <w:tr2bl w:val="nil"/>
                  </w:tcBorders>
                  <w:noWrap w:val="0"/>
                  <w:vAlign w:val="center"/>
                </w:tcPr>
                <w:p w14:paraId="3BECC9A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0.307</w:t>
                  </w:r>
                </w:p>
              </w:tc>
              <w:tc>
                <w:tcPr>
                  <w:tcW w:w="726" w:type="pct"/>
                  <w:tcBorders>
                    <w:tl2br w:val="nil"/>
                    <w:tr2bl w:val="nil"/>
                  </w:tcBorders>
                  <w:noWrap w:val="0"/>
                  <w:vAlign w:val="center"/>
                </w:tcPr>
                <w:p w14:paraId="52A7ACC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583" w:type="pct"/>
                  <w:tcBorders>
                    <w:tl2br w:val="nil"/>
                    <w:tr2bl w:val="nil"/>
                  </w:tcBorders>
                  <w:noWrap w:val="0"/>
                  <w:vAlign w:val="center"/>
                </w:tcPr>
                <w:p w14:paraId="00E56A4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5</w:t>
                  </w:r>
                </w:p>
              </w:tc>
              <w:tc>
                <w:tcPr>
                  <w:tcW w:w="591" w:type="pct"/>
                  <w:tcBorders>
                    <w:tl2br w:val="nil"/>
                    <w:tr2bl w:val="nil"/>
                  </w:tcBorders>
                  <w:noWrap w:val="0"/>
                  <w:vAlign w:val="center"/>
                </w:tcPr>
                <w:p w14:paraId="35C100C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0.137</w:t>
                  </w:r>
                </w:p>
              </w:tc>
            </w:tr>
            <w:tr w14:paraId="19C5053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44D995D9">
                  <w:pPr>
                    <w:pStyle w:val="3"/>
                    <w:bidi w:val="0"/>
                    <w:rPr>
                      <w:rFonts w:hint="default" w:ascii="Times New Roman" w:hAnsi="Times New Roman" w:cs="Times New Roman"/>
                      <w:color w:val="auto"/>
                    </w:rPr>
                  </w:pPr>
                </w:p>
              </w:tc>
              <w:tc>
                <w:tcPr>
                  <w:tcW w:w="630" w:type="pct"/>
                  <w:tcBorders>
                    <w:tl2br w:val="nil"/>
                    <w:tr2bl w:val="nil"/>
                  </w:tcBorders>
                  <w:noWrap w:val="0"/>
                  <w:vAlign w:val="center"/>
                </w:tcPr>
                <w:p w14:paraId="438AD8A3">
                  <w:pPr>
                    <w:pStyle w:val="3"/>
                    <w:bidi w:val="0"/>
                    <w:rPr>
                      <w:rFonts w:hint="default" w:ascii="Times New Roman" w:hAnsi="Times New Roman" w:cs="Times New Roman"/>
                      <w:color w:val="auto"/>
                    </w:rPr>
                  </w:pPr>
                  <w:r>
                    <w:rPr>
                      <w:rFonts w:hint="default" w:ascii="Times New Roman" w:hAnsi="Times New Roman" w:cs="Times New Roman"/>
                      <w:color w:val="auto"/>
                    </w:rPr>
                    <w:t>第二次</w:t>
                  </w:r>
                </w:p>
              </w:tc>
              <w:tc>
                <w:tcPr>
                  <w:tcW w:w="808" w:type="pct"/>
                  <w:tcBorders>
                    <w:tl2br w:val="nil"/>
                    <w:tr2bl w:val="nil"/>
                  </w:tcBorders>
                  <w:noWrap w:val="0"/>
                  <w:vAlign w:val="center"/>
                </w:tcPr>
                <w:p w14:paraId="2298373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2.10</w:t>
                  </w:r>
                </w:p>
              </w:tc>
              <w:tc>
                <w:tcPr>
                  <w:tcW w:w="869" w:type="pct"/>
                  <w:tcBorders>
                    <w:tl2br w:val="nil"/>
                    <w:tr2bl w:val="nil"/>
                  </w:tcBorders>
                  <w:noWrap w:val="0"/>
                  <w:vAlign w:val="center"/>
                </w:tcPr>
                <w:p w14:paraId="56DE88F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0.345</w:t>
                  </w:r>
                </w:p>
              </w:tc>
              <w:tc>
                <w:tcPr>
                  <w:tcW w:w="726" w:type="pct"/>
                  <w:tcBorders>
                    <w:tl2br w:val="nil"/>
                    <w:tr2bl w:val="nil"/>
                  </w:tcBorders>
                  <w:noWrap w:val="0"/>
                  <w:vAlign w:val="center"/>
                </w:tcPr>
                <w:p w14:paraId="1BA3F44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583" w:type="pct"/>
                  <w:tcBorders>
                    <w:tl2br w:val="nil"/>
                    <w:tr2bl w:val="nil"/>
                  </w:tcBorders>
                  <w:noWrap w:val="0"/>
                  <w:vAlign w:val="center"/>
                </w:tcPr>
                <w:p w14:paraId="4F4F2E2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0.006</w:t>
                  </w:r>
                </w:p>
              </w:tc>
              <w:tc>
                <w:tcPr>
                  <w:tcW w:w="591" w:type="pct"/>
                  <w:tcBorders>
                    <w:tl2br w:val="nil"/>
                    <w:tr2bl w:val="nil"/>
                  </w:tcBorders>
                  <w:noWrap w:val="0"/>
                  <w:vAlign w:val="center"/>
                </w:tcPr>
                <w:p w14:paraId="69A556F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0.151</w:t>
                  </w:r>
                </w:p>
              </w:tc>
            </w:tr>
            <w:tr w14:paraId="4F7E9C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19815F60">
                  <w:pPr>
                    <w:pStyle w:val="3"/>
                    <w:bidi w:val="0"/>
                    <w:rPr>
                      <w:rFonts w:hint="default" w:ascii="Times New Roman" w:hAnsi="Times New Roman" w:cs="Times New Roman"/>
                      <w:color w:val="auto"/>
                    </w:rPr>
                  </w:pPr>
                </w:p>
              </w:tc>
              <w:tc>
                <w:tcPr>
                  <w:tcW w:w="630" w:type="pct"/>
                  <w:tcBorders>
                    <w:tl2br w:val="nil"/>
                    <w:tr2bl w:val="nil"/>
                  </w:tcBorders>
                  <w:noWrap w:val="0"/>
                  <w:vAlign w:val="center"/>
                </w:tcPr>
                <w:p w14:paraId="35BA7940">
                  <w:pPr>
                    <w:pStyle w:val="3"/>
                    <w:bidi w:val="0"/>
                    <w:rPr>
                      <w:rFonts w:hint="default" w:ascii="Times New Roman" w:hAnsi="Times New Roman" w:cs="Times New Roman"/>
                      <w:color w:val="auto"/>
                    </w:rPr>
                  </w:pPr>
                  <w:r>
                    <w:rPr>
                      <w:rFonts w:hint="default" w:ascii="Times New Roman" w:hAnsi="Times New Roman" w:cs="Times New Roman"/>
                      <w:color w:val="auto"/>
                    </w:rPr>
                    <w:t>第三次</w:t>
                  </w:r>
                </w:p>
              </w:tc>
              <w:tc>
                <w:tcPr>
                  <w:tcW w:w="808" w:type="pct"/>
                  <w:tcBorders>
                    <w:tl2br w:val="nil"/>
                    <w:tr2bl w:val="nil"/>
                  </w:tcBorders>
                  <w:noWrap w:val="0"/>
                  <w:vAlign w:val="center"/>
                </w:tcPr>
                <w:p w14:paraId="009127D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2.13</w:t>
                  </w:r>
                </w:p>
              </w:tc>
              <w:tc>
                <w:tcPr>
                  <w:tcW w:w="869" w:type="pct"/>
                  <w:tcBorders>
                    <w:tl2br w:val="nil"/>
                    <w:tr2bl w:val="nil"/>
                  </w:tcBorders>
                  <w:noWrap w:val="0"/>
                  <w:vAlign w:val="center"/>
                </w:tcPr>
                <w:p w14:paraId="007555A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0.317</w:t>
                  </w:r>
                </w:p>
              </w:tc>
              <w:tc>
                <w:tcPr>
                  <w:tcW w:w="726" w:type="pct"/>
                  <w:tcBorders>
                    <w:tl2br w:val="nil"/>
                    <w:tr2bl w:val="nil"/>
                  </w:tcBorders>
                  <w:noWrap w:val="0"/>
                  <w:vAlign w:val="center"/>
                </w:tcPr>
                <w:p w14:paraId="2536539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583" w:type="pct"/>
                  <w:tcBorders>
                    <w:tl2br w:val="nil"/>
                    <w:tr2bl w:val="nil"/>
                  </w:tcBorders>
                  <w:noWrap w:val="0"/>
                  <w:vAlign w:val="center"/>
                </w:tcPr>
                <w:p w14:paraId="2451101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0.005</w:t>
                  </w:r>
                </w:p>
              </w:tc>
              <w:tc>
                <w:tcPr>
                  <w:tcW w:w="591" w:type="pct"/>
                  <w:tcBorders>
                    <w:tl2br w:val="nil"/>
                    <w:tr2bl w:val="nil"/>
                  </w:tcBorders>
                  <w:noWrap w:val="0"/>
                  <w:vAlign w:val="center"/>
                </w:tcPr>
                <w:p w14:paraId="6B14D1C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0.143</w:t>
                  </w:r>
                </w:p>
              </w:tc>
            </w:tr>
            <w:tr w14:paraId="5E2459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restart"/>
                  <w:tcBorders>
                    <w:tl2br w:val="nil"/>
                    <w:tr2bl w:val="nil"/>
                  </w:tcBorders>
                  <w:noWrap w:val="0"/>
                  <w:vAlign w:val="center"/>
                </w:tcPr>
                <w:p w14:paraId="4EAC9B41">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东侧厂界</w:t>
                  </w:r>
                </w:p>
              </w:tc>
              <w:tc>
                <w:tcPr>
                  <w:tcW w:w="630" w:type="pct"/>
                  <w:tcBorders>
                    <w:tl2br w:val="nil"/>
                    <w:tr2bl w:val="nil"/>
                  </w:tcBorders>
                  <w:noWrap w:val="0"/>
                  <w:vAlign w:val="center"/>
                </w:tcPr>
                <w:p w14:paraId="342D10BF">
                  <w:pPr>
                    <w:pStyle w:val="3"/>
                    <w:bidi w:val="0"/>
                    <w:rPr>
                      <w:rFonts w:hint="default" w:ascii="Times New Roman" w:hAnsi="Times New Roman" w:cs="Times New Roman"/>
                      <w:color w:val="auto"/>
                    </w:rPr>
                  </w:pPr>
                  <w:r>
                    <w:rPr>
                      <w:rFonts w:hint="default" w:ascii="Times New Roman" w:hAnsi="Times New Roman" w:cs="Times New Roman"/>
                      <w:color w:val="auto"/>
                    </w:rPr>
                    <w:t>第一次</w:t>
                  </w:r>
                </w:p>
              </w:tc>
              <w:tc>
                <w:tcPr>
                  <w:tcW w:w="808" w:type="pct"/>
                  <w:tcBorders>
                    <w:tl2br w:val="nil"/>
                    <w:tr2bl w:val="nil"/>
                  </w:tcBorders>
                  <w:noWrap w:val="0"/>
                  <w:vAlign w:val="center"/>
                </w:tcPr>
                <w:p w14:paraId="1E929A2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1.80</w:t>
                  </w:r>
                </w:p>
              </w:tc>
              <w:tc>
                <w:tcPr>
                  <w:tcW w:w="869" w:type="pct"/>
                  <w:tcBorders>
                    <w:tl2br w:val="nil"/>
                    <w:tr2bl w:val="nil"/>
                  </w:tcBorders>
                  <w:noWrap w:val="0"/>
                  <w:vAlign w:val="center"/>
                </w:tcPr>
                <w:p w14:paraId="5672886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0.337</w:t>
                  </w:r>
                </w:p>
              </w:tc>
              <w:tc>
                <w:tcPr>
                  <w:tcW w:w="726" w:type="pct"/>
                  <w:tcBorders>
                    <w:tl2br w:val="nil"/>
                    <w:tr2bl w:val="nil"/>
                  </w:tcBorders>
                  <w:noWrap w:val="0"/>
                  <w:vAlign w:val="center"/>
                </w:tcPr>
                <w:p w14:paraId="2CD3949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11</w:t>
                  </w:r>
                </w:p>
              </w:tc>
              <w:tc>
                <w:tcPr>
                  <w:tcW w:w="583" w:type="pct"/>
                  <w:tcBorders>
                    <w:tl2br w:val="nil"/>
                    <w:tr2bl w:val="nil"/>
                  </w:tcBorders>
                  <w:noWrap w:val="0"/>
                  <w:vAlign w:val="center"/>
                </w:tcPr>
                <w:p w14:paraId="657AC18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7</w:t>
                  </w:r>
                </w:p>
              </w:tc>
              <w:tc>
                <w:tcPr>
                  <w:tcW w:w="591" w:type="pct"/>
                  <w:tcBorders>
                    <w:tl2br w:val="nil"/>
                    <w:tr2bl w:val="nil"/>
                  </w:tcBorders>
                  <w:noWrap w:val="0"/>
                  <w:vAlign w:val="center"/>
                </w:tcPr>
                <w:p w14:paraId="4A3BA8A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0.171</w:t>
                  </w:r>
                </w:p>
              </w:tc>
            </w:tr>
            <w:tr w14:paraId="6666B3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3E7419BE">
                  <w:pPr>
                    <w:pStyle w:val="3"/>
                    <w:bidi w:val="0"/>
                    <w:rPr>
                      <w:rFonts w:hint="default" w:ascii="Times New Roman" w:hAnsi="Times New Roman" w:cs="Times New Roman"/>
                      <w:color w:val="auto"/>
                    </w:rPr>
                  </w:pPr>
                </w:p>
              </w:tc>
              <w:tc>
                <w:tcPr>
                  <w:tcW w:w="630" w:type="pct"/>
                  <w:tcBorders>
                    <w:tl2br w:val="nil"/>
                    <w:tr2bl w:val="nil"/>
                  </w:tcBorders>
                  <w:noWrap w:val="0"/>
                  <w:vAlign w:val="center"/>
                </w:tcPr>
                <w:p w14:paraId="67AD6A01">
                  <w:pPr>
                    <w:pStyle w:val="3"/>
                    <w:bidi w:val="0"/>
                    <w:rPr>
                      <w:rFonts w:hint="default" w:ascii="Times New Roman" w:hAnsi="Times New Roman" w:cs="Times New Roman"/>
                      <w:color w:val="auto"/>
                    </w:rPr>
                  </w:pPr>
                  <w:r>
                    <w:rPr>
                      <w:rFonts w:hint="default" w:ascii="Times New Roman" w:hAnsi="Times New Roman" w:cs="Times New Roman"/>
                      <w:color w:val="auto"/>
                    </w:rPr>
                    <w:t>第二次</w:t>
                  </w:r>
                </w:p>
              </w:tc>
              <w:tc>
                <w:tcPr>
                  <w:tcW w:w="808" w:type="pct"/>
                  <w:tcBorders>
                    <w:tl2br w:val="nil"/>
                    <w:tr2bl w:val="nil"/>
                  </w:tcBorders>
                  <w:noWrap w:val="0"/>
                  <w:vAlign w:val="center"/>
                </w:tcPr>
                <w:p w14:paraId="6197390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1.83</w:t>
                  </w:r>
                </w:p>
              </w:tc>
              <w:tc>
                <w:tcPr>
                  <w:tcW w:w="869" w:type="pct"/>
                  <w:tcBorders>
                    <w:tl2br w:val="nil"/>
                    <w:tr2bl w:val="nil"/>
                  </w:tcBorders>
                  <w:noWrap w:val="0"/>
                  <w:vAlign w:val="center"/>
                </w:tcPr>
                <w:p w14:paraId="6796306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0.314</w:t>
                  </w:r>
                </w:p>
              </w:tc>
              <w:tc>
                <w:tcPr>
                  <w:tcW w:w="726" w:type="pct"/>
                  <w:tcBorders>
                    <w:tl2br w:val="nil"/>
                    <w:tr2bl w:val="nil"/>
                  </w:tcBorders>
                  <w:noWrap w:val="0"/>
                  <w:vAlign w:val="center"/>
                </w:tcPr>
                <w:p w14:paraId="7118A4E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14</w:t>
                  </w:r>
                </w:p>
              </w:tc>
              <w:tc>
                <w:tcPr>
                  <w:tcW w:w="583" w:type="pct"/>
                  <w:tcBorders>
                    <w:tl2br w:val="nil"/>
                    <w:tr2bl w:val="nil"/>
                  </w:tcBorders>
                  <w:noWrap w:val="0"/>
                  <w:vAlign w:val="center"/>
                </w:tcPr>
                <w:p w14:paraId="345D3A0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7</w:t>
                  </w:r>
                </w:p>
              </w:tc>
              <w:tc>
                <w:tcPr>
                  <w:tcW w:w="591" w:type="pct"/>
                  <w:tcBorders>
                    <w:tl2br w:val="nil"/>
                    <w:tr2bl w:val="nil"/>
                  </w:tcBorders>
                  <w:noWrap w:val="0"/>
                  <w:vAlign w:val="center"/>
                </w:tcPr>
                <w:p w14:paraId="1C7D101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0.176</w:t>
                  </w:r>
                </w:p>
              </w:tc>
            </w:tr>
            <w:tr w14:paraId="0E8FD0A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0AAF495C">
                  <w:pPr>
                    <w:pStyle w:val="3"/>
                    <w:bidi w:val="0"/>
                    <w:rPr>
                      <w:rFonts w:hint="default" w:ascii="Times New Roman" w:hAnsi="Times New Roman" w:cs="Times New Roman"/>
                      <w:color w:val="auto"/>
                    </w:rPr>
                  </w:pPr>
                </w:p>
              </w:tc>
              <w:tc>
                <w:tcPr>
                  <w:tcW w:w="630" w:type="pct"/>
                  <w:tcBorders>
                    <w:tl2br w:val="nil"/>
                    <w:tr2bl w:val="nil"/>
                  </w:tcBorders>
                  <w:noWrap w:val="0"/>
                  <w:vAlign w:val="center"/>
                </w:tcPr>
                <w:p w14:paraId="2C5BA95D">
                  <w:pPr>
                    <w:pStyle w:val="3"/>
                    <w:bidi w:val="0"/>
                    <w:rPr>
                      <w:rFonts w:hint="default" w:ascii="Times New Roman" w:hAnsi="Times New Roman" w:cs="Times New Roman"/>
                      <w:color w:val="auto"/>
                    </w:rPr>
                  </w:pPr>
                  <w:r>
                    <w:rPr>
                      <w:rFonts w:hint="default" w:ascii="Times New Roman" w:hAnsi="Times New Roman" w:cs="Times New Roman"/>
                      <w:color w:val="auto"/>
                    </w:rPr>
                    <w:t>第三次</w:t>
                  </w:r>
                </w:p>
              </w:tc>
              <w:tc>
                <w:tcPr>
                  <w:tcW w:w="808" w:type="pct"/>
                  <w:tcBorders>
                    <w:tl2br w:val="nil"/>
                    <w:tr2bl w:val="nil"/>
                  </w:tcBorders>
                  <w:noWrap w:val="0"/>
                  <w:vAlign w:val="center"/>
                </w:tcPr>
                <w:p w14:paraId="2AD9B35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1.86</w:t>
                  </w:r>
                </w:p>
              </w:tc>
              <w:tc>
                <w:tcPr>
                  <w:tcW w:w="869" w:type="pct"/>
                  <w:tcBorders>
                    <w:tl2br w:val="nil"/>
                    <w:tr2bl w:val="nil"/>
                  </w:tcBorders>
                  <w:noWrap w:val="0"/>
                  <w:vAlign w:val="center"/>
                </w:tcPr>
                <w:p w14:paraId="29BF990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0.333</w:t>
                  </w:r>
                </w:p>
              </w:tc>
              <w:tc>
                <w:tcPr>
                  <w:tcW w:w="726" w:type="pct"/>
                  <w:tcBorders>
                    <w:tl2br w:val="nil"/>
                    <w:tr2bl w:val="nil"/>
                  </w:tcBorders>
                  <w:noWrap w:val="0"/>
                  <w:vAlign w:val="center"/>
                </w:tcPr>
                <w:p w14:paraId="298B8B7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13</w:t>
                  </w:r>
                </w:p>
              </w:tc>
              <w:tc>
                <w:tcPr>
                  <w:tcW w:w="583" w:type="pct"/>
                  <w:tcBorders>
                    <w:tl2br w:val="nil"/>
                    <w:tr2bl w:val="nil"/>
                  </w:tcBorders>
                  <w:noWrap w:val="0"/>
                  <w:vAlign w:val="center"/>
                </w:tcPr>
                <w:p w14:paraId="10C505F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8</w:t>
                  </w:r>
                </w:p>
              </w:tc>
              <w:tc>
                <w:tcPr>
                  <w:tcW w:w="591" w:type="pct"/>
                  <w:tcBorders>
                    <w:tl2br w:val="nil"/>
                    <w:tr2bl w:val="nil"/>
                  </w:tcBorders>
                  <w:noWrap w:val="0"/>
                  <w:vAlign w:val="center"/>
                </w:tcPr>
                <w:p w14:paraId="6DB799C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0.169</w:t>
                  </w:r>
                </w:p>
              </w:tc>
            </w:tr>
            <w:tr w14:paraId="7EC52F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restart"/>
                  <w:tcBorders>
                    <w:tl2br w:val="nil"/>
                    <w:tr2bl w:val="nil"/>
                  </w:tcBorders>
                  <w:noWrap w:val="0"/>
                  <w:vAlign w:val="center"/>
                </w:tcPr>
                <w:p w14:paraId="2A344B4A">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南侧厂界</w:t>
                  </w:r>
                </w:p>
              </w:tc>
              <w:tc>
                <w:tcPr>
                  <w:tcW w:w="630" w:type="pct"/>
                  <w:tcBorders>
                    <w:tl2br w:val="nil"/>
                    <w:tr2bl w:val="nil"/>
                  </w:tcBorders>
                  <w:noWrap w:val="0"/>
                  <w:vAlign w:val="center"/>
                </w:tcPr>
                <w:p w14:paraId="626ABF3E">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第一次</w:t>
                  </w:r>
                </w:p>
              </w:tc>
              <w:tc>
                <w:tcPr>
                  <w:tcW w:w="808" w:type="pct"/>
                  <w:tcBorders>
                    <w:tl2br w:val="nil"/>
                    <w:tr2bl w:val="nil"/>
                  </w:tcBorders>
                  <w:noWrap w:val="0"/>
                  <w:vAlign w:val="center"/>
                </w:tcPr>
                <w:p w14:paraId="21FA07B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1.62</w:t>
                  </w:r>
                </w:p>
              </w:tc>
              <w:tc>
                <w:tcPr>
                  <w:tcW w:w="869" w:type="pct"/>
                  <w:tcBorders>
                    <w:tl2br w:val="nil"/>
                    <w:tr2bl w:val="nil"/>
                  </w:tcBorders>
                  <w:noWrap w:val="0"/>
                  <w:vAlign w:val="center"/>
                </w:tcPr>
                <w:p w14:paraId="19F0056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0.302</w:t>
                  </w:r>
                </w:p>
              </w:tc>
              <w:tc>
                <w:tcPr>
                  <w:tcW w:w="726" w:type="pct"/>
                  <w:tcBorders>
                    <w:tl2br w:val="nil"/>
                    <w:tr2bl w:val="nil"/>
                  </w:tcBorders>
                  <w:noWrap w:val="0"/>
                  <w:vAlign w:val="center"/>
                </w:tcPr>
                <w:p w14:paraId="01EB196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16</w:t>
                  </w:r>
                </w:p>
              </w:tc>
              <w:tc>
                <w:tcPr>
                  <w:tcW w:w="946" w:type="dxa"/>
                  <w:tcBorders>
                    <w:tl2br w:val="nil"/>
                    <w:tr2bl w:val="nil"/>
                  </w:tcBorders>
                  <w:noWrap w:val="0"/>
                  <w:vAlign w:val="center"/>
                </w:tcPr>
                <w:p w14:paraId="412ABBAE">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9</w:t>
                  </w:r>
                </w:p>
              </w:tc>
              <w:tc>
                <w:tcPr>
                  <w:tcW w:w="591" w:type="pct"/>
                  <w:tcBorders>
                    <w:tl2br w:val="nil"/>
                    <w:tr2bl w:val="nil"/>
                  </w:tcBorders>
                  <w:noWrap w:val="0"/>
                  <w:vAlign w:val="center"/>
                </w:tcPr>
                <w:p w14:paraId="0A0A0C8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0.191</w:t>
                  </w:r>
                </w:p>
              </w:tc>
            </w:tr>
            <w:tr w14:paraId="380840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750FBC0A">
                  <w:pPr>
                    <w:pStyle w:val="3"/>
                    <w:bidi w:val="0"/>
                    <w:rPr>
                      <w:rFonts w:hint="default" w:ascii="Times New Roman" w:hAnsi="Times New Roman" w:cs="Times New Roman"/>
                      <w:color w:val="auto"/>
                    </w:rPr>
                  </w:pPr>
                </w:p>
              </w:tc>
              <w:tc>
                <w:tcPr>
                  <w:tcW w:w="630" w:type="pct"/>
                  <w:tcBorders>
                    <w:tl2br w:val="nil"/>
                    <w:tr2bl w:val="nil"/>
                  </w:tcBorders>
                  <w:noWrap w:val="0"/>
                  <w:vAlign w:val="center"/>
                </w:tcPr>
                <w:p w14:paraId="7EC0F16A">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第二次</w:t>
                  </w:r>
                </w:p>
              </w:tc>
              <w:tc>
                <w:tcPr>
                  <w:tcW w:w="808" w:type="pct"/>
                  <w:tcBorders>
                    <w:tl2br w:val="nil"/>
                    <w:tr2bl w:val="nil"/>
                  </w:tcBorders>
                  <w:noWrap w:val="0"/>
                  <w:vAlign w:val="center"/>
                </w:tcPr>
                <w:p w14:paraId="172423C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1.77</w:t>
                  </w:r>
                </w:p>
              </w:tc>
              <w:tc>
                <w:tcPr>
                  <w:tcW w:w="869" w:type="pct"/>
                  <w:tcBorders>
                    <w:tl2br w:val="nil"/>
                    <w:tr2bl w:val="nil"/>
                  </w:tcBorders>
                  <w:noWrap w:val="0"/>
                  <w:vAlign w:val="center"/>
                </w:tcPr>
                <w:p w14:paraId="60FEE0D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0.333</w:t>
                  </w:r>
                </w:p>
              </w:tc>
              <w:tc>
                <w:tcPr>
                  <w:tcW w:w="726" w:type="pct"/>
                  <w:tcBorders>
                    <w:tl2br w:val="nil"/>
                    <w:tr2bl w:val="nil"/>
                  </w:tcBorders>
                  <w:noWrap w:val="0"/>
                  <w:vAlign w:val="center"/>
                </w:tcPr>
                <w:p w14:paraId="470526A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15</w:t>
                  </w:r>
                </w:p>
              </w:tc>
              <w:tc>
                <w:tcPr>
                  <w:tcW w:w="946" w:type="dxa"/>
                  <w:tcBorders>
                    <w:tl2br w:val="nil"/>
                    <w:tr2bl w:val="nil"/>
                  </w:tcBorders>
                  <w:noWrap w:val="0"/>
                  <w:vAlign w:val="center"/>
                </w:tcPr>
                <w:p w14:paraId="4D2FEC9D">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8</w:t>
                  </w:r>
                </w:p>
              </w:tc>
              <w:tc>
                <w:tcPr>
                  <w:tcW w:w="591" w:type="pct"/>
                  <w:tcBorders>
                    <w:tl2br w:val="nil"/>
                    <w:tr2bl w:val="nil"/>
                  </w:tcBorders>
                  <w:noWrap w:val="0"/>
                  <w:vAlign w:val="center"/>
                </w:tcPr>
                <w:p w14:paraId="7F9727A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0.178</w:t>
                  </w:r>
                </w:p>
              </w:tc>
            </w:tr>
            <w:tr w14:paraId="58BF41D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pct"/>
                  <w:vMerge w:val="continue"/>
                  <w:tcBorders>
                    <w:tl2br w:val="nil"/>
                    <w:tr2bl w:val="nil"/>
                  </w:tcBorders>
                  <w:noWrap w:val="0"/>
                  <w:vAlign w:val="center"/>
                </w:tcPr>
                <w:p w14:paraId="3A3B31A3">
                  <w:pPr>
                    <w:pStyle w:val="3"/>
                    <w:bidi w:val="0"/>
                    <w:rPr>
                      <w:rFonts w:hint="default" w:ascii="Times New Roman" w:hAnsi="Times New Roman" w:cs="Times New Roman"/>
                      <w:color w:val="auto"/>
                    </w:rPr>
                  </w:pPr>
                </w:p>
              </w:tc>
              <w:tc>
                <w:tcPr>
                  <w:tcW w:w="630" w:type="pct"/>
                  <w:tcBorders>
                    <w:tl2br w:val="nil"/>
                    <w:tr2bl w:val="nil"/>
                  </w:tcBorders>
                  <w:noWrap w:val="0"/>
                  <w:vAlign w:val="center"/>
                </w:tcPr>
                <w:p w14:paraId="2DC46A4A">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第三次</w:t>
                  </w:r>
                </w:p>
              </w:tc>
              <w:tc>
                <w:tcPr>
                  <w:tcW w:w="808" w:type="pct"/>
                  <w:tcBorders>
                    <w:tl2br w:val="nil"/>
                    <w:tr2bl w:val="nil"/>
                  </w:tcBorders>
                  <w:noWrap w:val="0"/>
                  <w:vAlign w:val="center"/>
                </w:tcPr>
                <w:p w14:paraId="0607F7E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2.23</w:t>
                  </w:r>
                </w:p>
              </w:tc>
              <w:tc>
                <w:tcPr>
                  <w:tcW w:w="869" w:type="pct"/>
                  <w:tcBorders>
                    <w:tl2br w:val="nil"/>
                    <w:tr2bl w:val="nil"/>
                  </w:tcBorders>
                  <w:noWrap w:val="0"/>
                  <w:vAlign w:val="center"/>
                </w:tcPr>
                <w:p w14:paraId="120B427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0.358</w:t>
                  </w:r>
                </w:p>
              </w:tc>
              <w:tc>
                <w:tcPr>
                  <w:tcW w:w="726" w:type="pct"/>
                  <w:tcBorders>
                    <w:tl2br w:val="nil"/>
                    <w:tr2bl w:val="nil"/>
                  </w:tcBorders>
                  <w:noWrap w:val="0"/>
                  <w:vAlign w:val="center"/>
                </w:tcPr>
                <w:p w14:paraId="7FA2897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w:t>
                  </w:r>
                </w:p>
              </w:tc>
              <w:tc>
                <w:tcPr>
                  <w:tcW w:w="946" w:type="dxa"/>
                  <w:tcBorders>
                    <w:tl2br w:val="nil"/>
                    <w:tr2bl w:val="nil"/>
                  </w:tcBorders>
                  <w:noWrap w:val="0"/>
                  <w:vAlign w:val="center"/>
                </w:tcPr>
                <w:p w14:paraId="72EC2083">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w:t>
                  </w:r>
                  <w:r>
                    <w:rPr>
                      <w:rFonts w:hint="eastAsia" w:ascii="Times New Roman" w:hAnsi="Times New Roman" w:cs="Times New Roman"/>
                      <w:color w:val="auto"/>
                      <w:lang w:val="en-US" w:eastAsia="zh-CN"/>
                    </w:rPr>
                    <w:t>9</w:t>
                  </w:r>
                </w:p>
              </w:tc>
              <w:tc>
                <w:tcPr>
                  <w:tcW w:w="591" w:type="pct"/>
                  <w:tcBorders>
                    <w:tl2br w:val="nil"/>
                    <w:tr2bl w:val="nil"/>
                  </w:tcBorders>
                  <w:noWrap w:val="0"/>
                  <w:vAlign w:val="center"/>
                </w:tcPr>
                <w:p w14:paraId="6B01DA3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0.187</w:t>
                  </w:r>
                </w:p>
              </w:tc>
            </w:tr>
            <w:tr w14:paraId="2B4BE2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noWrap w:val="0"/>
                  <w:vAlign w:val="center"/>
                </w:tcPr>
                <w:p w14:paraId="06DA5D98">
                  <w:pPr>
                    <w:pStyle w:val="3"/>
                    <w:bidi w:val="0"/>
                    <w:rPr>
                      <w:rFonts w:hint="default" w:ascii="Times New Roman" w:hAnsi="Times New Roman" w:cs="Times New Roman"/>
                      <w:color w:val="auto"/>
                    </w:rPr>
                  </w:pPr>
                  <w:r>
                    <w:rPr>
                      <w:rFonts w:hint="default" w:ascii="Times New Roman" w:hAnsi="Times New Roman" w:cs="Times New Roman"/>
                      <w:color w:val="auto"/>
                    </w:rPr>
                    <w:t>标准限值</w:t>
                  </w:r>
                </w:p>
              </w:tc>
              <w:tc>
                <w:tcPr>
                  <w:tcW w:w="4210" w:type="pct"/>
                  <w:gridSpan w:val="6"/>
                  <w:tcBorders>
                    <w:tl2br w:val="nil"/>
                    <w:tr2bl w:val="nil"/>
                  </w:tcBorders>
                  <w:noWrap w:val="0"/>
                  <w:vAlign w:val="center"/>
                </w:tcPr>
                <w:p w14:paraId="79A4C77B">
                  <w:pPr>
                    <w:pStyle w:val="3"/>
                    <w:bidi w:val="0"/>
                    <w:jc w:val="both"/>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非甲烷总烃</w:t>
                  </w:r>
                  <w:r>
                    <w:rPr>
                      <w:rFonts w:hint="default" w:ascii="Times New Roman" w:hAnsi="Times New Roman" w:cs="Times New Roman"/>
                      <w:color w:val="auto"/>
                    </w:rPr>
                    <w:t>：</w:t>
                  </w:r>
                  <w:r>
                    <w:rPr>
                      <w:rFonts w:hint="default" w:ascii="Times New Roman" w:hAnsi="Times New Roman" w:cs="Times New Roman"/>
                      <w:color w:val="auto"/>
                      <w:lang w:val="en-US" w:eastAsia="zh-CN"/>
                    </w:rPr>
                    <w:t>4.0m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r>
                    <w:rPr>
                      <w:rFonts w:hint="default" w:ascii="Times New Roman" w:hAnsi="Times New Roman" w:cs="Times New Roman"/>
                      <w:color w:val="auto"/>
                      <w:lang w:eastAsia="zh-CN"/>
                    </w:rPr>
                    <w:t>，颗粒物：</w:t>
                  </w:r>
                  <w:r>
                    <w:rPr>
                      <w:rFonts w:hint="eastAsia" w:ascii="Times New Roman" w:hAnsi="Times New Roman" w:cs="Times New Roman"/>
                      <w:color w:val="auto"/>
                      <w:lang w:val="en-US" w:eastAsia="zh-CN"/>
                    </w:rPr>
                    <w:t>1.0m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r>
                    <w:rPr>
                      <w:rFonts w:hint="default" w:ascii="Times New Roman" w:hAnsi="Times New Roman" w:cs="Times New Roman"/>
                      <w:color w:val="auto"/>
                      <w:lang w:eastAsia="zh-CN"/>
                    </w:rPr>
                    <w:t>，臭气浓度：</w:t>
                  </w:r>
                  <w:r>
                    <w:rPr>
                      <w:rFonts w:hint="default" w:ascii="Times New Roman" w:hAnsi="Times New Roman" w:cs="Times New Roman"/>
                      <w:color w:val="auto"/>
                      <w:lang w:val="en-US" w:eastAsia="zh-CN"/>
                    </w:rPr>
                    <w:t>20</w:t>
                  </w:r>
                  <w:r>
                    <w:rPr>
                      <w:rFonts w:hint="default" w:ascii="Times New Roman" w:hAnsi="Times New Roman" w:cs="Times New Roman"/>
                      <w:color w:val="auto"/>
                      <w:lang w:eastAsia="zh-CN"/>
                    </w:rPr>
                    <w:t>（无量纲），氨：</w:t>
                  </w:r>
                  <w:r>
                    <w:rPr>
                      <w:rFonts w:hint="default" w:ascii="Times New Roman" w:hAnsi="Times New Roman" w:cs="Times New Roman"/>
                      <w:color w:val="auto"/>
                      <w:lang w:val="en-US" w:eastAsia="zh-CN"/>
                    </w:rPr>
                    <w:t>1.5m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r>
                    <w:rPr>
                      <w:rFonts w:hint="default" w:ascii="Times New Roman" w:hAnsi="Times New Roman" w:cs="Times New Roman"/>
                      <w:color w:val="auto"/>
                      <w:lang w:eastAsia="zh-CN"/>
                    </w:rPr>
                    <w:t>，硫化氢：</w:t>
                  </w:r>
                  <w:r>
                    <w:rPr>
                      <w:rFonts w:hint="default" w:ascii="Times New Roman" w:hAnsi="Times New Roman" w:cs="Times New Roman"/>
                      <w:color w:val="auto"/>
                      <w:lang w:val="en-US" w:eastAsia="zh-CN"/>
                    </w:rPr>
                    <w:t>0.06m</w:t>
                  </w:r>
                  <w:r>
                    <w:rPr>
                      <w:rFonts w:hint="default" w:ascii="Times New Roman" w:hAnsi="Times New Roman" w:cs="Times New Roman"/>
                      <w:color w:val="auto"/>
                    </w:rPr>
                    <w:t>g/m</w:t>
                  </w:r>
                  <w:r>
                    <w:rPr>
                      <w:rFonts w:hint="default" w:ascii="Times New Roman" w:hAnsi="Times New Roman" w:cs="Times New Roman"/>
                      <w:color w:val="auto"/>
                      <w:vertAlign w:val="superscript"/>
                    </w:rPr>
                    <w:t>3</w:t>
                  </w:r>
                </w:p>
              </w:tc>
            </w:tr>
            <w:tr w14:paraId="2B2D69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pct"/>
                  <w:tcBorders>
                    <w:tl2br w:val="nil"/>
                    <w:tr2bl w:val="nil"/>
                  </w:tcBorders>
                  <w:noWrap w:val="0"/>
                  <w:vAlign w:val="center"/>
                </w:tcPr>
                <w:p w14:paraId="08E8C919">
                  <w:pPr>
                    <w:pStyle w:val="3"/>
                    <w:bidi w:val="0"/>
                    <w:rPr>
                      <w:rFonts w:hint="default" w:ascii="Times New Roman" w:hAnsi="Times New Roman" w:cs="Times New Roman"/>
                      <w:color w:val="auto"/>
                    </w:rPr>
                  </w:pPr>
                  <w:r>
                    <w:rPr>
                      <w:rFonts w:hint="default" w:ascii="Times New Roman" w:hAnsi="Times New Roman" w:cs="Times New Roman"/>
                      <w:color w:val="auto"/>
                    </w:rPr>
                    <w:t>标准依据</w:t>
                  </w:r>
                </w:p>
              </w:tc>
              <w:tc>
                <w:tcPr>
                  <w:tcW w:w="4210" w:type="pct"/>
                  <w:gridSpan w:val="6"/>
                  <w:tcBorders>
                    <w:tl2br w:val="nil"/>
                    <w:tr2bl w:val="nil"/>
                  </w:tcBorders>
                  <w:noWrap w:val="0"/>
                  <w:vAlign w:val="center"/>
                </w:tcPr>
                <w:p w14:paraId="0FCA43F1">
                  <w:pPr>
                    <w:pStyle w:val="3"/>
                    <w:bidi w:val="0"/>
                    <w:jc w:val="both"/>
                    <w:rPr>
                      <w:rFonts w:hint="default" w:ascii="Times New Roman" w:hAnsi="Times New Roman" w:cs="Times New Roman"/>
                      <w:color w:val="auto"/>
                      <w:lang w:val="en-US"/>
                    </w:rPr>
                  </w:pPr>
                  <w:r>
                    <w:rPr>
                      <w:rFonts w:hint="default" w:ascii="Times New Roman" w:hAnsi="Times New Roman" w:cs="Times New Roman"/>
                      <w:color w:val="auto"/>
                      <w:lang w:eastAsia="zh-CN"/>
                    </w:rPr>
                    <w:t>总悬浮颗粒物、</w:t>
                  </w:r>
                  <w:r>
                    <w:rPr>
                      <w:rFonts w:hint="default" w:ascii="Times New Roman" w:hAnsi="Times New Roman" w:cs="Times New Roman"/>
                      <w:color w:val="auto"/>
                      <w:lang w:val="en-US" w:eastAsia="zh-CN"/>
                    </w:rPr>
                    <w:t>非甲烷总烃</w:t>
                  </w:r>
                  <w:r>
                    <w:rPr>
                      <w:rFonts w:hint="default" w:ascii="Times New Roman" w:hAnsi="Times New Roman" w:cs="Times New Roman"/>
                      <w:color w:val="auto"/>
                      <w:lang w:eastAsia="zh-CN"/>
                    </w:rPr>
                    <w:t>执行</w:t>
                  </w:r>
                  <w:r>
                    <w:rPr>
                      <w:rFonts w:hint="default" w:ascii="Times New Roman" w:hAnsi="Times New Roman" w:cs="Times New Roman"/>
                      <w:color w:val="auto"/>
                    </w:rPr>
                    <w:t>《</w:t>
                  </w:r>
                  <w:r>
                    <w:rPr>
                      <w:rFonts w:hint="default" w:ascii="Times New Roman" w:hAnsi="Times New Roman" w:cs="Times New Roman"/>
                      <w:color w:val="auto"/>
                      <w:lang w:eastAsia="zh-CN"/>
                    </w:rPr>
                    <w:t>大气污染物综合排放标准</w:t>
                  </w:r>
                  <w:r>
                    <w:rPr>
                      <w:rFonts w:hint="default" w:ascii="Times New Roman" w:hAnsi="Times New Roman" w:cs="Times New Roman"/>
                      <w:color w:val="auto"/>
                    </w:rPr>
                    <w:t>》（</w:t>
                  </w:r>
                  <w:r>
                    <w:rPr>
                      <w:rFonts w:hint="default" w:ascii="Times New Roman" w:hAnsi="Times New Roman" w:cs="Times New Roman"/>
                      <w:color w:val="auto"/>
                      <w:lang w:val="en-US" w:eastAsia="zh-CN"/>
                    </w:rPr>
                    <w:t>DB 50/418-2016</w:t>
                  </w:r>
                  <w:r>
                    <w:rPr>
                      <w:rFonts w:hint="default" w:ascii="Times New Roman" w:hAnsi="Times New Roman" w:cs="Times New Roman"/>
                      <w:color w:val="auto"/>
                    </w:rPr>
                    <w:t>）</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硫化氢、氨、臭气浓度执行</w:t>
                  </w:r>
                  <w:r>
                    <w:rPr>
                      <w:rFonts w:hint="default" w:ascii="Times New Roman" w:hAnsi="Times New Roman" w:cs="Times New Roman"/>
                      <w:color w:val="auto"/>
                    </w:rPr>
                    <w:t>《</w:t>
                  </w:r>
                  <w:r>
                    <w:rPr>
                      <w:rFonts w:hint="default" w:ascii="Times New Roman" w:hAnsi="Times New Roman" w:cs="Times New Roman"/>
                      <w:color w:val="auto"/>
                      <w:lang w:eastAsia="zh-CN"/>
                    </w:rPr>
                    <w:t>恶臭污染物排放标准</w:t>
                  </w:r>
                  <w:r>
                    <w:rPr>
                      <w:rFonts w:hint="default" w:ascii="Times New Roman" w:hAnsi="Times New Roman" w:cs="Times New Roman"/>
                      <w:color w:val="auto"/>
                    </w:rPr>
                    <w:t>》（</w:t>
                  </w:r>
                  <w:r>
                    <w:rPr>
                      <w:rFonts w:hint="default" w:ascii="Times New Roman" w:hAnsi="Times New Roman" w:cs="Times New Roman"/>
                      <w:color w:val="auto"/>
                      <w:lang w:val="en-US" w:eastAsia="zh-CN"/>
                    </w:rPr>
                    <w:t>GB/T 14554-1993</w:t>
                  </w:r>
                  <w:r>
                    <w:rPr>
                      <w:rFonts w:hint="default" w:ascii="Times New Roman" w:hAnsi="Times New Roman" w:cs="Times New Roman"/>
                      <w:color w:val="auto"/>
                    </w:rPr>
                    <w:t>）</w:t>
                  </w:r>
                </w:p>
              </w:tc>
            </w:tr>
          </w:tbl>
          <w:p w14:paraId="40DBA977">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color w:val="auto"/>
                <w:sz w:val="24"/>
                <w:szCs w:val="24"/>
                <w:lang w:val="en-US" w:eastAsia="zh-CN" w:bidi="ar"/>
              </w:rPr>
              <w:t>由表2.</w:t>
            </w:r>
            <w:r>
              <w:rPr>
                <w:rFonts w:hint="eastAsia" w:ascii="Times New Roman" w:eastAsia="宋体" w:cs="Times New Roman"/>
                <w:color w:val="auto"/>
                <w:sz w:val="24"/>
                <w:szCs w:val="24"/>
                <w:lang w:val="en-US" w:eastAsia="zh-CN" w:bidi="ar"/>
              </w:rPr>
              <w:t>7-11</w:t>
            </w:r>
            <w:r>
              <w:rPr>
                <w:rFonts w:hint="default" w:ascii="Times New Roman" w:hAnsi="Times New Roman" w:eastAsia="宋体" w:cs="Times New Roman"/>
                <w:color w:val="auto"/>
                <w:sz w:val="24"/>
                <w:szCs w:val="24"/>
                <w:lang w:val="en-US" w:eastAsia="zh-CN" w:bidi="ar"/>
              </w:rPr>
              <w:t>可知：现有工程</w:t>
            </w:r>
            <w:r>
              <w:rPr>
                <w:rFonts w:hint="default" w:ascii="Times New Roman" w:hAnsi="Times New Roman" w:eastAsia="宋体" w:cs="Times New Roman"/>
                <w:b w:val="0"/>
                <w:bCs/>
                <w:color w:val="auto"/>
                <w:sz w:val="24"/>
                <w:szCs w:val="24"/>
                <w:highlight w:val="none"/>
                <w:lang w:eastAsia="zh-CN"/>
              </w:rPr>
              <w:t>颗粒物、</w:t>
            </w:r>
            <w:r>
              <w:rPr>
                <w:rFonts w:hint="default" w:ascii="Times New Roman" w:hAnsi="Times New Roman" w:eastAsia="宋体" w:cs="Times New Roman"/>
                <w:b w:val="0"/>
                <w:bCs/>
                <w:color w:val="auto"/>
                <w:sz w:val="24"/>
                <w:szCs w:val="24"/>
                <w:highlight w:val="none"/>
                <w:lang w:val="en-US" w:eastAsia="zh-CN"/>
              </w:rPr>
              <w:t>非甲烷总烃无组织排放浓度满足</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eastAsia="zh-CN"/>
              </w:rPr>
              <w:t>大气污染物综合排放标准</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val="en-US" w:eastAsia="zh-CN"/>
              </w:rPr>
              <w:t>DB50/418-2016</w:t>
            </w:r>
            <w:r>
              <w:rPr>
                <w:rFonts w:hint="default" w:ascii="Times New Roman" w:hAnsi="Times New Roman" w:eastAsia="宋体" w:cs="Times New Roman"/>
                <w:b w:val="0"/>
                <w:bCs/>
                <w:color w:val="auto"/>
                <w:sz w:val="24"/>
                <w:szCs w:val="24"/>
                <w:highlight w:val="none"/>
              </w:rPr>
              <w:t>）</w:t>
            </w:r>
            <w:r>
              <w:rPr>
                <w:rFonts w:hint="eastAsia" w:ascii="Times New Roman" w:eastAsia="宋体" w:cs="Times New Roman"/>
                <w:b w:val="0"/>
                <w:bCs/>
                <w:color w:val="auto"/>
                <w:sz w:val="24"/>
                <w:szCs w:val="24"/>
                <w:highlight w:val="none"/>
                <w:lang w:eastAsia="zh-CN"/>
              </w:rPr>
              <w:t>标准要求</w:t>
            </w:r>
            <w:r>
              <w:rPr>
                <w:rFonts w:hint="default" w:ascii="Times New Roman" w:hAnsi="Times New Roman" w:eastAsia="宋体" w:cs="Times New Roman"/>
                <w:b w:val="0"/>
                <w:bCs/>
                <w:color w:val="auto"/>
                <w:sz w:val="24"/>
                <w:szCs w:val="24"/>
                <w:highlight w:val="none"/>
                <w:lang w:val="en-US" w:eastAsia="zh-CN"/>
              </w:rPr>
              <w:t>；</w:t>
            </w:r>
            <w:r>
              <w:rPr>
                <w:rFonts w:hint="default" w:ascii="Times New Roman" w:hAnsi="Times New Roman" w:eastAsia="宋体" w:cs="Times New Roman"/>
                <w:b w:val="0"/>
                <w:bCs/>
                <w:color w:val="auto"/>
                <w:sz w:val="24"/>
                <w:szCs w:val="24"/>
                <w:highlight w:val="none"/>
                <w:lang w:eastAsia="zh-CN"/>
              </w:rPr>
              <w:t>硫化氢、氨、臭气</w:t>
            </w:r>
            <w:r>
              <w:rPr>
                <w:rFonts w:hint="eastAsia" w:ascii="Times New Roman" w:eastAsia="宋体" w:cs="Times New Roman"/>
                <w:b w:val="0"/>
                <w:bCs/>
                <w:color w:val="auto"/>
                <w:sz w:val="24"/>
                <w:szCs w:val="24"/>
                <w:highlight w:val="none"/>
                <w:lang w:eastAsia="zh-CN"/>
              </w:rPr>
              <w:t>浓度</w:t>
            </w:r>
            <w:r>
              <w:rPr>
                <w:rFonts w:hint="default" w:ascii="Times New Roman" w:hAnsi="Times New Roman" w:eastAsia="宋体" w:cs="Times New Roman"/>
                <w:b w:val="0"/>
                <w:bCs/>
                <w:color w:val="auto"/>
                <w:sz w:val="24"/>
                <w:szCs w:val="24"/>
                <w:highlight w:val="none"/>
                <w:lang w:eastAsia="zh-CN"/>
              </w:rPr>
              <w:t>无组织排放浓度满足</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eastAsia="zh-CN"/>
              </w:rPr>
              <w:t>恶臭污染物排放标准</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val="en-US" w:eastAsia="zh-CN"/>
              </w:rPr>
              <w:t>GB/T 14554-1993</w:t>
            </w:r>
            <w:r>
              <w:rPr>
                <w:rFonts w:hint="default" w:ascii="Times New Roman" w:hAnsi="Times New Roman" w:eastAsia="宋体" w:cs="Times New Roman"/>
                <w:b w:val="0"/>
                <w:bCs/>
                <w:color w:val="auto"/>
                <w:sz w:val="24"/>
                <w:szCs w:val="24"/>
                <w:highlight w:val="none"/>
              </w:rPr>
              <w:t>）</w:t>
            </w:r>
            <w:r>
              <w:rPr>
                <w:rFonts w:hint="eastAsia" w:ascii="Times New Roman" w:eastAsia="宋体" w:cs="Times New Roman"/>
                <w:b w:val="0"/>
                <w:bCs/>
                <w:color w:val="auto"/>
                <w:sz w:val="24"/>
                <w:szCs w:val="24"/>
                <w:highlight w:val="none"/>
                <w:lang w:eastAsia="zh-CN"/>
              </w:rPr>
              <w:t>的标准要求</w:t>
            </w:r>
            <w:r>
              <w:rPr>
                <w:rFonts w:hint="eastAsia" w:ascii="Times New Roman" w:hAnsi="Times New Roman" w:eastAsia="宋体" w:cs="Times New Roman"/>
                <w:b w:val="0"/>
                <w:bCs/>
                <w:color w:val="auto"/>
                <w:sz w:val="24"/>
                <w:szCs w:val="24"/>
                <w:highlight w:val="none"/>
                <w:lang w:eastAsia="zh-CN"/>
              </w:rPr>
              <w:t>。</w:t>
            </w:r>
          </w:p>
          <w:p w14:paraId="582FA451">
            <w:pPr>
              <w:spacing w:line="360" w:lineRule="auto"/>
              <w:ind w:left="0" w:leftChars="0" w:firstLine="480" w:firstLineChars="200"/>
              <w:jc w:val="both"/>
              <w:rPr>
                <w:rFonts w:hint="default" w:ascii="Times New Roman" w:hAnsi="Times New Roman" w:cs="Times New Roman"/>
                <w:color w:val="auto"/>
              </w:rPr>
            </w:pPr>
            <w:r>
              <w:rPr>
                <w:rFonts w:hint="eastAsia" w:cs="Times New Roman"/>
                <w:b w:val="0"/>
                <w:bCs/>
                <w:color w:val="auto"/>
                <w:sz w:val="24"/>
                <w:szCs w:val="24"/>
                <w:highlight w:val="none"/>
                <w:lang w:eastAsia="zh-CN"/>
              </w:rPr>
              <w:t>根据《重庆市涪陵区龙桥镇中粮油脂（重庆）有限公司</w:t>
            </w:r>
            <w:r>
              <w:rPr>
                <w:rFonts w:hint="eastAsia" w:cs="Times New Roman"/>
                <w:b w:val="0"/>
                <w:bCs/>
                <w:color w:val="auto"/>
                <w:sz w:val="24"/>
                <w:szCs w:val="24"/>
                <w:highlight w:val="none"/>
                <w:lang w:val="en-US" w:eastAsia="zh-CN"/>
              </w:rPr>
              <w:t>2020年技改项目环境影响报告表</w:t>
            </w:r>
            <w:r>
              <w:rPr>
                <w:rFonts w:hint="eastAsia" w:cs="Times New Roman"/>
                <w:b w:val="0"/>
                <w:bCs/>
                <w:color w:val="auto"/>
                <w:sz w:val="24"/>
                <w:szCs w:val="24"/>
                <w:highlight w:val="none"/>
                <w:lang w:eastAsia="zh-CN"/>
              </w:rPr>
              <w:t>》、</w:t>
            </w:r>
            <w:r>
              <w:rPr>
                <w:rFonts w:hint="default" w:ascii="Times New Roman" w:hAnsi="Times New Roman" w:eastAsia="宋体" w:cs="Times New Roman"/>
                <w:b w:val="0"/>
                <w:bCs/>
                <w:color w:val="auto"/>
                <w:kern w:val="2"/>
                <w:sz w:val="24"/>
                <w:szCs w:val="24"/>
                <w:lang w:val="en-US" w:eastAsia="zh-CN" w:bidi="ar-SA"/>
              </w:rPr>
              <w:t>《</w:t>
            </w:r>
            <w:r>
              <w:rPr>
                <w:rFonts w:hint="default" w:ascii="Times New Roman" w:hAnsi="Times New Roman" w:eastAsia="宋体" w:cs="Times New Roman"/>
                <w:b w:val="0"/>
                <w:bCs/>
                <w:color w:val="auto"/>
                <w:sz w:val="24"/>
                <w:szCs w:val="24"/>
              </w:rPr>
              <w:t>重庆市涪陵区龙桥镇中粮油脂（重庆）有限公司2020年技改项目竣工环境保护验收监测报告表</w:t>
            </w:r>
            <w:r>
              <w:rPr>
                <w:rFonts w:hint="default" w:ascii="Times New Roman" w:hAnsi="Times New Roman" w:eastAsia="宋体" w:cs="Times New Roman"/>
                <w:b w:val="0"/>
                <w:bCs/>
                <w:color w:val="auto"/>
                <w:kern w:val="2"/>
                <w:sz w:val="24"/>
                <w:szCs w:val="24"/>
                <w:lang w:val="en-US" w:eastAsia="zh-CN" w:bidi="ar-SA"/>
              </w:rPr>
              <w:t>》</w:t>
            </w:r>
            <w:r>
              <w:rPr>
                <w:rFonts w:hint="eastAsia" w:eastAsia="宋体" w:cs="Times New Roman"/>
                <w:b w:val="0"/>
                <w:bCs/>
                <w:color w:val="auto"/>
                <w:kern w:val="2"/>
                <w:sz w:val="24"/>
                <w:szCs w:val="24"/>
                <w:lang w:val="en-US" w:eastAsia="zh-CN" w:bidi="ar-SA"/>
              </w:rPr>
              <w:t>，</w:t>
            </w:r>
            <w:r>
              <w:rPr>
                <w:rFonts w:hint="eastAsia" w:ascii="Times New Roman" w:hAnsi="Times New Roman" w:cs="Times New Roman"/>
                <w:b w:val="0"/>
                <w:bCs/>
                <w:color w:val="auto"/>
                <w:sz w:val="24"/>
                <w:szCs w:val="24"/>
                <w:highlight w:val="none"/>
                <w:lang w:eastAsia="zh-CN"/>
              </w:rPr>
              <w:t>现有工程</w:t>
            </w:r>
            <w:r>
              <w:rPr>
                <w:rFonts w:hint="eastAsia" w:cs="Times New Roman"/>
                <w:b w:val="0"/>
                <w:bCs/>
                <w:color w:val="auto"/>
                <w:sz w:val="24"/>
                <w:szCs w:val="24"/>
                <w:highlight w:val="none"/>
                <w:lang w:eastAsia="zh-CN"/>
              </w:rPr>
              <w:t>大气</w:t>
            </w:r>
            <w:r>
              <w:rPr>
                <w:rFonts w:hint="eastAsia" w:ascii="Times New Roman" w:hAnsi="Times New Roman" w:cs="Times New Roman"/>
                <w:b w:val="0"/>
                <w:bCs/>
                <w:color w:val="auto"/>
                <w:sz w:val="24"/>
                <w:szCs w:val="24"/>
                <w:highlight w:val="none"/>
                <w:lang w:eastAsia="zh-CN"/>
              </w:rPr>
              <w:t>污染物</w:t>
            </w:r>
            <w:r>
              <w:rPr>
                <w:rFonts w:hint="eastAsia" w:cs="Times New Roman"/>
                <w:b w:val="0"/>
                <w:bCs/>
                <w:color w:val="auto"/>
                <w:sz w:val="24"/>
                <w:szCs w:val="24"/>
                <w:highlight w:val="none"/>
                <w:lang w:eastAsia="zh-CN"/>
              </w:rPr>
              <w:t>排放量</w:t>
            </w:r>
            <w:r>
              <w:rPr>
                <w:rFonts w:hint="eastAsia" w:ascii="Times New Roman" w:hAnsi="Times New Roman" w:cs="Times New Roman"/>
                <w:b w:val="0"/>
                <w:bCs/>
                <w:color w:val="auto"/>
                <w:sz w:val="24"/>
                <w:szCs w:val="24"/>
                <w:highlight w:val="none"/>
                <w:lang w:eastAsia="zh-CN"/>
              </w:rPr>
              <w:t>核算见表</w:t>
            </w:r>
            <w:r>
              <w:rPr>
                <w:rFonts w:hint="eastAsia" w:ascii="Times New Roman" w:hAnsi="Times New Roman"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7-12</w:t>
            </w:r>
            <w:r>
              <w:rPr>
                <w:rFonts w:hint="eastAsia" w:ascii="Times New Roman" w:hAnsi="Times New Roman" w:cs="Times New Roman"/>
                <w:b w:val="0"/>
                <w:bCs/>
                <w:color w:val="auto"/>
                <w:sz w:val="24"/>
                <w:szCs w:val="24"/>
                <w:highlight w:val="none"/>
                <w:lang w:val="en-US" w:eastAsia="zh-CN"/>
              </w:rPr>
              <w:t>。</w:t>
            </w:r>
          </w:p>
          <w:p w14:paraId="551733C4">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2.7-1</w:t>
            </w:r>
            <w:r>
              <w:rPr>
                <w:rFonts w:hint="eastAsia" w:ascii="Times New Roman" w:hAnsi="Times New Roman" w:cs="Times New Roman"/>
                <w:color w:val="auto"/>
                <w:lang w:val="en-US" w:eastAsia="zh-CN"/>
              </w:rPr>
              <w:t>2</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现有工程</w:t>
            </w:r>
            <w:r>
              <w:rPr>
                <w:rFonts w:hint="default" w:ascii="Times New Roman" w:hAnsi="Times New Roman" w:cs="Times New Roman"/>
                <w:color w:val="auto"/>
              </w:rPr>
              <w:t>水污染物</w:t>
            </w:r>
            <w:r>
              <w:rPr>
                <w:rFonts w:hint="default" w:ascii="Times New Roman" w:hAnsi="Times New Roman" w:cs="Times New Roman"/>
                <w:color w:val="auto"/>
                <w:lang w:eastAsia="zh-CN"/>
              </w:rPr>
              <w:t>排放量</w:t>
            </w:r>
            <w:r>
              <w:rPr>
                <w:rFonts w:hint="default" w:ascii="Times New Roman" w:hAnsi="Times New Roman" w:cs="Times New Roman"/>
                <w:color w:val="auto"/>
              </w:rPr>
              <w:t>核算表</w:t>
            </w:r>
          </w:p>
          <w:tbl>
            <w:tblPr>
              <w:tblStyle w:val="17"/>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3416"/>
              <w:gridCol w:w="3001"/>
            </w:tblGrid>
            <w:tr w14:paraId="0D2566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noWrap w:val="0"/>
                  <w:vAlign w:val="center"/>
                </w:tcPr>
                <w:p w14:paraId="2181ACA7">
                  <w:pPr>
                    <w:pStyle w:val="3"/>
                    <w:bidi w:val="0"/>
                    <w:rPr>
                      <w:rFonts w:hint="default" w:ascii="Times New Roman" w:hAnsi="Times New Roman" w:cs="Times New Roman"/>
                      <w:color w:val="auto"/>
                    </w:rPr>
                  </w:pPr>
                  <w:r>
                    <w:rPr>
                      <w:rFonts w:hint="default" w:ascii="Times New Roman" w:hAnsi="Times New Roman" w:cs="Times New Roman"/>
                      <w:color w:val="auto"/>
                    </w:rPr>
                    <w:t>项目</w:t>
                  </w:r>
                </w:p>
              </w:tc>
              <w:tc>
                <w:tcPr>
                  <w:tcW w:w="2036" w:type="pct"/>
                  <w:noWrap w:val="0"/>
                  <w:vAlign w:val="center"/>
                </w:tcPr>
                <w:p w14:paraId="798CA238">
                  <w:pPr>
                    <w:pStyle w:val="3"/>
                    <w:bidi w:val="0"/>
                    <w:rPr>
                      <w:rFonts w:hint="default" w:ascii="Times New Roman" w:hAnsi="Times New Roman" w:cs="Times New Roman"/>
                      <w:color w:val="auto"/>
                    </w:rPr>
                  </w:pPr>
                  <w:r>
                    <w:rPr>
                      <w:rFonts w:hint="default" w:ascii="Times New Roman" w:hAnsi="Times New Roman" w:cs="Times New Roman"/>
                      <w:color w:val="auto"/>
                    </w:rPr>
                    <w:t>污染物</w:t>
                  </w:r>
                </w:p>
              </w:tc>
              <w:tc>
                <w:tcPr>
                  <w:tcW w:w="1788" w:type="pct"/>
                  <w:noWrap w:val="0"/>
                  <w:vAlign w:val="center"/>
                </w:tcPr>
                <w:p w14:paraId="2CF906EA">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排放量t/a</w:t>
                  </w:r>
                </w:p>
              </w:tc>
            </w:tr>
            <w:tr w14:paraId="392516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restart"/>
                  <w:noWrap w:val="0"/>
                  <w:vAlign w:val="center"/>
                </w:tcPr>
                <w:p w14:paraId="4F4804A1">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废气</w:t>
                  </w:r>
                </w:p>
              </w:tc>
              <w:tc>
                <w:tcPr>
                  <w:tcW w:w="2036" w:type="pct"/>
                  <w:noWrap w:val="0"/>
                  <w:vAlign w:val="center"/>
                </w:tcPr>
                <w:p w14:paraId="68069013">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非甲烷总烃</w:t>
                  </w:r>
                </w:p>
              </w:tc>
              <w:tc>
                <w:tcPr>
                  <w:tcW w:w="1788" w:type="pct"/>
                  <w:noWrap w:val="0"/>
                  <w:vAlign w:val="center"/>
                </w:tcPr>
                <w:p w14:paraId="77C1F02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9.337</w:t>
                  </w:r>
                </w:p>
              </w:tc>
            </w:tr>
            <w:tr w14:paraId="70991D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3A629B16">
                  <w:pPr>
                    <w:pStyle w:val="3"/>
                    <w:bidi w:val="0"/>
                    <w:rPr>
                      <w:rFonts w:hint="default" w:ascii="Times New Roman" w:hAnsi="Times New Roman" w:cs="Times New Roman"/>
                      <w:color w:val="auto"/>
                    </w:rPr>
                  </w:pPr>
                </w:p>
              </w:tc>
              <w:tc>
                <w:tcPr>
                  <w:tcW w:w="2036" w:type="pct"/>
                  <w:noWrap w:val="0"/>
                  <w:vAlign w:val="center"/>
                </w:tcPr>
                <w:p w14:paraId="540E31F8">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SO</w:t>
                  </w:r>
                  <w:r>
                    <w:rPr>
                      <w:rFonts w:hint="eastAsia" w:ascii="Times New Roman" w:hAnsi="Times New Roman" w:eastAsia="宋体" w:cs="Times New Roman"/>
                      <w:color w:val="auto"/>
                      <w:vertAlign w:val="subscript"/>
                      <w:lang w:val="en-US" w:eastAsia="zh-CN"/>
                    </w:rPr>
                    <w:t>2</w:t>
                  </w:r>
                </w:p>
              </w:tc>
              <w:tc>
                <w:tcPr>
                  <w:tcW w:w="1788" w:type="pct"/>
                  <w:noWrap w:val="0"/>
                  <w:vAlign w:val="center"/>
                </w:tcPr>
                <w:p w14:paraId="5420FDF2">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0.168</w:t>
                  </w:r>
                </w:p>
              </w:tc>
            </w:tr>
            <w:tr w14:paraId="03E82E4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5B39E934">
                  <w:pPr>
                    <w:pStyle w:val="3"/>
                    <w:bidi w:val="0"/>
                    <w:rPr>
                      <w:rFonts w:hint="default" w:ascii="Times New Roman" w:hAnsi="Times New Roman" w:cs="Times New Roman"/>
                      <w:color w:val="auto"/>
                    </w:rPr>
                  </w:pPr>
                </w:p>
              </w:tc>
              <w:tc>
                <w:tcPr>
                  <w:tcW w:w="2036" w:type="pct"/>
                  <w:noWrap w:val="0"/>
                  <w:vAlign w:val="center"/>
                </w:tcPr>
                <w:p w14:paraId="49AD4896">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NO</w:t>
                  </w:r>
                  <w:r>
                    <w:rPr>
                      <w:rFonts w:hint="eastAsia" w:ascii="Times New Roman" w:hAnsi="Times New Roman" w:eastAsia="宋体" w:cs="Times New Roman"/>
                      <w:color w:val="auto"/>
                      <w:vertAlign w:val="subscript"/>
                      <w:lang w:val="en-US" w:eastAsia="zh-CN"/>
                    </w:rPr>
                    <w:t>X</w:t>
                  </w:r>
                </w:p>
              </w:tc>
              <w:tc>
                <w:tcPr>
                  <w:tcW w:w="1788" w:type="pct"/>
                  <w:noWrap w:val="0"/>
                  <w:vAlign w:val="center"/>
                </w:tcPr>
                <w:p w14:paraId="51922BB3">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0.315</w:t>
                  </w:r>
                </w:p>
              </w:tc>
            </w:tr>
            <w:tr w14:paraId="6AC319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18A9CE61">
                  <w:pPr>
                    <w:pStyle w:val="3"/>
                    <w:bidi w:val="0"/>
                    <w:rPr>
                      <w:rFonts w:hint="default" w:ascii="Times New Roman" w:hAnsi="Times New Roman" w:cs="Times New Roman"/>
                      <w:color w:val="auto"/>
                    </w:rPr>
                  </w:pPr>
                </w:p>
              </w:tc>
              <w:tc>
                <w:tcPr>
                  <w:tcW w:w="2036" w:type="pct"/>
                  <w:noWrap w:val="0"/>
                  <w:vAlign w:val="center"/>
                </w:tcPr>
                <w:p w14:paraId="49A5A25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颗粒物</w:t>
                  </w:r>
                </w:p>
              </w:tc>
              <w:tc>
                <w:tcPr>
                  <w:tcW w:w="1788" w:type="pct"/>
                  <w:noWrap w:val="0"/>
                  <w:vAlign w:val="center"/>
                </w:tcPr>
                <w:p w14:paraId="6E314250">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40.203</w:t>
                  </w:r>
                </w:p>
              </w:tc>
            </w:tr>
            <w:tr w14:paraId="1178BE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224DCF1C">
                  <w:pPr>
                    <w:pStyle w:val="3"/>
                    <w:bidi w:val="0"/>
                    <w:rPr>
                      <w:rFonts w:hint="default" w:ascii="Times New Roman" w:hAnsi="Times New Roman" w:cs="Times New Roman"/>
                      <w:color w:val="auto"/>
                    </w:rPr>
                  </w:pPr>
                </w:p>
              </w:tc>
              <w:tc>
                <w:tcPr>
                  <w:tcW w:w="2036" w:type="pct"/>
                  <w:noWrap w:val="0"/>
                  <w:vAlign w:val="center"/>
                </w:tcPr>
                <w:p w14:paraId="6B488C34">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硫酸雾</w:t>
                  </w:r>
                </w:p>
              </w:tc>
              <w:tc>
                <w:tcPr>
                  <w:tcW w:w="1788" w:type="pct"/>
                  <w:noWrap w:val="0"/>
                  <w:vAlign w:val="center"/>
                </w:tcPr>
                <w:p w14:paraId="17B9A0F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0.004</w:t>
                  </w:r>
                </w:p>
              </w:tc>
            </w:tr>
            <w:tr w14:paraId="427AB33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1174" w:type="pct"/>
                  <w:vMerge w:val="continue"/>
                  <w:noWrap w:val="0"/>
                  <w:vAlign w:val="center"/>
                </w:tcPr>
                <w:p w14:paraId="52AC6EB5">
                  <w:pPr>
                    <w:pStyle w:val="3"/>
                    <w:bidi w:val="0"/>
                    <w:rPr>
                      <w:rFonts w:hint="default" w:ascii="Times New Roman" w:hAnsi="Times New Roman" w:cs="Times New Roman"/>
                      <w:color w:val="auto"/>
                    </w:rPr>
                  </w:pPr>
                </w:p>
              </w:tc>
              <w:tc>
                <w:tcPr>
                  <w:tcW w:w="2036" w:type="pct"/>
                  <w:noWrap w:val="0"/>
                  <w:vAlign w:val="center"/>
                </w:tcPr>
                <w:p w14:paraId="7CC76453">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氯化氢</w:t>
                  </w:r>
                </w:p>
              </w:tc>
              <w:tc>
                <w:tcPr>
                  <w:tcW w:w="1788" w:type="pct"/>
                  <w:noWrap w:val="0"/>
                  <w:vAlign w:val="center"/>
                </w:tcPr>
                <w:p w14:paraId="0025C23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0.001</w:t>
                  </w:r>
                </w:p>
              </w:tc>
            </w:tr>
            <w:tr w14:paraId="71B694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1174" w:type="pct"/>
                  <w:vMerge w:val="continue"/>
                  <w:noWrap w:val="0"/>
                  <w:vAlign w:val="center"/>
                </w:tcPr>
                <w:p w14:paraId="3F0D0E40">
                  <w:pPr>
                    <w:pStyle w:val="3"/>
                    <w:bidi w:val="0"/>
                    <w:rPr>
                      <w:rFonts w:hint="default" w:ascii="Times New Roman" w:hAnsi="Times New Roman" w:cs="Times New Roman"/>
                      <w:color w:val="auto"/>
                    </w:rPr>
                  </w:pPr>
                </w:p>
              </w:tc>
              <w:tc>
                <w:tcPr>
                  <w:tcW w:w="2036" w:type="pct"/>
                  <w:noWrap w:val="0"/>
                  <w:vAlign w:val="center"/>
                </w:tcPr>
                <w:p w14:paraId="63D63AAD">
                  <w:pPr>
                    <w:pStyle w:val="3"/>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硫化氢</w:t>
                  </w:r>
                </w:p>
              </w:tc>
              <w:tc>
                <w:tcPr>
                  <w:tcW w:w="1788" w:type="pct"/>
                  <w:noWrap w:val="0"/>
                  <w:vAlign w:val="center"/>
                </w:tcPr>
                <w:p w14:paraId="3721B9D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0.001</w:t>
                  </w:r>
                </w:p>
              </w:tc>
            </w:tr>
            <w:tr w14:paraId="758D1A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28383B92">
                  <w:pPr>
                    <w:pStyle w:val="3"/>
                    <w:bidi w:val="0"/>
                    <w:rPr>
                      <w:rFonts w:hint="default" w:ascii="Times New Roman" w:hAnsi="Times New Roman" w:cs="Times New Roman"/>
                      <w:color w:val="auto"/>
                    </w:rPr>
                  </w:pPr>
                </w:p>
              </w:tc>
              <w:tc>
                <w:tcPr>
                  <w:tcW w:w="2036" w:type="pct"/>
                  <w:noWrap w:val="0"/>
                  <w:vAlign w:val="center"/>
                </w:tcPr>
                <w:p w14:paraId="6F3D3CCA">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氨气</w:t>
                  </w:r>
                </w:p>
              </w:tc>
              <w:tc>
                <w:tcPr>
                  <w:tcW w:w="1788" w:type="pct"/>
                  <w:noWrap w:val="0"/>
                  <w:vAlign w:val="center"/>
                </w:tcPr>
                <w:p w14:paraId="563EB7FA">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0.0004</w:t>
                  </w:r>
                </w:p>
              </w:tc>
            </w:tr>
          </w:tbl>
          <w:p w14:paraId="0B2B05B4">
            <w:pPr>
              <w:keepNext w:val="0"/>
              <w:pageBreakBefore w:val="0"/>
              <w:widowControl w:val="0"/>
              <w:kinsoku/>
              <w:wordWrap/>
              <w:overflowPunct/>
              <w:topLinePunct w:val="0"/>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（2）废水</w:t>
            </w:r>
          </w:p>
          <w:p w14:paraId="7C929FDF">
            <w:pPr>
              <w:pStyle w:val="4"/>
              <w:keepNext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hAnsi="Times New Roman" w:cs="Times New Roman"/>
                <w:b w:val="0"/>
                <w:bCs w:val="0"/>
                <w:color w:val="auto"/>
                <w:sz w:val="24"/>
                <w:szCs w:val="24"/>
                <w:lang w:eastAsia="zh-CN"/>
              </w:rPr>
            </w:pPr>
            <w:r>
              <w:rPr>
                <w:rFonts w:hint="eastAsia" w:ascii="Times New Roman" w:hAnsi="Times New Roman" w:cs="Times New Roman"/>
                <w:b w:val="0"/>
                <w:bCs w:val="0"/>
                <w:color w:val="auto"/>
                <w:sz w:val="24"/>
                <w:szCs w:val="24"/>
                <w:lang w:eastAsia="zh-CN"/>
              </w:rPr>
              <w:t>现有工程产生的废水主要包括：浸出车</w:t>
            </w:r>
            <w:r>
              <w:rPr>
                <w:rFonts w:hint="eastAsia" w:ascii="Times New Roman" w:hAnsi="Times New Roman" w:cs="Times New Roman"/>
                <w:b w:val="0"/>
                <w:bCs w:val="0"/>
                <w:color w:val="auto"/>
                <w:sz w:val="24"/>
                <w:szCs w:val="24"/>
                <w:highlight w:val="none"/>
                <w:lang w:eastAsia="zh-CN"/>
              </w:rPr>
              <w:t>间蒸煮罐废水、溶剂回收系统冷凝废水、精炼车间气体冷凝器冷凝废水、品控室</w:t>
            </w:r>
            <w:r>
              <w:rPr>
                <w:rFonts w:hint="eastAsia" w:ascii="Times New Roman" w:hAnsi="Times New Roman" w:cs="Times New Roman"/>
                <w:b w:val="0"/>
                <w:bCs w:val="0"/>
                <w:color w:val="auto"/>
                <w:sz w:val="24"/>
                <w:szCs w:val="24"/>
                <w:lang w:eastAsia="zh-CN"/>
              </w:rPr>
              <w:t>实验器皿清洗废水、生活污水以及厂区清洁废水。</w:t>
            </w:r>
            <w:r>
              <w:rPr>
                <w:rFonts w:hint="default" w:ascii="Times New Roman" w:hAnsi="Times New Roman" w:eastAsia="宋体" w:cs="Times New Roman"/>
                <w:b w:val="0"/>
                <w:bCs w:val="0"/>
                <w:color w:val="auto"/>
                <w:sz w:val="24"/>
                <w:szCs w:val="24"/>
              </w:rPr>
              <w:t>厂区</w:t>
            </w:r>
            <w:r>
              <w:rPr>
                <w:rFonts w:hint="default" w:ascii="Times New Roman" w:hAnsi="Times New Roman" w:eastAsia="宋体" w:cs="Times New Roman"/>
                <w:b w:val="0"/>
                <w:bCs w:val="0"/>
                <w:color w:val="auto"/>
                <w:sz w:val="24"/>
                <w:szCs w:val="24"/>
                <w:lang w:eastAsia="zh-CN"/>
              </w:rPr>
              <w:t>建有</w:t>
            </w:r>
            <w:r>
              <w:rPr>
                <w:rFonts w:hint="default" w:ascii="Times New Roman" w:hAnsi="Times New Roman" w:eastAsia="宋体" w:cs="Times New Roman"/>
                <w:b w:val="0"/>
                <w:bCs w:val="0"/>
                <w:color w:val="auto"/>
                <w:sz w:val="24"/>
                <w:szCs w:val="24"/>
              </w:rPr>
              <w:t>处理规模为500m</w:t>
            </w:r>
            <w:r>
              <w:rPr>
                <w:rFonts w:hint="default" w:ascii="Times New Roman" w:hAnsi="Times New Roman" w:eastAsia="宋体" w:cs="Times New Roman"/>
                <w:b w:val="0"/>
                <w:bCs w:val="0"/>
                <w:color w:val="auto"/>
                <w:sz w:val="24"/>
                <w:szCs w:val="24"/>
                <w:vertAlign w:val="superscript"/>
              </w:rPr>
              <w:t>3</w:t>
            </w:r>
            <w:r>
              <w:rPr>
                <w:rFonts w:hint="default" w:ascii="Times New Roman" w:hAnsi="Times New Roman" w:eastAsia="宋体" w:cs="Times New Roman"/>
                <w:b w:val="0"/>
                <w:bCs w:val="0"/>
                <w:color w:val="auto"/>
                <w:sz w:val="24"/>
                <w:szCs w:val="24"/>
              </w:rPr>
              <w:t>/d的污水处理站</w:t>
            </w:r>
            <w:r>
              <w:rPr>
                <w:rFonts w:hint="default" w:ascii="Times New Roman" w:hAnsi="Times New Roman" w:eastAsia="宋体" w:cs="Times New Roman"/>
                <w:b w:val="0"/>
                <w:bCs w:val="0"/>
                <w:color w:val="auto"/>
                <w:sz w:val="24"/>
                <w:szCs w:val="24"/>
                <w:highlight w:val="none"/>
              </w:rPr>
              <w:t>，精炼车间废水</w:t>
            </w:r>
            <w:r>
              <w:rPr>
                <w:rFonts w:hint="default" w:ascii="Times New Roman" w:hAnsi="Times New Roman" w:eastAsia="宋体" w:cs="Times New Roman"/>
                <w:b w:val="0"/>
                <w:bCs w:val="0"/>
                <w:color w:val="auto"/>
                <w:sz w:val="24"/>
                <w:szCs w:val="24"/>
                <w:highlight w:val="none"/>
                <w:lang w:eastAsia="zh-CN"/>
              </w:rPr>
              <w:t>中和</w:t>
            </w:r>
            <w:r>
              <w:rPr>
                <w:rFonts w:hint="default" w:ascii="Times New Roman" w:hAnsi="Times New Roman" w:eastAsia="宋体" w:cs="Times New Roman"/>
                <w:b w:val="0"/>
                <w:bCs w:val="0"/>
                <w:color w:val="auto"/>
                <w:sz w:val="24"/>
                <w:szCs w:val="24"/>
                <w:highlight w:val="none"/>
              </w:rPr>
              <w:t>预处理后与其他生产和生活废水排入厂区污水处理站，经气</w:t>
            </w:r>
            <w:r>
              <w:rPr>
                <w:rFonts w:hint="default" w:ascii="Times New Roman" w:hAnsi="Times New Roman" w:eastAsia="宋体" w:cs="Times New Roman"/>
                <w:b w:val="0"/>
                <w:bCs w:val="0"/>
                <w:color w:val="auto"/>
                <w:sz w:val="24"/>
                <w:szCs w:val="24"/>
              </w:rPr>
              <w:t>浮+厌氧+接触氧化生化处理后达《污水综合排放标准》（GB8978-1996）三级标准后排入园区污水管网</w:t>
            </w:r>
            <w:r>
              <w:rPr>
                <w:rFonts w:hint="eastAsia" w:ascii="Times New Roman" w:hAnsi="Times New Roman" w:eastAsia="宋体" w:cs="Times New Roman"/>
                <w:b w:val="0"/>
                <w:bCs w:val="0"/>
                <w:color w:val="auto"/>
                <w:sz w:val="24"/>
                <w:szCs w:val="24"/>
                <w:lang w:eastAsia="zh-CN"/>
              </w:rPr>
              <w:t>，经</w:t>
            </w:r>
            <w:r>
              <w:rPr>
                <w:rFonts w:hint="default" w:ascii="Times New Roman" w:hAnsi="Times New Roman" w:eastAsia="宋体" w:cs="Times New Roman"/>
                <w:b w:val="0"/>
                <w:bCs w:val="0"/>
                <w:color w:val="auto"/>
                <w:sz w:val="24"/>
                <w:szCs w:val="24"/>
              </w:rPr>
              <w:t>龙桥园区污水处理厂进行</w:t>
            </w:r>
            <w:r>
              <w:rPr>
                <w:rFonts w:hint="default" w:ascii="Times New Roman" w:hAnsi="Times New Roman" w:eastAsia="宋体" w:cs="Times New Roman"/>
                <w:b w:val="0"/>
                <w:bCs w:val="0"/>
                <w:color w:val="auto"/>
                <w:sz w:val="24"/>
                <w:szCs w:val="24"/>
                <w:lang w:eastAsia="zh-CN"/>
              </w:rPr>
              <w:t>深度处理达</w:t>
            </w:r>
            <w:r>
              <w:rPr>
                <w:rFonts w:hint="default" w:ascii="Times New Roman" w:hAnsi="Times New Roman" w:cs="Times New Roman"/>
                <w:b w:val="0"/>
                <w:bCs w:val="0"/>
                <w:color w:val="auto"/>
                <w:sz w:val="24"/>
                <w:szCs w:val="24"/>
              </w:rPr>
              <w:t>《化工园区主要水污染物排放标准》（DB50/457-2012）标准（其中COD按60mg/L执行，“DB50457-2012”中未规定的执行《污水综合排放标准》（GB8978-1996）一级标准）</w:t>
            </w:r>
            <w:r>
              <w:rPr>
                <w:rFonts w:hint="eastAsia" w:ascii="Times New Roman" w:hAnsi="Times New Roman" w:cs="Times New Roman"/>
                <w:b w:val="0"/>
                <w:bCs w:val="0"/>
                <w:color w:val="auto"/>
                <w:sz w:val="24"/>
                <w:szCs w:val="24"/>
                <w:lang w:eastAsia="zh-CN"/>
              </w:rPr>
              <w:t>后经冉家沟排入长江，其废水治理工艺流程见图</w:t>
            </w:r>
            <w:r>
              <w:rPr>
                <w:rFonts w:hint="eastAsia" w:ascii="Times New Roman" w:hAnsi="Times New Roman" w:cs="Times New Roman"/>
                <w:b w:val="0"/>
                <w:bCs w:val="0"/>
                <w:color w:val="auto"/>
                <w:sz w:val="24"/>
                <w:szCs w:val="24"/>
                <w:lang w:val="en-US" w:eastAsia="zh-CN"/>
              </w:rPr>
              <w:t>2.8</w:t>
            </w:r>
            <w:r>
              <w:rPr>
                <w:rFonts w:hint="eastAsia" w:ascii="Times New Roman" w:hAnsi="Times New Roman" w:cs="Times New Roman"/>
                <w:b w:val="0"/>
                <w:bCs w:val="0"/>
                <w:color w:val="auto"/>
                <w:sz w:val="24"/>
                <w:szCs w:val="24"/>
                <w:lang w:eastAsia="zh-CN"/>
              </w:rPr>
              <w:t>。</w:t>
            </w:r>
          </w:p>
          <w:p w14:paraId="5CE96D31">
            <w:pPr>
              <w:ind w:left="0" w:leftChars="0" w:firstLine="0" w:firstLineChars="0"/>
              <w:rPr>
                <w:rFonts w:hint="eastAsia"/>
                <w:color w:val="auto"/>
                <w:lang w:eastAsia="zh-CN"/>
              </w:rPr>
            </w:pPr>
            <w:r>
              <w:rPr>
                <w:rFonts w:hint="default"/>
                <w:color w:val="auto"/>
              </w:rPr>
              <w:drawing>
                <wp:inline distT="0" distB="0" distL="114300" distR="114300">
                  <wp:extent cx="5100955" cy="1623695"/>
                  <wp:effectExtent l="0" t="0" r="0" b="0"/>
                  <wp:docPr id="5" name="图片 12"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qt_temp"/>
                          <pic:cNvPicPr>
                            <a:picLocks noChangeAspect="1"/>
                          </pic:cNvPicPr>
                        </pic:nvPicPr>
                        <pic:blipFill>
                          <a:blip r:embed="rId32"/>
                          <a:stretch>
                            <a:fillRect/>
                          </a:stretch>
                        </pic:blipFill>
                        <pic:spPr>
                          <a:xfrm>
                            <a:off x="0" y="0"/>
                            <a:ext cx="5100955" cy="1623695"/>
                          </a:xfrm>
                          <a:prstGeom prst="rect">
                            <a:avLst/>
                          </a:prstGeom>
                          <a:noFill/>
                          <a:ln>
                            <a:noFill/>
                          </a:ln>
                        </pic:spPr>
                      </pic:pic>
                    </a:graphicData>
                  </a:graphic>
                </wp:inline>
              </w:drawing>
            </w:r>
          </w:p>
          <w:p w14:paraId="6D5883E7">
            <w:pPr>
              <w:pStyle w:val="4"/>
              <w:jc w:val="center"/>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eastAsia="zh-CN"/>
              </w:rPr>
              <w:t>图</w:t>
            </w:r>
            <w:r>
              <w:rPr>
                <w:rFonts w:hint="eastAsia" w:ascii="Times New Roman" w:hAnsi="Times New Roman" w:cs="Times New Roman"/>
                <w:b w:val="0"/>
                <w:bCs w:val="0"/>
                <w:color w:val="auto"/>
                <w:sz w:val="24"/>
                <w:szCs w:val="24"/>
                <w:lang w:val="en-US" w:eastAsia="zh-CN"/>
              </w:rPr>
              <w:t>2.8 废水治理工艺流程图</w:t>
            </w:r>
          </w:p>
          <w:p w14:paraId="5BEE72B2">
            <w:pPr>
              <w:spacing w:line="360" w:lineRule="auto"/>
              <w:ind w:firstLine="480" w:firstLineChars="200"/>
              <w:jc w:val="both"/>
              <w:rPr>
                <w:rFonts w:hint="default" w:ascii="Times New Roman" w:hAnsi="Times New Roman" w:eastAsia="宋体" w:cs="Times New Roman"/>
                <w:b w:val="0"/>
                <w:bCs/>
                <w:color w:val="auto"/>
                <w:kern w:val="2"/>
                <w:sz w:val="24"/>
                <w:szCs w:val="24"/>
                <w:lang w:val="en-US" w:eastAsia="zh-CN" w:bidi="ar-SA"/>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w:t>
            </w:r>
            <w:r>
              <w:rPr>
                <w:rFonts w:hint="eastAsia" w:eastAsia="宋体" w:cs="Times New Roman"/>
                <w:b w:val="0"/>
                <w:bCs/>
                <w:color w:val="auto"/>
                <w:kern w:val="2"/>
                <w:sz w:val="24"/>
                <w:szCs w:val="24"/>
                <w:highlight w:val="none"/>
                <w:lang w:val="en-US" w:eastAsia="zh-CN" w:bidi="ar-SA"/>
              </w:rPr>
              <w:t>577</w:t>
            </w:r>
            <w:r>
              <w:rPr>
                <w:rFonts w:hint="default" w:ascii="Times New Roman" w:hAnsi="Times New Roman" w:eastAsia="宋体" w:cs="Times New Roman"/>
                <w:b w:val="0"/>
                <w:bCs/>
                <w:color w:val="auto"/>
                <w:kern w:val="2"/>
                <w:sz w:val="24"/>
                <w:szCs w:val="24"/>
                <w:highlight w:val="none"/>
                <w:lang w:val="en-US" w:eastAsia="zh-CN" w:bidi="ar-SA"/>
              </w:rPr>
              <w:t>号，</w:t>
            </w:r>
            <w:r>
              <w:rPr>
                <w:rFonts w:hint="eastAsia" w:cs="Times New Roman"/>
                <w:b w:val="0"/>
                <w:bCs/>
                <w:color w:val="auto"/>
                <w:kern w:val="2"/>
                <w:sz w:val="24"/>
                <w:szCs w:val="24"/>
                <w:highlight w:val="none"/>
                <w:lang w:val="en-US" w:eastAsia="zh-CN" w:bidi="ar-SA"/>
              </w:rPr>
              <w:t>其主要污染物为pH、COD、BOD</w:t>
            </w:r>
            <w:r>
              <w:rPr>
                <w:rFonts w:hint="eastAsia" w:cs="Times New Roman"/>
                <w:b w:val="0"/>
                <w:bCs/>
                <w:color w:val="auto"/>
                <w:kern w:val="2"/>
                <w:sz w:val="24"/>
                <w:szCs w:val="24"/>
                <w:highlight w:val="none"/>
                <w:vertAlign w:val="subscript"/>
                <w:lang w:val="en-US" w:eastAsia="zh-CN" w:bidi="ar-SA"/>
              </w:rPr>
              <w:t>5</w:t>
            </w:r>
            <w:r>
              <w:rPr>
                <w:rFonts w:hint="eastAsia" w:cs="Times New Roman"/>
                <w:b w:val="0"/>
                <w:bCs/>
                <w:color w:val="auto"/>
                <w:kern w:val="2"/>
                <w:sz w:val="24"/>
                <w:szCs w:val="24"/>
                <w:highlight w:val="none"/>
                <w:lang w:val="en-US" w:eastAsia="zh-CN" w:bidi="ar-SA"/>
              </w:rPr>
              <w:t>、SS、总磷、氨氮、总氮、动植</w:t>
            </w:r>
            <w:r>
              <w:rPr>
                <w:rFonts w:hint="eastAsia" w:cs="Times New Roman"/>
                <w:b w:val="0"/>
                <w:bCs/>
                <w:color w:val="auto"/>
                <w:kern w:val="2"/>
                <w:sz w:val="24"/>
                <w:szCs w:val="24"/>
                <w:lang w:val="en-US" w:eastAsia="zh-CN" w:bidi="ar-SA"/>
              </w:rPr>
              <w:t>物油，现有工程物质处理站综合废水排放情况</w:t>
            </w:r>
            <w:r>
              <w:rPr>
                <w:rFonts w:hint="default" w:ascii="Times New Roman" w:hAnsi="Times New Roman" w:eastAsia="宋体" w:cs="Times New Roman"/>
                <w:b w:val="0"/>
                <w:bCs/>
                <w:color w:val="auto"/>
                <w:kern w:val="2"/>
                <w:sz w:val="24"/>
                <w:szCs w:val="24"/>
                <w:lang w:val="en-US" w:eastAsia="zh-CN" w:bidi="ar-SA"/>
              </w:rPr>
              <w:t>见表2.</w:t>
            </w:r>
            <w:r>
              <w:rPr>
                <w:rFonts w:hint="eastAsia" w:ascii="Times New Roman" w:eastAsia="宋体" w:cs="Times New Roman"/>
                <w:b w:val="0"/>
                <w:bCs/>
                <w:color w:val="auto"/>
                <w:kern w:val="2"/>
                <w:sz w:val="24"/>
                <w:szCs w:val="24"/>
                <w:lang w:val="en-US" w:eastAsia="zh-CN" w:bidi="ar-SA"/>
              </w:rPr>
              <w:t>7-1</w:t>
            </w:r>
            <w:r>
              <w:rPr>
                <w:rFonts w:hint="eastAsia" w:eastAsia="宋体" w:cs="Times New Roman"/>
                <w:b w:val="0"/>
                <w:bCs/>
                <w:color w:val="auto"/>
                <w:kern w:val="2"/>
                <w:sz w:val="24"/>
                <w:szCs w:val="24"/>
                <w:lang w:val="en-US" w:eastAsia="zh-CN" w:bidi="ar-SA"/>
              </w:rPr>
              <w:t>2</w:t>
            </w:r>
            <w:r>
              <w:rPr>
                <w:rFonts w:hint="default" w:ascii="Times New Roman" w:hAnsi="Times New Roman" w:eastAsia="宋体" w:cs="Times New Roman"/>
                <w:b w:val="0"/>
                <w:bCs/>
                <w:color w:val="auto"/>
                <w:kern w:val="2"/>
                <w:sz w:val="24"/>
                <w:szCs w:val="24"/>
                <w:lang w:val="en-US" w:eastAsia="zh-CN" w:bidi="ar-SA"/>
              </w:rPr>
              <w:t>。</w:t>
            </w:r>
          </w:p>
          <w:p w14:paraId="6CDDED2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表</w:t>
            </w:r>
            <w:r>
              <w:rPr>
                <w:rFonts w:hint="default" w:ascii="Times New Roman" w:hAnsi="Times New Roman" w:cs="Times New Roman"/>
                <w:color w:val="auto"/>
                <w:lang w:val="en-US" w:eastAsia="zh-CN"/>
              </w:rPr>
              <w:t>2.7-1</w:t>
            </w: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 xml:space="preserve"> 现有工程</w:t>
            </w:r>
            <w:r>
              <w:rPr>
                <w:rFonts w:hint="eastAsia" w:ascii="Times New Roman" w:hAnsi="Times New Roman" w:cs="Times New Roman"/>
                <w:color w:val="auto"/>
                <w:lang w:val="en-US" w:eastAsia="zh-CN"/>
              </w:rPr>
              <w:t>综合污水处理站废水排放情况</w:t>
            </w:r>
            <w:r>
              <w:rPr>
                <w:rFonts w:hint="default" w:ascii="Times New Roman" w:hAnsi="Times New Roman" w:cs="Times New Roman"/>
                <w:color w:val="auto"/>
                <w:lang w:val="en-US" w:eastAsia="zh-CN"/>
              </w:rPr>
              <w:t>一览表</w:t>
            </w:r>
          </w:p>
          <w:tbl>
            <w:tblPr>
              <w:tblStyle w:val="18"/>
              <w:tblW w:w="4996"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1394"/>
              <w:gridCol w:w="1394"/>
              <w:gridCol w:w="1119"/>
              <w:gridCol w:w="961"/>
              <w:gridCol w:w="966"/>
              <w:gridCol w:w="1157"/>
            </w:tblGrid>
            <w:tr w14:paraId="649A5A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pct"/>
                  <w:vMerge w:val="restart"/>
                  <w:tcBorders>
                    <w:tl2br w:val="nil"/>
                    <w:tr2bl w:val="nil"/>
                  </w:tcBorders>
                  <w:vAlign w:val="center"/>
                </w:tcPr>
                <w:p w14:paraId="5A54CF8C">
                  <w:pPr>
                    <w:pStyle w:val="3"/>
                    <w:bidi w:val="0"/>
                    <w:rPr>
                      <w:rFonts w:hint="default"/>
                      <w:color w:val="auto"/>
                      <w:lang w:eastAsia="zh-CN"/>
                    </w:rPr>
                  </w:pPr>
                  <w:r>
                    <w:rPr>
                      <w:rFonts w:hint="eastAsia"/>
                      <w:color w:val="auto"/>
                      <w:lang w:eastAsia="zh-CN"/>
                    </w:rPr>
                    <w:t>废水类型</w:t>
                  </w:r>
                </w:p>
              </w:tc>
              <w:tc>
                <w:tcPr>
                  <w:tcW w:w="831" w:type="pct"/>
                  <w:vMerge w:val="restart"/>
                  <w:tcBorders>
                    <w:tl2br w:val="nil"/>
                    <w:tr2bl w:val="nil"/>
                  </w:tcBorders>
                  <w:vAlign w:val="center"/>
                </w:tcPr>
                <w:p w14:paraId="669BD4B1">
                  <w:pPr>
                    <w:pStyle w:val="3"/>
                    <w:bidi w:val="0"/>
                    <w:rPr>
                      <w:rFonts w:hint="eastAsia"/>
                      <w:color w:val="auto"/>
                      <w:lang w:eastAsia="zh-CN"/>
                    </w:rPr>
                  </w:pPr>
                  <w:r>
                    <w:rPr>
                      <w:rFonts w:hint="eastAsia"/>
                      <w:color w:val="auto"/>
                      <w:lang w:eastAsia="zh-CN"/>
                    </w:rPr>
                    <w:t>污染物</w:t>
                  </w:r>
                </w:p>
              </w:tc>
              <w:tc>
                <w:tcPr>
                  <w:tcW w:w="2071" w:type="pct"/>
                  <w:gridSpan w:val="3"/>
                  <w:tcBorders>
                    <w:tl2br w:val="nil"/>
                    <w:tr2bl w:val="nil"/>
                  </w:tcBorders>
                  <w:vAlign w:val="center"/>
                </w:tcPr>
                <w:p w14:paraId="72CF8E24">
                  <w:pPr>
                    <w:pStyle w:val="3"/>
                    <w:bidi w:val="0"/>
                    <w:rPr>
                      <w:rFonts w:hint="eastAsia"/>
                      <w:color w:val="auto"/>
                      <w:highlight w:val="yellow"/>
                      <w:lang w:eastAsia="zh-CN"/>
                    </w:rPr>
                  </w:pPr>
                  <w:r>
                    <w:rPr>
                      <w:rFonts w:hint="default" w:ascii="Times New Roman" w:hAnsi="Times New Roman" w:cs="Times New Roman"/>
                      <w:color w:val="auto"/>
                      <w:lang w:eastAsia="zh-CN"/>
                    </w:rPr>
                    <w:t>排放浓度</w:t>
                  </w:r>
                </w:p>
              </w:tc>
              <w:tc>
                <w:tcPr>
                  <w:tcW w:w="576" w:type="pct"/>
                  <w:vMerge w:val="restart"/>
                  <w:tcBorders>
                    <w:tl2br w:val="nil"/>
                    <w:tr2bl w:val="nil"/>
                  </w:tcBorders>
                  <w:vAlign w:val="center"/>
                </w:tcPr>
                <w:p w14:paraId="07F6C0E1">
                  <w:pPr>
                    <w:pStyle w:val="3"/>
                    <w:bidi w:val="0"/>
                    <w:rPr>
                      <w:rFonts w:hint="eastAsia"/>
                      <w:color w:val="auto"/>
                      <w:highlight w:val="none"/>
                      <w:lang w:eastAsia="zh-CN"/>
                    </w:rPr>
                  </w:pPr>
                  <w:r>
                    <w:rPr>
                      <w:rFonts w:hint="eastAsia"/>
                      <w:color w:val="auto"/>
                      <w:highlight w:val="none"/>
                      <w:lang w:eastAsia="zh-CN"/>
                    </w:rPr>
                    <w:t>标准值</w:t>
                  </w:r>
                </w:p>
              </w:tc>
              <w:tc>
                <w:tcPr>
                  <w:tcW w:w="690" w:type="pct"/>
                  <w:vMerge w:val="restart"/>
                  <w:tcBorders>
                    <w:tl2br w:val="nil"/>
                    <w:tr2bl w:val="nil"/>
                  </w:tcBorders>
                  <w:vAlign w:val="center"/>
                </w:tcPr>
                <w:p w14:paraId="1DC7F9AD">
                  <w:pPr>
                    <w:pStyle w:val="3"/>
                    <w:bidi w:val="0"/>
                    <w:rPr>
                      <w:rFonts w:hint="eastAsia"/>
                      <w:color w:val="auto"/>
                      <w:lang w:eastAsia="zh-CN"/>
                    </w:rPr>
                  </w:pPr>
                  <w:r>
                    <w:rPr>
                      <w:rFonts w:hint="eastAsia"/>
                      <w:color w:val="auto"/>
                      <w:lang w:eastAsia="zh-CN"/>
                    </w:rPr>
                    <w:t>达标情况</w:t>
                  </w:r>
                </w:p>
              </w:tc>
            </w:tr>
            <w:tr w14:paraId="50287B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pct"/>
                  <w:vMerge w:val="continue"/>
                  <w:tcBorders>
                    <w:tl2br w:val="nil"/>
                    <w:tr2bl w:val="nil"/>
                  </w:tcBorders>
                  <w:vAlign w:val="center"/>
                </w:tcPr>
                <w:p w14:paraId="0D5E11B3">
                  <w:pPr>
                    <w:pStyle w:val="3"/>
                    <w:bidi w:val="0"/>
                    <w:rPr>
                      <w:rFonts w:hint="default"/>
                      <w:color w:val="auto"/>
                      <w:lang w:val="en-US" w:eastAsia="zh-CN"/>
                    </w:rPr>
                  </w:pPr>
                </w:p>
              </w:tc>
              <w:tc>
                <w:tcPr>
                  <w:tcW w:w="831" w:type="pct"/>
                  <w:vMerge w:val="continue"/>
                  <w:tcBorders>
                    <w:tl2br w:val="nil"/>
                    <w:tr2bl w:val="nil"/>
                  </w:tcBorders>
                  <w:vAlign w:val="center"/>
                </w:tcPr>
                <w:p w14:paraId="65D4D529">
                  <w:pPr>
                    <w:pStyle w:val="3"/>
                    <w:bidi w:val="0"/>
                    <w:rPr>
                      <w:rFonts w:hint="eastAsia"/>
                      <w:color w:val="auto"/>
                      <w:lang w:eastAsia="zh-CN"/>
                    </w:rPr>
                  </w:pPr>
                </w:p>
              </w:tc>
              <w:tc>
                <w:tcPr>
                  <w:tcW w:w="831" w:type="pct"/>
                  <w:tcBorders>
                    <w:tl2br w:val="nil"/>
                    <w:tr2bl w:val="nil"/>
                  </w:tcBorders>
                  <w:vAlign w:val="center"/>
                </w:tcPr>
                <w:p w14:paraId="7DD3B9FF">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第一次</w:t>
                  </w:r>
                </w:p>
              </w:tc>
              <w:tc>
                <w:tcPr>
                  <w:tcW w:w="667" w:type="pct"/>
                  <w:tcBorders>
                    <w:tl2br w:val="nil"/>
                    <w:tr2bl w:val="nil"/>
                  </w:tcBorders>
                  <w:vAlign w:val="center"/>
                </w:tcPr>
                <w:p w14:paraId="1C9F0878">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第二次</w:t>
                  </w:r>
                </w:p>
              </w:tc>
              <w:tc>
                <w:tcPr>
                  <w:tcW w:w="572" w:type="pct"/>
                  <w:tcBorders>
                    <w:tl2br w:val="nil"/>
                    <w:tr2bl w:val="nil"/>
                  </w:tcBorders>
                  <w:vAlign w:val="center"/>
                </w:tcPr>
                <w:p w14:paraId="69F82B5F">
                  <w:pPr>
                    <w:pStyle w:val="3"/>
                    <w:bidi w:val="0"/>
                    <w:rPr>
                      <w:rFonts w:hint="eastAsia"/>
                      <w:color w:val="auto"/>
                      <w:highlight w:val="none"/>
                      <w:lang w:eastAsia="zh-CN"/>
                    </w:rPr>
                  </w:pPr>
                  <w:r>
                    <w:rPr>
                      <w:rFonts w:hint="eastAsia" w:ascii="Times New Roman" w:hAnsi="Times New Roman" w:cs="Times New Roman"/>
                      <w:color w:val="auto"/>
                      <w:lang w:eastAsia="zh-CN"/>
                    </w:rPr>
                    <w:t>第三次</w:t>
                  </w:r>
                </w:p>
              </w:tc>
              <w:tc>
                <w:tcPr>
                  <w:tcW w:w="576" w:type="pct"/>
                  <w:vMerge w:val="continue"/>
                  <w:tcBorders>
                    <w:tl2br w:val="nil"/>
                    <w:tr2bl w:val="nil"/>
                  </w:tcBorders>
                  <w:vAlign w:val="center"/>
                </w:tcPr>
                <w:p w14:paraId="73136908">
                  <w:pPr>
                    <w:pStyle w:val="3"/>
                    <w:bidi w:val="0"/>
                    <w:rPr>
                      <w:rFonts w:hint="eastAsia" w:ascii="Times New Roman" w:hAnsi="Times New Roman" w:cs="Times New Roman"/>
                      <w:color w:val="auto"/>
                      <w:lang w:eastAsia="zh-CN"/>
                    </w:rPr>
                  </w:pPr>
                </w:p>
              </w:tc>
              <w:tc>
                <w:tcPr>
                  <w:tcW w:w="690" w:type="pct"/>
                  <w:vMerge w:val="continue"/>
                  <w:tcBorders>
                    <w:tl2br w:val="nil"/>
                    <w:tr2bl w:val="nil"/>
                  </w:tcBorders>
                  <w:vAlign w:val="center"/>
                </w:tcPr>
                <w:p w14:paraId="227025F0">
                  <w:pPr>
                    <w:pStyle w:val="3"/>
                    <w:bidi w:val="0"/>
                    <w:rPr>
                      <w:rFonts w:hint="eastAsia"/>
                      <w:color w:val="auto"/>
                      <w:lang w:eastAsia="zh-CN"/>
                    </w:rPr>
                  </w:pPr>
                </w:p>
              </w:tc>
            </w:tr>
            <w:tr w14:paraId="226699B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0" w:type="pct"/>
                  <w:vMerge w:val="restart"/>
                  <w:tcBorders>
                    <w:tl2br w:val="nil"/>
                    <w:tr2bl w:val="nil"/>
                  </w:tcBorders>
                  <w:vAlign w:val="center"/>
                </w:tcPr>
                <w:p w14:paraId="593B073E">
                  <w:pPr>
                    <w:pStyle w:val="3"/>
                    <w:bidi w:val="0"/>
                    <w:rPr>
                      <w:rFonts w:hint="default"/>
                      <w:color w:val="auto"/>
                      <w:lang w:val="en-US" w:eastAsia="zh-CN"/>
                    </w:rPr>
                  </w:pPr>
                  <w:r>
                    <w:rPr>
                      <w:rFonts w:hint="eastAsia"/>
                      <w:color w:val="auto"/>
                      <w:lang w:val="en-US" w:eastAsia="zh-CN"/>
                    </w:rPr>
                    <w:t>综合废水</w:t>
                  </w:r>
                </w:p>
              </w:tc>
              <w:tc>
                <w:tcPr>
                  <w:tcW w:w="831" w:type="pct"/>
                  <w:tcBorders>
                    <w:tl2br w:val="nil"/>
                    <w:tr2bl w:val="nil"/>
                  </w:tcBorders>
                  <w:vAlign w:val="center"/>
                </w:tcPr>
                <w:p w14:paraId="46AFDA9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pH</w:t>
                  </w:r>
                </w:p>
              </w:tc>
              <w:tc>
                <w:tcPr>
                  <w:tcW w:w="831" w:type="pct"/>
                  <w:tcBorders>
                    <w:tl2br w:val="nil"/>
                    <w:tr2bl w:val="nil"/>
                  </w:tcBorders>
                  <w:shd w:val="clear" w:color="auto" w:fill="auto"/>
                  <w:vAlign w:val="center"/>
                </w:tcPr>
                <w:p w14:paraId="6A8C85A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7.4</w:t>
                  </w:r>
                </w:p>
              </w:tc>
              <w:tc>
                <w:tcPr>
                  <w:tcW w:w="667" w:type="pct"/>
                  <w:tcBorders>
                    <w:tl2br w:val="nil"/>
                    <w:tr2bl w:val="nil"/>
                  </w:tcBorders>
                  <w:shd w:val="clear" w:color="auto" w:fill="auto"/>
                  <w:vAlign w:val="center"/>
                </w:tcPr>
                <w:p w14:paraId="09F59A5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7.2</w:t>
                  </w:r>
                </w:p>
              </w:tc>
              <w:tc>
                <w:tcPr>
                  <w:tcW w:w="572" w:type="pct"/>
                  <w:tcBorders>
                    <w:tl2br w:val="nil"/>
                    <w:tr2bl w:val="nil"/>
                  </w:tcBorders>
                  <w:vAlign w:val="center"/>
                </w:tcPr>
                <w:p w14:paraId="1DC7CCB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7.1</w:t>
                  </w:r>
                </w:p>
              </w:tc>
              <w:tc>
                <w:tcPr>
                  <w:tcW w:w="576" w:type="pct"/>
                  <w:tcBorders>
                    <w:tl2br w:val="nil"/>
                    <w:tr2bl w:val="nil"/>
                  </w:tcBorders>
                  <w:vAlign w:val="center"/>
                </w:tcPr>
                <w:p w14:paraId="1F8AA0C7">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6</w:t>
                  </w:r>
                  <w:r>
                    <w:rPr>
                      <w:rFonts w:hint="eastAsia" w:ascii="宋体" w:hAnsi="宋体" w:eastAsia="宋体" w:cs="宋体"/>
                      <w:color w:val="auto"/>
                      <w:highlight w:val="none"/>
                      <w:lang w:val="en-US" w:eastAsia="zh-CN"/>
                    </w:rPr>
                    <w:t>～</w:t>
                  </w:r>
                  <w:r>
                    <w:rPr>
                      <w:rFonts w:hint="eastAsia" w:ascii="Times New Roman" w:hAnsi="Times New Roman" w:cs="Times New Roman"/>
                      <w:color w:val="auto"/>
                      <w:highlight w:val="none"/>
                      <w:lang w:val="en-US" w:eastAsia="zh-CN"/>
                    </w:rPr>
                    <w:t>9</w:t>
                  </w:r>
                </w:p>
              </w:tc>
              <w:tc>
                <w:tcPr>
                  <w:tcW w:w="690" w:type="pct"/>
                  <w:tcBorders>
                    <w:tl2br w:val="nil"/>
                    <w:tr2bl w:val="nil"/>
                  </w:tcBorders>
                  <w:vAlign w:val="center"/>
                </w:tcPr>
                <w:p w14:paraId="0EE70C4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584F59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05EBDCBA">
                  <w:pPr>
                    <w:pStyle w:val="3"/>
                    <w:bidi w:val="0"/>
                    <w:rPr>
                      <w:rFonts w:hint="eastAsia"/>
                      <w:color w:val="auto"/>
                      <w:lang w:eastAsia="zh-CN"/>
                    </w:rPr>
                  </w:pPr>
                </w:p>
              </w:tc>
              <w:tc>
                <w:tcPr>
                  <w:tcW w:w="831" w:type="pct"/>
                  <w:tcBorders>
                    <w:tl2br w:val="nil"/>
                    <w:tr2bl w:val="nil"/>
                  </w:tcBorders>
                  <w:vAlign w:val="center"/>
                </w:tcPr>
                <w:p w14:paraId="1C717FB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COD</w:t>
                  </w:r>
                </w:p>
              </w:tc>
              <w:tc>
                <w:tcPr>
                  <w:tcW w:w="831" w:type="pct"/>
                  <w:tcBorders>
                    <w:tl2br w:val="nil"/>
                    <w:tr2bl w:val="nil"/>
                  </w:tcBorders>
                  <w:shd w:val="clear" w:color="auto" w:fill="auto"/>
                  <w:vAlign w:val="center"/>
                </w:tcPr>
                <w:p w14:paraId="4175B1B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81</w:t>
                  </w:r>
                </w:p>
              </w:tc>
              <w:tc>
                <w:tcPr>
                  <w:tcW w:w="667" w:type="pct"/>
                  <w:tcBorders>
                    <w:tl2br w:val="nil"/>
                    <w:tr2bl w:val="nil"/>
                  </w:tcBorders>
                  <w:shd w:val="clear" w:color="auto" w:fill="auto"/>
                  <w:vAlign w:val="center"/>
                </w:tcPr>
                <w:p w14:paraId="6077E81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89</w:t>
                  </w:r>
                </w:p>
              </w:tc>
              <w:tc>
                <w:tcPr>
                  <w:tcW w:w="572" w:type="pct"/>
                  <w:tcBorders>
                    <w:tl2br w:val="nil"/>
                    <w:tr2bl w:val="nil"/>
                  </w:tcBorders>
                  <w:vAlign w:val="center"/>
                </w:tcPr>
                <w:p w14:paraId="583BFBB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83</w:t>
                  </w:r>
                </w:p>
              </w:tc>
              <w:tc>
                <w:tcPr>
                  <w:tcW w:w="576" w:type="pct"/>
                  <w:tcBorders>
                    <w:tl2br w:val="nil"/>
                    <w:tr2bl w:val="nil"/>
                  </w:tcBorders>
                  <w:vAlign w:val="center"/>
                </w:tcPr>
                <w:p w14:paraId="4F2B5872">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500</w:t>
                  </w:r>
                </w:p>
              </w:tc>
              <w:tc>
                <w:tcPr>
                  <w:tcW w:w="690" w:type="pct"/>
                  <w:tcBorders>
                    <w:tl2br w:val="nil"/>
                    <w:tr2bl w:val="nil"/>
                  </w:tcBorders>
                  <w:vAlign w:val="center"/>
                </w:tcPr>
                <w:p w14:paraId="7C3FA26B">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7E3A26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3DCC402F">
                  <w:pPr>
                    <w:pStyle w:val="3"/>
                    <w:bidi w:val="0"/>
                    <w:rPr>
                      <w:rFonts w:hint="eastAsia"/>
                      <w:color w:val="auto"/>
                      <w:lang w:eastAsia="zh-CN"/>
                    </w:rPr>
                  </w:pPr>
                </w:p>
              </w:tc>
              <w:tc>
                <w:tcPr>
                  <w:tcW w:w="831" w:type="pct"/>
                  <w:tcBorders>
                    <w:tl2br w:val="nil"/>
                    <w:tr2bl w:val="nil"/>
                  </w:tcBorders>
                  <w:vAlign w:val="center"/>
                </w:tcPr>
                <w:p w14:paraId="0C84B04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BOD</w:t>
                  </w:r>
                  <w:r>
                    <w:rPr>
                      <w:rFonts w:hint="eastAsia" w:ascii="Times New Roman" w:hAnsi="Times New Roman" w:cs="Times New Roman"/>
                      <w:color w:val="auto"/>
                      <w:vertAlign w:val="subscript"/>
                      <w:lang w:val="en-US" w:eastAsia="zh-CN"/>
                    </w:rPr>
                    <w:t>5</w:t>
                  </w:r>
                </w:p>
              </w:tc>
              <w:tc>
                <w:tcPr>
                  <w:tcW w:w="831" w:type="pct"/>
                  <w:tcBorders>
                    <w:tl2br w:val="nil"/>
                    <w:tr2bl w:val="nil"/>
                  </w:tcBorders>
                  <w:shd w:val="clear" w:color="auto" w:fill="auto"/>
                  <w:vAlign w:val="center"/>
                </w:tcPr>
                <w:p w14:paraId="15F1C9A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23.6</w:t>
                  </w:r>
                </w:p>
              </w:tc>
              <w:tc>
                <w:tcPr>
                  <w:tcW w:w="667" w:type="pct"/>
                  <w:tcBorders>
                    <w:tl2br w:val="nil"/>
                    <w:tr2bl w:val="nil"/>
                  </w:tcBorders>
                  <w:shd w:val="clear" w:color="auto" w:fill="auto"/>
                  <w:vAlign w:val="center"/>
                </w:tcPr>
                <w:p w14:paraId="531F9E2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26.2</w:t>
                  </w:r>
                </w:p>
              </w:tc>
              <w:tc>
                <w:tcPr>
                  <w:tcW w:w="572" w:type="pct"/>
                  <w:tcBorders>
                    <w:tl2br w:val="nil"/>
                    <w:tr2bl w:val="nil"/>
                  </w:tcBorders>
                  <w:vAlign w:val="center"/>
                </w:tcPr>
                <w:p w14:paraId="0E6C14B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26.8</w:t>
                  </w:r>
                </w:p>
              </w:tc>
              <w:tc>
                <w:tcPr>
                  <w:tcW w:w="576" w:type="pct"/>
                  <w:tcBorders>
                    <w:tl2br w:val="nil"/>
                    <w:tr2bl w:val="nil"/>
                  </w:tcBorders>
                  <w:vAlign w:val="center"/>
                </w:tcPr>
                <w:p w14:paraId="35F76A53">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300</w:t>
                  </w:r>
                </w:p>
              </w:tc>
              <w:tc>
                <w:tcPr>
                  <w:tcW w:w="690" w:type="pct"/>
                  <w:tcBorders>
                    <w:tl2br w:val="nil"/>
                    <w:tr2bl w:val="nil"/>
                  </w:tcBorders>
                  <w:vAlign w:val="center"/>
                </w:tcPr>
                <w:p w14:paraId="5EF5FFD0">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73B464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62804B6E">
                  <w:pPr>
                    <w:pStyle w:val="3"/>
                    <w:bidi w:val="0"/>
                    <w:rPr>
                      <w:rFonts w:hint="eastAsia"/>
                      <w:color w:val="auto"/>
                      <w:lang w:eastAsia="zh-CN"/>
                    </w:rPr>
                  </w:pPr>
                </w:p>
              </w:tc>
              <w:tc>
                <w:tcPr>
                  <w:tcW w:w="831" w:type="pct"/>
                  <w:tcBorders>
                    <w:tl2br w:val="nil"/>
                    <w:tr2bl w:val="nil"/>
                  </w:tcBorders>
                  <w:vAlign w:val="center"/>
                </w:tcPr>
                <w:p w14:paraId="5EA8BCB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SS</w:t>
                  </w:r>
                </w:p>
              </w:tc>
              <w:tc>
                <w:tcPr>
                  <w:tcW w:w="831" w:type="pct"/>
                  <w:tcBorders>
                    <w:tl2br w:val="nil"/>
                    <w:tr2bl w:val="nil"/>
                  </w:tcBorders>
                  <w:vAlign w:val="center"/>
                </w:tcPr>
                <w:p w14:paraId="149E2C9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36</w:t>
                  </w:r>
                </w:p>
              </w:tc>
              <w:tc>
                <w:tcPr>
                  <w:tcW w:w="667" w:type="pct"/>
                  <w:tcBorders>
                    <w:tl2br w:val="nil"/>
                    <w:tr2bl w:val="nil"/>
                  </w:tcBorders>
                  <w:vAlign w:val="center"/>
                </w:tcPr>
                <w:p w14:paraId="30565A3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p>
              </w:tc>
              <w:tc>
                <w:tcPr>
                  <w:tcW w:w="572" w:type="pct"/>
                  <w:tcBorders>
                    <w:tl2br w:val="nil"/>
                    <w:tr2bl w:val="nil"/>
                  </w:tcBorders>
                  <w:vAlign w:val="center"/>
                </w:tcPr>
                <w:p w14:paraId="1049334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32</w:t>
                  </w:r>
                </w:p>
              </w:tc>
              <w:tc>
                <w:tcPr>
                  <w:tcW w:w="576" w:type="pct"/>
                  <w:tcBorders>
                    <w:tl2br w:val="nil"/>
                    <w:tr2bl w:val="nil"/>
                  </w:tcBorders>
                  <w:vAlign w:val="center"/>
                </w:tcPr>
                <w:p w14:paraId="28ED3719">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400</w:t>
                  </w:r>
                </w:p>
              </w:tc>
              <w:tc>
                <w:tcPr>
                  <w:tcW w:w="690" w:type="pct"/>
                  <w:tcBorders>
                    <w:tl2br w:val="nil"/>
                    <w:tr2bl w:val="nil"/>
                  </w:tcBorders>
                  <w:vAlign w:val="center"/>
                </w:tcPr>
                <w:p w14:paraId="42F13D8D">
                  <w:pPr>
                    <w:pStyle w:val="3"/>
                    <w:bidi w:val="0"/>
                    <w:ind w:firstLine="0" w:firstLineChars="0"/>
                    <w:rPr>
                      <w:rFonts w:hint="default" w:ascii="Times New Roman" w:hAnsi="Times New Roman" w:cs="Times New Roman"/>
                      <w:color w:val="auto"/>
                      <w:lang w:eastAsia="zh-CN"/>
                    </w:rPr>
                  </w:pPr>
                  <w:r>
                    <w:rPr>
                      <w:rFonts w:hint="default" w:ascii="Times New Roman" w:hAnsi="Times New Roman" w:cs="Times New Roman"/>
                      <w:color w:val="auto"/>
                      <w:lang w:eastAsia="zh-CN"/>
                    </w:rPr>
                    <w:t>达标</w:t>
                  </w:r>
                </w:p>
              </w:tc>
            </w:tr>
            <w:tr w14:paraId="3D4849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03F6F2CC">
                  <w:pPr>
                    <w:pStyle w:val="3"/>
                    <w:bidi w:val="0"/>
                    <w:rPr>
                      <w:rFonts w:hint="eastAsia"/>
                      <w:color w:val="auto"/>
                      <w:lang w:eastAsia="zh-CN"/>
                    </w:rPr>
                  </w:pPr>
                </w:p>
              </w:tc>
              <w:tc>
                <w:tcPr>
                  <w:tcW w:w="831" w:type="pct"/>
                  <w:tcBorders>
                    <w:tl2br w:val="nil"/>
                    <w:tr2bl w:val="nil"/>
                  </w:tcBorders>
                  <w:vAlign w:val="center"/>
                </w:tcPr>
                <w:p w14:paraId="56DBC33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总磷</w:t>
                  </w:r>
                </w:p>
              </w:tc>
              <w:tc>
                <w:tcPr>
                  <w:tcW w:w="831" w:type="pct"/>
                  <w:tcBorders>
                    <w:tl2br w:val="nil"/>
                    <w:tr2bl w:val="nil"/>
                  </w:tcBorders>
                  <w:vAlign w:val="center"/>
                </w:tcPr>
                <w:p w14:paraId="78F61D2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0.18</w:t>
                  </w:r>
                </w:p>
              </w:tc>
              <w:tc>
                <w:tcPr>
                  <w:tcW w:w="667" w:type="pct"/>
                  <w:tcBorders>
                    <w:tl2br w:val="nil"/>
                    <w:tr2bl w:val="nil"/>
                  </w:tcBorders>
                  <w:vAlign w:val="center"/>
                </w:tcPr>
                <w:p w14:paraId="14E16A7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0.21</w:t>
                  </w:r>
                </w:p>
              </w:tc>
              <w:tc>
                <w:tcPr>
                  <w:tcW w:w="572" w:type="pct"/>
                  <w:tcBorders>
                    <w:tl2br w:val="nil"/>
                    <w:tr2bl w:val="nil"/>
                  </w:tcBorders>
                  <w:vAlign w:val="center"/>
                </w:tcPr>
                <w:p w14:paraId="091BA94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0.16</w:t>
                  </w:r>
                </w:p>
              </w:tc>
              <w:tc>
                <w:tcPr>
                  <w:tcW w:w="576" w:type="pct"/>
                  <w:tcBorders>
                    <w:tl2br w:val="nil"/>
                    <w:tr2bl w:val="nil"/>
                  </w:tcBorders>
                  <w:vAlign w:val="center"/>
                </w:tcPr>
                <w:p w14:paraId="109033ED">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w:t>
                  </w:r>
                </w:p>
              </w:tc>
              <w:tc>
                <w:tcPr>
                  <w:tcW w:w="690" w:type="pct"/>
                  <w:tcBorders>
                    <w:tl2br w:val="nil"/>
                    <w:tr2bl w:val="nil"/>
                  </w:tcBorders>
                  <w:shd w:val="clear" w:color="auto" w:fill="auto"/>
                  <w:vAlign w:val="center"/>
                </w:tcPr>
                <w:p w14:paraId="3031D544">
                  <w:pPr>
                    <w:pStyle w:val="3"/>
                    <w:bidi w:val="0"/>
                    <w:ind w:firstLine="0" w:firstLineChars="0"/>
                    <w:rPr>
                      <w:rFonts w:hint="default" w:ascii="Times New Roman" w:hAnsi="Times New Roman" w:eastAsia="Times New Roman" w:cs="Times New Roman"/>
                      <w:bCs/>
                      <w:color w:val="auto"/>
                      <w:kern w:val="44"/>
                      <w:sz w:val="21"/>
                      <w:szCs w:val="48"/>
                      <w:lang w:val="en-US" w:eastAsia="zh-CN" w:bidi="ar-SA"/>
                    </w:rPr>
                  </w:pPr>
                  <w:r>
                    <w:rPr>
                      <w:rFonts w:hint="default" w:ascii="Times New Roman" w:hAnsi="Times New Roman" w:cs="Times New Roman"/>
                      <w:color w:val="auto"/>
                      <w:lang w:eastAsia="zh-CN"/>
                    </w:rPr>
                    <w:t>达标</w:t>
                  </w:r>
                </w:p>
              </w:tc>
            </w:tr>
            <w:tr w14:paraId="1588C0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2FCAC1BC">
                  <w:pPr>
                    <w:pStyle w:val="3"/>
                    <w:bidi w:val="0"/>
                    <w:rPr>
                      <w:rFonts w:hint="eastAsia"/>
                      <w:color w:val="auto"/>
                      <w:lang w:eastAsia="zh-CN"/>
                    </w:rPr>
                  </w:pPr>
                </w:p>
              </w:tc>
              <w:tc>
                <w:tcPr>
                  <w:tcW w:w="831" w:type="pct"/>
                  <w:tcBorders>
                    <w:tl2br w:val="nil"/>
                    <w:tr2bl w:val="nil"/>
                  </w:tcBorders>
                  <w:vAlign w:val="center"/>
                </w:tcPr>
                <w:p w14:paraId="3D173CE7">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氨氮</w:t>
                  </w:r>
                </w:p>
              </w:tc>
              <w:tc>
                <w:tcPr>
                  <w:tcW w:w="831" w:type="pct"/>
                  <w:tcBorders>
                    <w:tl2br w:val="nil"/>
                    <w:tr2bl w:val="nil"/>
                  </w:tcBorders>
                  <w:vAlign w:val="center"/>
                </w:tcPr>
                <w:p w14:paraId="7CBF3B6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1.19</w:t>
                  </w:r>
                </w:p>
              </w:tc>
              <w:tc>
                <w:tcPr>
                  <w:tcW w:w="667" w:type="pct"/>
                  <w:tcBorders>
                    <w:tl2br w:val="nil"/>
                    <w:tr2bl w:val="nil"/>
                  </w:tcBorders>
                  <w:vAlign w:val="center"/>
                </w:tcPr>
                <w:p w14:paraId="7540506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1.28</w:t>
                  </w:r>
                </w:p>
              </w:tc>
              <w:tc>
                <w:tcPr>
                  <w:tcW w:w="572" w:type="pct"/>
                  <w:tcBorders>
                    <w:tl2br w:val="nil"/>
                    <w:tr2bl w:val="nil"/>
                  </w:tcBorders>
                  <w:vAlign w:val="center"/>
                </w:tcPr>
                <w:p w14:paraId="0139A83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1.41</w:t>
                  </w:r>
                </w:p>
              </w:tc>
              <w:tc>
                <w:tcPr>
                  <w:tcW w:w="576" w:type="pct"/>
                  <w:tcBorders>
                    <w:tl2br w:val="nil"/>
                    <w:tr2bl w:val="nil"/>
                  </w:tcBorders>
                  <w:vAlign w:val="center"/>
                </w:tcPr>
                <w:p w14:paraId="6958B27B">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45</w:t>
                  </w:r>
                </w:p>
              </w:tc>
              <w:tc>
                <w:tcPr>
                  <w:tcW w:w="690" w:type="pct"/>
                  <w:tcBorders>
                    <w:tl2br w:val="nil"/>
                    <w:tr2bl w:val="nil"/>
                  </w:tcBorders>
                  <w:shd w:val="clear" w:color="auto" w:fill="auto"/>
                  <w:vAlign w:val="center"/>
                </w:tcPr>
                <w:p w14:paraId="1C22E92F">
                  <w:pPr>
                    <w:pStyle w:val="3"/>
                    <w:bidi w:val="0"/>
                    <w:ind w:firstLine="0" w:firstLineChars="0"/>
                    <w:rPr>
                      <w:rFonts w:hint="default" w:ascii="Times New Roman" w:hAnsi="Times New Roman" w:eastAsia="Times New Roman" w:cs="Times New Roman"/>
                      <w:bCs/>
                      <w:color w:val="auto"/>
                      <w:kern w:val="44"/>
                      <w:sz w:val="21"/>
                      <w:szCs w:val="48"/>
                      <w:lang w:val="en-US" w:eastAsia="zh-CN" w:bidi="ar-SA"/>
                    </w:rPr>
                  </w:pPr>
                  <w:r>
                    <w:rPr>
                      <w:rFonts w:hint="default" w:ascii="Times New Roman" w:hAnsi="Times New Roman" w:cs="Times New Roman"/>
                      <w:color w:val="auto"/>
                      <w:lang w:eastAsia="zh-CN"/>
                    </w:rPr>
                    <w:t>达标</w:t>
                  </w:r>
                </w:p>
              </w:tc>
            </w:tr>
            <w:tr w14:paraId="2E8D17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6F1366D4">
                  <w:pPr>
                    <w:pStyle w:val="3"/>
                    <w:bidi w:val="0"/>
                    <w:rPr>
                      <w:rFonts w:hint="eastAsia"/>
                      <w:color w:val="auto"/>
                      <w:lang w:eastAsia="zh-CN"/>
                    </w:rPr>
                  </w:pPr>
                </w:p>
              </w:tc>
              <w:tc>
                <w:tcPr>
                  <w:tcW w:w="831" w:type="pct"/>
                  <w:tcBorders>
                    <w:tl2br w:val="nil"/>
                    <w:tr2bl w:val="nil"/>
                  </w:tcBorders>
                  <w:vAlign w:val="center"/>
                </w:tcPr>
                <w:p w14:paraId="221666A9">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总氮</w:t>
                  </w:r>
                </w:p>
              </w:tc>
              <w:tc>
                <w:tcPr>
                  <w:tcW w:w="831" w:type="pct"/>
                  <w:tcBorders>
                    <w:tl2br w:val="nil"/>
                    <w:tr2bl w:val="nil"/>
                  </w:tcBorders>
                  <w:vAlign w:val="center"/>
                </w:tcPr>
                <w:p w14:paraId="78C9C70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5.89</w:t>
                  </w:r>
                </w:p>
              </w:tc>
              <w:tc>
                <w:tcPr>
                  <w:tcW w:w="667" w:type="pct"/>
                  <w:tcBorders>
                    <w:tl2br w:val="nil"/>
                    <w:tr2bl w:val="nil"/>
                  </w:tcBorders>
                  <w:vAlign w:val="center"/>
                </w:tcPr>
                <w:p w14:paraId="5E62DFE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6.24</w:t>
                  </w:r>
                </w:p>
              </w:tc>
              <w:tc>
                <w:tcPr>
                  <w:tcW w:w="572" w:type="pct"/>
                  <w:tcBorders>
                    <w:tl2br w:val="nil"/>
                    <w:tr2bl w:val="nil"/>
                  </w:tcBorders>
                  <w:vAlign w:val="center"/>
                </w:tcPr>
                <w:p w14:paraId="5D58405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5.46</w:t>
                  </w:r>
                </w:p>
              </w:tc>
              <w:tc>
                <w:tcPr>
                  <w:tcW w:w="576" w:type="pct"/>
                  <w:tcBorders>
                    <w:tl2br w:val="nil"/>
                    <w:tr2bl w:val="nil"/>
                  </w:tcBorders>
                  <w:vAlign w:val="center"/>
                </w:tcPr>
                <w:p w14:paraId="77393C02">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70</w:t>
                  </w:r>
                </w:p>
              </w:tc>
              <w:tc>
                <w:tcPr>
                  <w:tcW w:w="690" w:type="pct"/>
                  <w:tcBorders>
                    <w:tl2br w:val="nil"/>
                    <w:tr2bl w:val="nil"/>
                  </w:tcBorders>
                  <w:shd w:val="clear" w:color="auto" w:fill="auto"/>
                  <w:vAlign w:val="center"/>
                </w:tcPr>
                <w:p w14:paraId="06F9C61F">
                  <w:pPr>
                    <w:pStyle w:val="3"/>
                    <w:bidi w:val="0"/>
                    <w:ind w:firstLine="0" w:firstLineChars="0"/>
                    <w:rPr>
                      <w:rFonts w:hint="default" w:ascii="Times New Roman" w:hAnsi="Times New Roman" w:eastAsia="Times New Roman" w:cs="Times New Roman"/>
                      <w:bCs/>
                      <w:color w:val="auto"/>
                      <w:kern w:val="44"/>
                      <w:sz w:val="21"/>
                      <w:szCs w:val="48"/>
                      <w:lang w:val="en-US" w:eastAsia="zh-CN" w:bidi="ar-SA"/>
                    </w:rPr>
                  </w:pPr>
                  <w:r>
                    <w:rPr>
                      <w:rFonts w:hint="default" w:ascii="Times New Roman" w:hAnsi="Times New Roman" w:cs="Times New Roman"/>
                      <w:color w:val="auto"/>
                      <w:lang w:eastAsia="zh-CN"/>
                    </w:rPr>
                    <w:t>达标</w:t>
                  </w:r>
                </w:p>
              </w:tc>
            </w:tr>
            <w:tr w14:paraId="3E9445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30" w:type="pct"/>
                  <w:vMerge w:val="continue"/>
                  <w:tcBorders>
                    <w:tl2br w:val="nil"/>
                    <w:tr2bl w:val="nil"/>
                  </w:tcBorders>
                  <w:vAlign w:val="center"/>
                </w:tcPr>
                <w:p w14:paraId="24BD7F4E">
                  <w:pPr>
                    <w:pStyle w:val="3"/>
                    <w:bidi w:val="0"/>
                    <w:rPr>
                      <w:rFonts w:hint="eastAsia"/>
                      <w:color w:val="auto"/>
                      <w:lang w:eastAsia="zh-CN"/>
                    </w:rPr>
                  </w:pPr>
                </w:p>
              </w:tc>
              <w:tc>
                <w:tcPr>
                  <w:tcW w:w="831" w:type="pct"/>
                  <w:tcBorders>
                    <w:tl2br w:val="nil"/>
                    <w:tr2bl w:val="nil"/>
                  </w:tcBorders>
                  <w:vAlign w:val="center"/>
                </w:tcPr>
                <w:p w14:paraId="2C288A4B">
                  <w:pPr>
                    <w:pStyle w:val="3"/>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动植物油</w:t>
                  </w:r>
                </w:p>
              </w:tc>
              <w:tc>
                <w:tcPr>
                  <w:tcW w:w="831" w:type="pct"/>
                  <w:tcBorders>
                    <w:tl2br w:val="nil"/>
                    <w:tr2bl w:val="nil"/>
                  </w:tcBorders>
                  <w:vAlign w:val="center"/>
                </w:tcPr>
                <w:p w14:paraId="341F12D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0.58</w:t>
                  </w:r>
                </w:p>
              </w:tc>
              <w:tc>
                <w:tcPr>
                  <w:tcW w:w="667" w:type="pct"/>
                  <w:tcBorders>
                    <w:tl2br w:val="nil"/>
                    <w:tr2bl w:val="nil"/>
                  </w:tcBorders>
                  <w:vAlign w:val="center"/>
                </w:tcPr>
                <w:p w14:paraId="4F9CC47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0.66</w:t>
                  </w:r>
                </w:p>
              </w:tc>
              <w:tc>
                <w:tcPr>
                  <w:tcW w:w="572" w:type="pct"/>
                  <w:tcBorders>
                    <w:tl2br w:val="nil"/>
                    <w:tr2bl w:val="nil"/>
                  </w:tcBorders>
                  <w:vAlign w:val="center"/>
                </w:tcPr>
                <w:p w14:paraId="249FC2A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0.61</w:t>
                  </w:r>
                </w:p>
              </w:tc>
              <w:tc>
                <w:tcPr>
                  <w:tcW w:w="576" w:type="pct"/>
                  <w:tcBorders>
                    <w:tl2br w:val="nil"/>
                    <w:tr2bl w:val="nil"/>
                  </w:tcBorders>
                  <w:vAlign w:val="center"/>
                </w:tcPr>
                <w:p w14:paraId="4D2C7962">
                  <w:pPr>
                    <w:pStyle w:val="3"/>
                    <w:bidi w:val="0"/>
                    <w:rPr>
                      <w:rFonts w:hint="default" w:ascii="Times New Roman" w:hAnsi="Times New Roman" w:cs="Times New Roman"/>
                      <w:color w:val="auto"/>
                      <w:highlight w:val="yellow"/>
                      <w:lang w:val="en-US" w:eastAsia="zh-CN"/>
                    </w:rPr>
                  </w:pPr>
                  <w:r>
                    <w:rPr>
                      <w:rFonts w:hint="eastAsia" w:ascii="Times New Roman" w:hAnsi="Times New Roman" w:cs="Times New Roman"/>
                      <w:color w:val="auto"/>
                      <w:highlight w:val="none"/>
                      <w:lang w:val="en-US" w:eastAsia="zh-CN"/>
                    </w:rPr>
                    <w:t>100</w:t>
                  </w:r>
                </w:p>
              </w:tc>
              <w:tc>
                <w:tcPr>
                  <w:tcW w:w="690" w:type="pct"/>
                  <w:tcBorders>
                    <w:tl2br w:val="nil"/>
                    <w:tr2bl w:val="nil"/>
                  </w:tcBorders>
                  <w:shd w:val="clear" w:color="auto" w:fill="auto"/>
                  <w:vAlign w:val="center"/>
                </w:tcPr>
                <w:p w14:paraId="73DF9D16">
                  <w:pPr>
                    <w:pStyle w:val="3"/>
                    <w:bidi w:val="0"/>
                    <w:ind w:firstLine="0" w:firstLineChars="0"/>
                    <w:rPr>
                      <w:rFonts w:hint="default" w:ascii="Times New Roman" w:hAnsi="Times New Roman" w:eastAsia="Times New Roman" w:cs="Times New Roman"/>
                      <w:bCs/>
                      <w:color w:val="auto"/>
                      <w:kern w:val="44"/>
                      <w:sz w:val="21"/>
                      <w:szCs w:val="48"/>
                      <w:lang w:val="en-US" w:eastAsia="zh-CN" w:bidi="ar-SA"/>
                    </w:rPr>
                  </w:pPr>
                  <w:r>
                    <w:rPr>
                      <w:rFonts w:hint="default" w:ascii="Times New Roman" w:hAnsi="Times New Roman" w:cs="Times New Roman"/>
                      <w:color w:val="auto"/>
                      <w:lang w:eastAsia="zh-CN"/>
                    </w:rPr>
                    <w:t>达标</w:t>
                  </w:r>
                </w:p>
              </w:tc>
            </w:tr>
          </w:tbl>
          <w:p w14:paraId="2264B18A">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auto"/>
              <w:rPr>
                <w:rFonts w:hint="eastAsia"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color w:val="auto"/>
                <w:sz w:val="24"/>
                <w:szCs w:val="24"/>
                <w:lang w:val="en-US" w:eastAsia="zh-CN" w:bidi="ar"/>
              </w:rPr>
              <w:t>由表2.</w:t>
            </w:r>
            <w:r>
              <w:rPr>
                <w:rFonts w:hint="eastAsia" w:ascii="Times New Roman" w:eastAsia="宋体" w:cs="Times New Roman"/>
                <w:color w:val="auto"/>
                <w:sz w:val="24"/>
                <w:szCs w:val="24"/>
                <w:lang w:val="en-US" w:eastAsia="zh-CN" w:bidi="ar"/>
              </w:rPr>
              <w:t>7-12</w:t>
            </w:r>
            <w:r>
              <w:rPr>
                <w:rFonts w:hint="default" w:ascii="Times New Roman" w:hAnsi="Times New Roman" w:eastAsia="宋体" w:cs="Times New Roman"/>
                <w:color w:val="auto"/>
                <w:sz w:val="24"/>
                <w:szCs w:val="24"/>
                <w:lang w:val="en-US" w:eastAsia="zh-CN" w:bidi="ar"/>
              </w:rPr>
              <w:t>可知：现有工程</w:t>
            </w:r>
            <w:r>
              <w:rPr>
                <w:rFonts w:hint="eastAsia" w:ascii="Times New Roman" w:eastAsia="宋体" w:cs="Times New Roman"/>
                <w:color w:val="auto"/>
                <w:sz w:val="24"/>
                <w:szCs w:val="24"/>
                <w:lang w:val="en-US" w:eastAsia="zh-CN" w:bidi="ar"/>
              </w:rPr>
              <w:t>污水处理站综合废水pH、COD、BOD</w:t>
            </w:r>
            <w:r>
              <w:rPr>
                <w:rFonts w:hint="eastAsia" w:ascii="Times New Roman" w:eastAsia="宋体" w:cs="Times New Roman"/>
                <w:color w:val="auto"/>
                <w:sz w:val="24"/>
                <w:szCs w:val="24"/>
                <w:vertAlign w:val="subscript"/>
                <w:lang w:val="en-US" w:eastAsia="zh-CN" w:bidi="ar"/>
              </w:rPr>
              <w:t>5</w:t>
            </w:r>
            <w:r>
              <w:rPr>
                <w:rFonts w:hint="eastAsia" w:ascii="Times New Roman" w:eastAsia="宋体" w:cs="Times New Roman"/>
                <w:color w:val="auto"/>
                <w:sz w:val="24"/>
                <w:szCs w:val="24"/>
                <w:lang w:val="en-US" w:eastAsia="zh-CN" w:bidi="ar"/>
              </w:rPr>
              <w:t>、SS、动植物油排放浓度</w:t>
            </w:r>
            <w:r>
              <w:rPr>
                <w:rFonts w:hint="default" w:ascii="Times New Roman" w:hAnsi="Times New Roman" w:eastAsia="宋体" w:cs="Times New Roman"/>
                <w:b w:val="0"/>
                <w:bCs/>
                <w:color w:val="auto"/>
                <w:sz w:val="24"/>
                <w:szCs w:val="24"/>
                <w:highlight w:val="none"/>
                <w:lang w:val="en-US" w:eastAsia="zh-CN"/>
              </w:rPr>
              <w:t>满足</w:t>
            </w:r>
            <w:r>
              <w:rPr>
                <w:rFonts w:hint="default" w:ascii="Times New Roman" w:hAnsi="Times New Roman" w:eastAsia="宋体" w:cs="Times New Roman"/>
                <w:b w:val="0"/>
                <w:bCs w:val="0"/>
                <w:color w:val="auto"/>
                <w:sz w:val="24"/>
                <w:szCs w:val="24"/>
              </w:rPr>
              <w:t>《污水综合排放标准》（GB8978-1996）三级标准</w:t>
            </w:r>
            <w:r>
              <w:rPr>
                <w:rFonts w:hint="eastAsia" w:ascii="Times New Roman" w:eastAsia="宋体" w:cs="Times New Roman"/>
                <w:b w:val="0"/>
                <w:bCs w:val="0"/>
                <w:color w:val="auto"/>
                <w:sz w:val="24"/>
                <w:szCs w:val="24"/>
                <w:lang w:eastAsia="zh-CN"/>
              </w:rPr>
              <w:t>要求</w:t>
            </w:r>
            <w:r>
              <w:rPr>
                <w:rFonts w:hint="default" w:ascii="Times New Roman" w:hAnsi="Times New Roman" w:eastAsia="宋体" w:cs="Times New Roman"/>
                <w:b w:val="0"/>
                <w:bCs/>
                <w:color w:val="auto"/>
                <w:sz w:val="24"/>
                <w:szCs w:val="24"/>
                <w:highlight w:val="none"/>
                <w:lang w:val="en-US" w:eastAsia="zh-CN"/>
              </w:rPr>
              <w:t>；</w:t>
            </w:r>
            <w:r>
              <w:rPr>
                <w:rFonts w:hint="eastAsia" w:ascii="Times New Roman" w:eastAsia="宋体" w:cs="Times New Roman"/>
                <w:b w:val="0"/>
                <w:bCs/>
                <w:color w:val="auto"/>
                <w:sz w:val="24"/>
                <w:szCs w:val="24"/>
                <w:highlight w:val="none"/>
                <w:lang w:eastAsia="zh-CN"/>
              </w:rPr>
              <w:t>总磷、氨氮、总氮排放浓度</w:t>
            </w:r>
            <w:r>
              <w:rPr>
                <w:rFonts w:hint="default" w:ascii="Times New Roman" w:hAnsi="Times New Roman" w:eastAsia="宋体" w:cs="Times New Roman"/>
                <w:b w:val="0"/>
                <w:bCs/>
                <w:color w:val="auto"/>
                <w:sz w:val="24"/>
                <w:szCs w:val="24"/>
                <w:highlight w:val="none"/>
                <w:lang w:eastAsia="zh-CN"/>
              </w:rPr>
              <w:t>满足</w:t>
            </w:r>
            <w:r>
              <w:rPr>
                <w:rFonts w:hint="default" w:ascii="Times New Roman" w:hAnsi="Times New Roman" w:eastAsia="宋体" w:cs="Times New Roman"/>
                <w:b w:val="0"/>
                <w:bCs/>
                <w:color w:val="auto"/>
                <w:sz w:val="24"/>
                <w:szCs w:val="24"/>
                <w:highlight w:val="none"/>
              </w:rPr>
              <w:t>《</w:t>
            </w:r>
            <w:r>
              <w:rPr>
                <w:rFonts w:hint="eastAsia" w:ascii="Times New Roman" w:eastAsia="宋体" w:cs="Times New Roman"/>
                <w:b w:val="0"/>
                <w:bCs/>
                <w:color w:val="auto"/>
                <w:sz w:val="24"/>
                <w:szCs w:val="24"/>
                <w:highlight w:val="none"/>
                <w:lang w:eastAsia="zh-CN"/>
              </w:rPr>
              <w:t>污水排放城镇下水道水质</w:t>
            </w:r>
            <w:r>
              <w:rPr>
                <w:rFonts w:hint="default" w:ascii="Times New Roman" w:hAnsi="Times New Roman" w:eastAsia="宋体" w:cs="Times New Roman"/>
                <w:b w:val="0"/>
                <w:bCs/>
                <w:color w:val="auto"/>
                <w:sz w:val="24"/>
                <w:szCs w:val="24"/>
                <w:highlight w:val="none"/>
                <w:lang w:eastAsia="zh-CN"/>
              </w:rPr>
              <w:t>标准</w:t>
            </w:r>
            <w:r>
              <w:rPr>
                <w:rFonts w:hint="default" w:ascii="Times New Roman" w:hAnsi="Times New Roman" w:eastAsia="宋体" w:cs="Times New Roman"/>
                <w:b w:val="0"/>
                <w:bCs/>
                <w:color w:val="auto"/>
                <w:sz w:val="24"/>
                <w:szCs w:val="24"/>
                <w:highlight w:val="none"/>
              </w:rPr>
              <w:t>》（</w:t>
            </w:r>
            <w:r>
              <w:rPr>
                <w:rFonts w:hint="default" w:ascii="Times New Roman" w:hAnsi="Times New Roman" w:eastAsia="宋体" w:cs="Times New Roman"/>
                <w:b w:val="0"/>
                <w:bCs/>
                <w:color w:val="auto"/>
                <w:sz w:val="24"/>
                <w:szCs w:val="24"/>
                <w:highlight w:val="none"/>
                <w:lang w:val="en-US" w:eastAsia="zh-CN"/>
              </w:rPr>
              <w:t xml:space="preserve">GB/T </w:t>
            </w:r>
            <w:r>
              <w:rPr>
                <w:rFonts w:hint="eastAsia" w:ascii="Times New Roman" w:eastAsia="宋体" w:cs="Times New Roman"/>
                <w:b w:val="0"/>
                <w:bCs/>
                <w:color w:val="auto"/>
                <w:sz w:val="24"/>
                <w:szCs w:val="24"/>
                <w:highlight w:val="none"/>
                <w:lang w:val="en-US" w:eastAsia="zh-CN"/>
              </w:rPr>
              <w:t>31962</w:t>
            </w:r>
            <w:r>
              <w:rPr>
                <w:rFonts w:hint="default" w:ascii="Times New Roman" w:hAnsi="Times New Roman" w:eastAsia="宋体" w:cs="Times New Roman"/>
                <w:b w:val="0"/>
                <w:bCs/>
                <w:color w:val="auto"/>
                <w:sz w:val="24"/>
                <w:szCs w:val="24"/>
                <w:highlight w:val="none"/>
                <w:lang w:val="en-US" w:eastAsia="zh-CN"/>
              </w:rPr>
              <w:t>-</w:t>
            </w:r>
            <w:r>
              <w:rPr>
                <w:rFonts w:hint="eastAsia" w:ascii="Times New Roman" w:eastAsia="宋体" w:cs="Times New Roman"/>
                <w:b w:val="0"/>
                <w:bCs/>
                <w:color w:val="auto"/>
                <w:sz w:val="24"/>
                <w:szCs w:val="24"/>
                <w:highlight w:val="none"/>
                <w:lang w:val="en-US" w:eastAsia="zh-CN"/>
              </w:rPr>
              <w:t>2015</w:t>
            </w:r>
            <w:r>
              <w:rPr>
                <w:rFonts w:hint="default" w:ascii="Times New Roman" w:hAnsi="Times New Roman" w:eastAsia="宋体" w:cs="Times New Roman"/>
                <w:b w:val="0"/>
                <w:bCs/>
                <w:color w:val="auto"/>
                <w:sz w:val="24"/>
                <w:szCs w:val="24"/>
                <w:highlight w:val="none"/>
              </w:rPr>
              <w:t>）</w:t>
            </w:r>
            <w:r>
              <w:rPr>
                <w:rFonts w:hint="eastAsia" w:ascii="Times New Roman" w:eastAsia="宋体" w:cs="Times New Roman"/>
                <w:b w:val="0"/>
                <w:bCs/>
                <w:color w:val="auto"/>
                <w:sz w:val="24"/>
                <w:szCs w:val="24"/>
                <w:highlight w:val="none"/>
                <w:lang w:eastAsia="zh-CN"/>
              </w:rPr>
              <w:t>的标准要求</w:t>
            </w:r>
            <w:r>
              <w:rPr>
                <w:rFonts w:hint="eastAsia" w:ascii="Times New Roman" w:hAnsi="Times New Roman" w:eastAsia="宋体" w:cs="Times New Roman"/>
                <w:b w:val="0"/>
                <w:bCs/>
                <w:color w:val="auto"/>
                <w:sz w:val="24"/>
                <w:szCs w:val="24"/>
                <w:highlight w:val="none"/>
                <w:lang w:eastAsia="zh-CN"/>
              </w:rPr>
              <w:t>。</w:t>
            </w:r>
          </w:p>
          <w:p w14:paraId="400D707F">
            <w:pPr>
              <w:spacing w:line="360" w:lineRule="auto"/>
              <w:ind w:left="0" w:leftChars="0" w:firstLine="480" w:firstLineChars="200"/>
              <w:jc w:val="both"/>
              <w:rPr>
                <w:rFonts w:hint="default" w:ascii="宋体" w:hAnsi="宋体" w:eastAsia="宋体" w:cs="宋体"/>
                <w:bCs/>
                <w:color w:val="auto"/>
                <w:sz w:val="24"/>
                <w:szCs w:val="24"/>
                <w:lang w:val="en-US" w:eastAsia="zh-CN"/>
              </w:rPr>
            </w:pPr>
            <w:r>
              <w:rPr>
                <w:rFonts w:hint="eastAsia" w:cs="Times New Roman"/>
                <w:b w:val="0"/>
                <w:bCs/>
                <w:color w:val="auto"/>
                <w:sz w:val="24"/>
                <w:szCs w:val="24"/>
                <w:highlight w:val="none"/>
                <w:lang w:eastAsia="zh-CN"/>
              </w:rPr>
              <w:t>根据《重庆市涪陵区龙桥镇中粮油脂（重庆）有限公司</w:t>
            </w:r>
            <w:r>
              <w:rPr>
                <w:rFonts w:hint="eastAsia" w:cs="Times New Roman"/>
                <w:b w:val="0"/>
                <w:bCs/>
                <w:color w:val="auto"/>
                <w:sz w:val="24"/>
                <w:szCs w:val="24"/>
                <w:highlight w:val="none"/>
                <w:lang w:val="en-US" w:eastAsia="zh-CN"/>
              </w:rPr>
              <w:t>2020年技改项目环境影响报告表</w:t>
            </w:r>
            <w:r>
              <w:rPr>
                <w:rFonts w:hint="eastAsia" w:cs="Times New Roman"/>
                <w:b w:val="0"/>
                <w:bCs/>
                <w:color w:val="auto"/>
                <w:sz w:val="24"/>
                <w:szCs w:val="24"/>
                <w:highlight w:val="none"/>
                <w:lang w:eastAsia="zh-CN"/>
              </w:rPr>
              <w:t>》、</w:t>
            </w:r>
            <w:r>
              <w:rPr>
                <w:rFonts w:hint="default" w:ascii="Times New Roman" w:hAnsi="Times New Roman" w:eastAsia="宋体" w:cs="Times New Roman"/>
                <w:b w:val="0"/>
                <w:bCs/>
                <w:color w:val="auto"/>
                <w:kern w:val="2"/>
                <w:sz w:val="24"/>
                <w:szCs w:val="24"/>
                <w:lang w:val="en-US" w:eastAsia="zh-CN" w:bidi="ar-SA"/>
              </w:rPr>
              <w:t>《</w:t>
            </w:r>
            <w:r>
              <w:rPr>
                <w:rFonts w:hint="default" w:ascii="Times New Roman" w:hAnsi="Times New Roman" w:eastAsia="宋体" w:cs="Times New Roman"/>
                <w:b w:val="0"/>
                <w:bCs/>
                <w:color w:val="auto"/>
                <w:sz w:val="24"/>
                <w:szCs w:val="24"/>
              </w:rPr>
              <w:t>重庆市涪陵区龙桥镇中粮油脂（重庆）有限公司2020年技改项目竣工环境保护验收监测报告表</w:t>
            </w:r>
            <w:r>
              <w:rPr>
                <w:rFonts w:hint="default" w:ascii="Times New Roman" w:hAnsi="Times New Roman" w:eastAsia="宋体" w:cs="Times New Roman"/>
                <w:b w:val="0"/>
                <w:bCs/>
                <w:color w:val="auto"/>
                <w:kern w:val="2"/>
                <w:sz w:val="24"/>
                <w:szCs w:val="24"/>
                <w:lang w:val="en-US" w:eastAsia="zh-CN" w:bidi="ar-SA"/>
              </w:rPr>
              <w:t>》</w:t>
            </w:r>
            <w:r>
              <w:rPr>
                <w:rFonts w:hint="eastAsia" w:eastAsia="宋体" w:cs="Times New Roman"/>
                <w:b w:val="0"/>
                <w:bCs/>
                <w:color w:val="auto"/>
                <w:kern w:val="2"/>
                <w:sz w:val="24"/>
                <w:szCs w:val="24"/>
                <w:lang w:val="en-US" w:eastAsia="zh-CN" w:bidi="ar-SA"/>
              </w:rPr>
              <w:t>，</w:t>
            </w:r>
            <w:r>
              <w:rPr>
                <w:rFonts w:hint="eastAsia" w:ascii="Times New Roman" w:hAnsi="Times New Roman" w:cs="Times New Roman"/>
                <w:b w:val="0"/>
                <w:bCs/>
                <w:color w:val="auto"/>
                <w:sz w:val="24"/>
                <w:szCs w:val="24"/>
                <w:highlight w:val="none"/>
                <w:lang w:eastAsia="zh-CN"/>
              </w:rPr>
              <w:t>现有工程</w:t>
            </w:r>
            <w:r>
              <w:rPr>
                <w:rFonts w:hint="eastAsia" w:cs="Times New Roman"/>
                <w:b w:val="0"/>
                <w:bCs/>
                <w:color w:val="auto"/>
                <w:sz w:val="24"/>
                <w:szCs w:val="24"/>
                <w:highlight w:val="none"/>
                <w:lang w:eastAsia="zh-CN"/>
              </w:rPr>
              <w:t>废水产生量约为</w:t>
            </w:r>
            <w:r>
              <w:rPr>
                <w:rFonts w:hint="eastAsia" w:cs="Times New Roman"/>
                <w:b w:val="0"/>
                <w:bCs/>
                <w:color w:val="auto"/>
                <w:sz w:val="24"/>
                <w:szCs w:val="24"/>
                <w:highlight w:val="none"/>
                <w:lang w:val="en-US" w:eastAsia="zh-CN"/>
              </w:rPr>
              <w:t>297m</w:t>
            </w:r>
            <w:r>
              <w:rPr>
                <w:rFonts w:hint="eastAsia" w:cs="Times New Roman"/>
                <w:b w:val="0"/>
                <w:bCs/>
                <w:color w:val="auto"/>
                <w:sz w:val="24"/>
                <w:szCs w:val="24"/>
                <w:highlight w:val="none"/>
                <w:vertAlign w:val="superscript"/>
                <w:lang w:val="en-US" w:eastAsia="zh-CN"/>
              </w:rPr>
              <w:t>3</w:t>
            </w:r>
            <w:r>
              <w:rPr>
                <w:rFonts w:hint="eastAsia" w:cs="Times New Roman"/>
                <w:b w:val="0"/>
                <w:bCs/>
                <w:color w:val="auto"/>
                <w:sz w:val="24"/>
                <w:szCs w:val="24"/>
                <w:highlight w:val="none"/>
                <w:lang w:val="en-US" w:eastAsia="zh-CN"/>
              </w:rPr>
              <w:t>/d，即88966m</w:t>
            </w:r>
            <w:r>
              <w:rPr>
                <w:rFonts w:hint="eastAsia" w:cs="Times New Roman"/>
                <w:b w:val="0"/>
                <w:bCs/>
                <w:color w:val="auto"/>
                <w:sz w:val="24"/>
                <w:szCs w:val="24"/>
                <w:highlight w:val="none"/>
                <w:vertAlign w:val="superscript"/>
                <w:lang w:val="en-US" w:eastAsia="zh-CN"/>
              </w:rPr>
              <w:t>3</w:t>
            </w:r>
            <w:r>
              <w:rPr>
                <w:rFonts w:hint="eastAsia" w:cs="Times New Roman"/>
                <w:b w:val="0"/>
                <w:bCs/>
                <w:color w:val="auto"/>
                <w:sz w:val="24"/>
                <w:szCs w:val="24"/>
                <w:highlight w:val="none"/>
                <w:lang w:val="en-US" w:eastAsia="zh-CN"/>
              </w:rPr>
              <w:t>/a，</w:t>
            </w:r>
            <w:r>
              <w:rPr>
                <w:rFonts w:hint="eastAsia" w:ascii="Times New Roman" w:hAnsi="Times New Roman" w:cs="Times New Roman"/>
                <w:b w:val="0"/>
                <w:bCs/>
                <w:color w:val="auto"/>
                <w:sz w:val="24"/>
                <w:szCs w:val="24"/>
                <w:highlight w:val="none"/>
                <w:lang w:eastAsia="zh-CN"/>
              </w:rPr>
              <w:t>水污染物</w:t>
            </w:r>
            <w:r>
              <w:rPr>
                <w:rFonts w:hint="eastAsia" w:cs="Times New Roman"/>
                <w:b w:val="0"/>
                <w:bCs/>
                <w:color w:val="auto"/>
                <w:sz w:val="24"/>
                <w:szCs w:val="24"/>
                <w:highlight w:val="none"/>
                <w:lang w:eastAsia="zh-CN"/>
              </w:rPr>
              <w:t>排放量</w:t>
            </w:r>
            <w:r>
              <w:rPr>
                <w:rFonts w:hint="eastAsia" w:ascii="Times New Roman" w:hAnsi="Times New Roman" w:cs="Times New Roman"/>
                <w:b w:val="0"/>
                <w:bCs/>
                <w:color w:val="auto"/>
                <w:sz w:val="24"/>
                <w:szCs w:val="24"/>
                <w:highlight w:val="none"/>
                <w:lang w:eastAsia="zh-CN"/>
              </w:rPr>
              <w:t>核算见表</w:t>
            </w:r>
            <w:r>
              <w:rPr>
                <w:rFonts w:hint="eastAsia" w:ascii="Times New Roman" w:hAnsi="Times New Roman" w:cs="Times New Roman"/>
                <w:b w:val="0"/>
                <w:bCs/>
                <w:color w:val="auto"/>
                <w:sz w:val="24"/>
                <w:szCs w:val="24"/>
                <w:highlight w:val="none"/>
                <w:lang w:val="en-US" w:eastAsia="zh-CN"/>
              </w:rPr>
              <w:t>2.</w:t>
            </w:r>
            <w:r>
              <w:rPr>
                <w:rFonts w:hint="eastAsia" w:cs="Times New Roman"/>
                <w:b w:val="0"/>
                <w:bCs/>
                <w:color w:val="auto"/>
                <w:sz w:val="24"/>
                <w:szCs w:val="24"/>
                <w:highlight w:val="none"/>
                <w:lang w:val="en-US" w:eastAsia="zh-CN"/>
              </w:rPr>
              <w:t>7-13</w:t>
            </w:r>
            <w:r>
              <w:rPr>
                <w:rFonts w:hint="eastAsia" w:ascii="Times New Roman" w:hAnsi="Times New Roman" w:cs="Times New Roman"/>
                <w:b w:val="0"/>
                <w:bCs/>
                <w:color w:val="auto"/>
                <w:sz w:val="24"/>
                <w:szCs w:val="24"/>
                <w:highlight w:val="none"/>
                <w:lang w:val="en-US" w:eastAsia="zh-CN"/>
              </w:rPr>
              <w:t>。</w:t>
            </w:r>
          </w:p>
          <w:p w14:paraId="5D9E630F">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2.7-13</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现有工程</w:t>
            </w:r>
            <w:r>
              <w:rPr>
                <w:rFonts w:hint="default" w:ascii="Times New Roman" w:hAnsi="Times New Roman" w:cs="Times New Roman"/>
                <w:color w:val="auto"/>
              </w:rPr>
              <w:t>水污染物</w:t>
            </w:r>
            <w:r>
              <w:rPr>
                <w:rFonts w:hint="default" w:ascii="Times New Roman" w:hAnsi="Times New Roman" w:cs="Times New Roman"/>
                <w:color w:val="auto"/>
                <w:lang w:eastAsia="zh-CN"/>
              </w:rPr>
              <w:t>排放量</w:t>
            </w:r>
            <w:r>
              <w:rPr>
                <w:rFonts w:hint="default" w:ascii="Times New Roman" w:hAnsi="Times New Roman" w:cs="Times New Roman"/>
                <w:color w:val="auto"/>
              </w:rPr>
              <w:t>核算表</w:t>
            </w:r>
          </w:p>
          <w:tbl>
            <w:tblPr>
              <w:tblStyle w:val="17"/>
              <w:tblW w:w="4999"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970"/>
              <w:gridCol w:w="3416"/>
              <w:gridCol w:w="3001"/>
            </w:tblGrid>
            <w:tr w14:paraId="2A5C1B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noWrap w:val="0"/>
                  <w:vAlign w:val="center"/>
                </w:tcPr>
                <w:p w14:paraId="7B5B3320">
                  <w:pPr>
                    <w:pStyle w:val="3"/>
                    <w:bidi w:val="0"/>
                    <w:rPr>
                      <w:rFonts w:hint="default" w:ascii="Times New Roman" w:hAnsi="Times New Roman" w:cs="Times New Roman"/>
                      <w:color w:val="auto"/>
                    </w:rPr>
                  </w:pPr>
                  <w:r>
                    <w:rPr>
                      <w:rFonts w:hint="default" w:ascii="Times New Roman" w:hAnsi="Times New Roman" w:cs="Times New Roman"/>
                      <w:color w:val="auto"/>
                    </w:rPr>
                    <w:t>项目</w:t>
                  </w:r>
                </w:p>
              </w:tc>
              <w:tc>
                <w:tcPr>
                  <w:tcW w:w="2036" w:type="pct"/>
                  <w:noWrap w:val="0"/>
                  <w:vAlign w:val="center"/>
                </w:tcPr>
                <w:p w14:paraId="1180F201">
                  <w:pPr>
                    <w:pStyle w:val="3"/>
                    <w:bidi w:val="0"/>
                    <w:rPr>
                      <w:rFonts w:hint="default" w:ascii="Times New Roman" w:hAnsi="Times New Roman" w:cs="Times New Roman"/>
                      <w:color w:val="auto"/>
                    </w:rPr>
                  </w:pPr>
                  <w:r>
                    <w:rPr>
                      <w:rFonts w:hint="default" w:ascii="Times New Roman" w:hAnsi="Times New Roman" w:cs="Times New Roman"/>
                      <w:color w:val="auto"/>
                    </w:rPr>
                    <w:t>污染物</w:t>
                  </w:r>
                </w:p>
              </w:tc>
              <w:tc>
                <w:tcPr>
                  <w:tcW w:w="1788" w:type="pct"/>
                  <w:noWrap w:val="0"/>
                  <w:vAlign w:val="center"/>
                </w:tcPr>
                <w:p w14:paraId="449D8687">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排放量t/a</w:t>
                  </w:r>
                </w:p>
              </w:tc>
            </w:tr>
            <w:tr w14:paraId="5F97CEB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restart"/>
                  <w:noWrap w:val="0"/>
                  <w:vAlign w:val="center"/>
                </w:tcPr>
                <w:p w14:paraId="55BE158B">
                  <w:pPr>
                    <w:pStyle w:val="3"/>
                    <w:bidi w:val="0"/>
                    <w:rPr>
                      <w:rFonts w:hint="default" w:ascii="Times New Roman" w:hAnsi="Times New Roman" w:cs="Times New Roman"/>
                      <w:color w:val="auto"/>
                    </w:rPr>
                  </w:pPr>
                  <w:r>
                    <w:rPr>
                      <w:rFonts w:hint="default" w:ascii="Times New Roman" w:hAnsi="Times New Roman" w:cs="Times New Roman"/>
                      <w:color w:val="auto"/>
                    </w:rPr>
                    <w:t>综合废水</w:t>
                  </w:r>
                </w:p>
              </w:tc>
              <w:tc>
                <w:tcPr>
                  <w:tcW w:w="2036" w:type="pct"/>
                  <w:noWrap w:val="0"/>
                  <w:vAlign w:val="center"/>
                </w:tcPr>
                <w:p w14:paraId="46D8361C">
                  <w:pPr>
                    <w:pStyle w:val="3"/>
                    <w:bidi w:val="0"/>
                    <w:rPr>
                      <w:rFonts w:hint="default" w:ascii="Times New Roman" w:hAnsi="Times New Roman" w:cs="Times New Roman"/>
                      <w:color w:val="auto"/>
                    </w:rPr>
                  </w:pPr>
                  <w:r>
                    <w:rPr>
                      <w:rFonts w:hint="default" w:ascii="Times New Roman" w:hAnsi="Times New Roman" w:cs="Times New Roman"/>
                      <w:color w:val="auto"/>
                    </w:rPr>
                    <w:t>COD</w:t>
                  </w:r>
                </w:p>
              </w:tc>
              <w:tc>
                <w:tcPr>
                  <w:tcW w:w="1788" w:type="pct"/>
                  <w:noWrap w:val="0"/>
                  <w:vAlign w:val="center"/>
                </w:tcPr>
                <w:p w14:paraId="536AE23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5.06</w:t>
                  </w:r>
                </w:p>
              </w:tc>
            </w:tr>
            <w:tr w14:paraId="3DEF3D2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66BC5493">
                  <w:pPr>
                    <w:pStyle w:val="3"/>
                    <w:bidi w:val="0"/>
                    <w:rPr>
                      <w:rFonts w:hint="default" w:ascii="Times New Roman" w:hAnsi="Times New Roman" w:cs="Times New Roman"/>
                      <w:color w:val="auto"/>
                    </w:rPr>
                  </w:pPr>
                </w:p>
              </w:tc>
              <w:tc>
                <w:tcPr>
                  <w:tcW w:w="2036" w:type="pct"/>
                  <w:noWrap w:val="0"/>
                  <w:vAlign w:val="center"/>
                </w:tcPr>
                <w:p w14:paraId="4A6F81D1">
                  <w:pPr>
                    <w:pStyle w:val="3"/>
                    <w:bidi w:val="0"/>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1788" w:type="pct"/>
                  <w:noWrap w:val="0"/>
                  <w:vAlign w:val="center"/>
                </w:tcPr>
                <w:p w14:paraId="590F1284">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1.29</w:t>
                  </w:r>
                </w:p>
              </w:tc>
            </w:tr>
            <w:tr w14:paraId="51CD7E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61416380">
                  <w:pPr>
                    <w:pStyle w:val="3"/>
                    <w:bidi w:val="0"/>
                    <w:rPr>
                      <w:rFonts w:hint="default" w:ascii="Times New Roman" w:hAnsi="Times New Roman" w:cs="Times New Roman"/>
                      <w:color w:val="auto"/>
                    </w:rPr>
                  </w:pPr>
                </w:p>
              </w:tc>
              <w:tc>
                <w:tcPr>
                  <w:tcW w:w="2036" w:type="pct"/>
                  <w:noWrap w:val="0"/>
                  <w:vAlign w:val="center"/>
                </w:tcPr>
                <w:p w14:paraId="03121AAA">
                  <w:pPr>
                    <w:pStyle w:val="3"/>
                    <w:bidi w:val="0"/>
                    <w:rPr>
                      <w:rFonts w:hint="default" w:ascii="Times New Roman" w:hAnsi="Times New Roman" w:cs="Times New Roman"/>
                      <w:color w:val="auto"/>
                    </w:rPr>
                  </w:pPr>
                  <w:r>
                    <w:rPr>
                      <w:rFonts w:hint="default" w:ascii="Times New Roman" w:hAnsi="Times New Roman" w:cs="Times New Roman"/>
                      <w:color w:val="auto"/>
                    </w:rPr>
                    <w:t>SS</w:t>
                  </w:r>
                </w:p>
              </w:tc>
              <w:tc>
                <w:tcPr>
                  <w:tcW w:w="1788" w:type="pct"/>
                  <w:noWrap w:val="0"/>
                  <w:vAlign w:val="center"/>
                </w:tcPr>
                <w:p w14:paraId="17DC18C3">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4.0</w:t>
                  </w:r>
                </w:p>
              </w:tc>
            </w:tr>
            <w:tr w14:paraId="506551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03424545">
                  <w:pPr>
                    <w:pStyle w:val="3"/>
                    <w:bidi w:val="0"/>
                    <w:rPr>
                      <w:rFonts w:hint="default" w:ascii="Times New Roman" w:hAnsi="Times New Roman" w:cs="Times New Roman"/>
                      <w:color w:val="auto"/>
                    </w:rPr>
                  </w:pPr>
                </w:p>
              </w:tc>
              <w:tc>
                <w:tcPr>
                  <w:tcW w:w="2036" w:type="pct"/>
                  <w:noWrap w:val="0"/>
                  <w:vAlign w:val="center"/>
                </w:tcPr>
                <w:p w14:paraId="7A87A14E">
                  <w:pPr>
                    <w:pStyle w:val="3"/>
                    <w:bidi w:val="0"/>
                    <w:rPr>
                      <w:rFonts w:hint="default" w:ascii="Times New Roman" w:hAnsi="Times New Roman" w:cs="Times New Roman"/>
                      <w:color w:val="auto"/>
                    </w:rPr>
                  </w:pPr>
                  <w:r>
                    <w:rPr>
                      <w:rFonts w:hint="default" w:ascii="Times New Roman" w:hAnsi="Times New Roman" w:cs="Times New Roman"/>
                      <w:color w:val="auto"/>
                    </w:rPr>
                    <w:t>氨氮</w:t>
                  </w:r>
                </w:p>
              </w:tc>
              <w:tc>
                <w:tcPr>
                  <w:tcW w:w="1788" w:type="pct"/>
                  <w:noWrap w:val="0"/>
                  <w:vAlign w:val="center"/>
                </w:tcPr>
                <w:p w14:paraId="2E19D066">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0.279</w:t>
                  </w:r>
                </w:p>
              </w:tc>
            </w:tr>
            <w:tr w14:paraId="430E20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6D55FFCE">
                  <w:pPr>
                    <w:pStyle w:val="3"/>
                    <w:bidi w:val="0"/>
                    <w:rPr>
                      <w:rFonts w:hint="default" w:ascii="Times New Roman" w:hAnsi="Times New Roman" w:cs="Times New Roman"/>
                      <w:color w:val="auto"/>
                    </w:rPr>
                  </w:pPr>
                </w:p>
              </w:tc>
              <w:tc>
                <w:tcPr>
                  <w:tcW w:w="2036" w:type="pct"/>
                  <w:noWrap w:val="0"/>
                  <w:vAlign w:val="center"/>
                </w:tcPr>
                <w:p w14:paraId="09782B77">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总氮</w:t>
                  </w:r>
                </w:p>
              </w:tc>
              <w:tc>
                <w:tcPr>
                  <w:tcW w:w="1788" w:type="pct"/>
                  <w:noWrap w:val="0"/>
                  <w:vAlign w:val="center"/>
                </w:tcPr>
                <w:p w14:paraId="1BFF7F5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0.558</w:t>
                  </w:r>
                </w:p>
              </w:tc>
            </w:tr>
            <w:tr w14:paraId="57B1343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212" w:hRule="atLeast"/>
              </w:trPr>
              <w:tc>
                <w:tcPr>
                  <w:tcW w:w="1174" w:type="pct"/>
                  <w:vMerge w:val="continue"/>
                  <w:noWrap w:val="0"/>
                  <w:vAlign w:val="center"/>
                </w:tcPr>
                <w:p w14:paraId="1053B45F">
                  <w:pPr>
                    <w:pStyle w:val="3"/>
                    <w:bidi w:val="0"/>
                    <w:rPr>
                      <w:rFonts w:hint="default" w:ascii="Times New Roman" w:hAnsi="Times New Roman" w:cs="Times New Roman"/>
                      <w:color w:val="auto"/>
                    </w:rPr>
                  </w:pPr>
                </w:p>
              </w:tc>
              <w:tc>
                <w:tcPr>
                  <w:tcW w:w="2036" w:type="pct"/>
                  <w:noWrap w:val="0"/>
                  <w:vAlign w:val="center"/>
                </w:tcPr>
                <w:p w14:paraId="082153B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总磷</w:t>
                  </w:r>
                </w:p>
              </w:tc>
              <w:tc>
                <w:tcPr>
                  <w:tcW w:w="1788" w:type="pct"/>
                  <w:noWrap w:val="0"/>
                  <w:vAlign w:val="center"/>
                </w:tcPr>
                <w:p w14:paraId="2B5487C6">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0.004</w:t>
                  </w:r>
                </w:p>
              </w:tc>
            </w:tr>
            <w:tr w14:paraId="125F83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174" w:type="pct"/>
                  <w:vMerge w:val="continue"/>
                  <w:noWrap w:val="0"/>
                  <w:vAlign w:val="center"/>
                </w:tcPr>
                <w:p w14:paraId="55958F34">
                  <w:pPr>
                    <w:pStyle w:val="3"/>
                    <w:bidi w:val="0"/>
                    <w:rPr>
                      <w:rFonts w:hint="default" w:ascii="Times New Roman" w:hAnsi="Times New Roman" w:cs="Times New Roman"/>
                      <w:color w:val="auto"/>
                    </w:rPr>
                  </w:pPr>
                </w:p>
              </w:tc>
              <w:tc>
                <w:tcPr>
                  <w:tcW w:w="2036" w:type="pct"/>
                  <w:noWrap w:val="0"/>
                  <w:vAlign w:val="center"/>
                </w:tcPr>
                <w:p w14:paraId="6D1A7AC8">
                  <w:pPr>
                    <w:pStyle w:val="3"/>
                    <w:bidi w:val="0"/>
                    <w:rPr>
                      <w:rFonts w:hint="default" w:ascii="Times New Roman" w:hAnsi="Times New Roman" w:cs="Times New Roman"/>
                      <w:color w:val="auto"/>
                    </w:rPr>
                  </w:pPr>
                  <w:r>
                    <w:rPr>
                      <w:rFonts w:hint="default" w:ascii="Times New Roman" w:hAnsi="Times New Roman" w:cs="Times New Roman"/>
                      <w:color w:val="auto"/>
                    </w:rPr>
                    <w:t>动植物油</w:t>
                  </w:r>
                </w:p>
              </w:tc>
              <w:tc>
                <w:tcPr>
                  <w:tcW w:w="1788" w:type="pct"/>
                  <w:noWrap w:val="0"/>
                  <w:vAlign w:val="center"/>
                </w:tcPr>
                <w:p w14:paraId="5CA051B2">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0.052</w:t>
                  </w:r>
                </w:p>
              </w:tc>
            </w:tr>
          </w:tbl>
          <w:p w14:paraId="1D6EFF41">
            <w:pPr>
              <w:spacing w:line="460" w:lineRule="exact"/>
              <w:ind w:firstLine="480"/>
              <w:rPr>
                <w:color w:val="auto"/>
                <w:sz w:val="24"/>
                <w:szCs w:val="24"/>
              </w:rPr>
            </w:pPr>
            <w:r>
              <w:rPr>
                <w:color w:val="auto"/>
                <w:sz w:val="24"/>
                <w:szCs w:val="24"/>
              </w:rPr>
              <w:t>（3）噪声</w:t>
            </w:r>
          </w:p>
          <w:p w14:paraId="153B9AA2">
            <w:pPr>
              <w:spacing w:line="440" w:lineRule="exact"/>
              <w:ind w:firstLine="480" w:firstLineChars="200"/>
              <w:jc w:val="left"/>
              <w:rPr>
                <w:color w:val="auto"/>
                <w:sz w:val="24"/>
                <w:szCs w:val="24"/>
                <w:highlight w:val="none"/>
              </w:rPr>
            </w:pPr>
            <w:r>
              <w:rPr>
                <w:rFonts w:hint="default" w:ascii="Times New Roman" w:hAnsi="Times New Roman" w:eastAsia="宋体" w:cs="Times New Roman"/>
                <w:b w:val="0"/>
                <w:bCs/>
                <w:color w:val="auto"/>
                <w:kern w:val="2"/>
                <w:sz w:val="24"/>
                <w:szCs w:val="24"/>
                <w:highlight w:val="none"/>
                <w:lang w:val="en-US" w:eastAsia="zh-CN" w:bidi="ar-SA"/>
              </w:rPr>
              <w:t>根据《</w:t>
            </w:r>
            <w:r>
              <w:rPr>
                <w:rFonts w:hint="default" w:ascii="Times New Roman" w:hAnsi="Times New Roman" w:eastAsia="宋体" w:cs="Times New Roman"/>
                <w:b w:val="0"/>
                <w:bCs/>
                <w:color w:val="auto"/>
                <w:sz w:val="24"/>
                <w:szCs w:val="24"/>
                <w:highlight w:val="none"/>
              </w:rPr>
              <w:t>重庆</w:t>
            </w:r>
            <w:r>
              <w:rPr>
                <w:rFonts w:hint="default" w:ascii="Times New Roman" w:hAnsi="Times New Roman" w:eastAsia="宋体" w:cs="Times New Roman"/>
                <w:b w:val="0"/>
                <w:bCs/>
                <w:color w:val="auto"/>
                <w:sz w:val="24"/>
                <w:szCs w:val="24"/>
                <w:highlight w:val="none"/>
                <w:lang w:eastAsia="zh-CN"/>
              </w:rPr>
              <w:t>中质环环境监测中心监测报告</w:t>
            </w:r>
            <w:r>
              <w:rPr>
                <w:rFonts w:hint="default" w:ascii="Times New Roman" w:hAnsi="Times New Roman" w:eastAsia="宋体" w:cs="Times New Roman"/>
                <w:b w:val="0"/>
                <w:bCs/>
                <w:color w:val="auto"/>
                <w:kern w:val="2"/>
                <w:sz w:val="24"/>
                <w:szCs w:val="24"/>
                <w:highlight w:val="none"/>
                <w:lang w:val="en-US" w:eastAsia="zh-CN" w:bidi="ar-SA"/>
              </w:rPr>
              <w:t>》中质环（检）字[2024]第Z240</w:t>
            </w:r>
            <w:r>
              <w:rPr>
                <w:rFonts w:hint="eastAsia" w:eastAsia="宋体" w:cs="Times New Roman"/>
                <w:b w:val="0"/>
                <w:bCs/>
                <w:color w:val="auto"/>
                <w:kern w:val="2"/>
                <w:sz w:val="24"/>
                <w:szCs w:val="24"/>
                <w:highlight w:val="none"/>
                <w:lang w:val="en-US" w:eastAsia="zh-CN" w:bidi="ar-SA"/>
              </w:rPr>
              <w:t>557</w:t>
            </w:r>
            <w:r>
              <w:rPr>
                <w:rFonts w:hint="default" w:ascii="Times New Roman" w:hAnsi="Times New Roman" w:eastAsia="宋体" w:cs="Times New Roman"/>
                <w:b w:val="0"/>
                <w:bCs/>
                <w:color w:val="auto"/>
                <w:kern w:val="2"/>
                <w:sz w:val="24"/>
                <w:szCs w:val="24"/>
                <w:highlight w:val="none"/>
                <w:lang w:val="en-US" w:eastAsia="zh-CN" w:bidi="ar-SA"/>
              </w:rPr>
              <w:t>号，</w:t>
            </w:r>
            <w:r>
              <w:rPr>
                <w:rFonts w:hint="eastAsia"/>
                <w:bCs/>
                <w:color w:val="auto"/>
                <w:sz w:val="24"/>
                <w:szCs w:val="24"/>
                <w:highlight w:val="none"/>
                <w:lang w:eastAsia="zh-CN"/>
              </w:rPr>
              <w:t>现有</w:t>
            </w:r>
            <w:r>
              <w:rPr>
                <w:bCs/>
                <w:color w:val="auto"/>
                <w:sz w:val="24"/>
                <w:szCs w:val="24"/>
                <w:highlight w:val="none"/>
              </w:rPr>
              <w:t>工程厂界噪声监测结果见表</w:t>
            </w:r>
            <w:r>
              <w:rPr>
                <w:rFonts w:hint="eastAsia"/>
                <w:bCs/>
                <w:color w:val="auto"/>
                <w:sz w:val="24"/>
                <w:szCs w:val="24"/>
                <w:highlight w:val="none"/>
                <w:lang w:val="en-US" w:eastAsia="zh-CN"/>
              </w:rPr>
              <w:t>2.7-14</w:t>
            </w:r>
            <w:r>
              <w:rPr>
                <w:bCs/>
                <w:color w:val="auto"/>
                <w:sz w:val="24"/>
                <w:szCs w:val="24"/>
                <w:highlight w:val="none"/>
              </w:rPr>
              <w:t>。</w:t>
            </w:r>
          </w:p>
          <w:p w14:paraId="3DFFD598">
            <w:pPr>
              <w:pStyle w:val="3"/>
              <w:bidi w:val="0"/>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7-14</w:t>
            </w:r>
            <w:r>
              <w:rPr>
                <w:rFonts w:hint="default" w:ascii="Times New Roman" w:hAnsi="Times New Roman" w:cs="Times New Roman"/>
                <w:color w:val="auto"/>
              </w:rPr>
              <w:t xml:space="preserve"> 现有工程厂界噪声监测结果</w:t>
            </w:r>
          </w:p>
          <w:tbl>
            <w:tblPr>
              <w:tblStyle w:val="1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359"/>
              <w:gridCol w:w="1351"/>
              <w:gridCol w:w="1353"/>
              <w:gridCol w:w="757"/>
              <w:gridCol w:w="760"/>
              <w:gridCol w:w="694"/>
            </w:tblGrid>
            <w:tr w14:paraId="535A24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64" w:type="pct"/>
                  <w:vMerge w:val="restart"/>
                  <w:noWrap w:val="0"/>
                  <w:vAlign w:val="center"/>
                </w:tcPr>
                <w:p w14:paraId="0DD896B0">
                  <w:pPr>
                    <w:pStyle w:val="3"/>
                    <w:bidi w:val="0"/>
                    <w:rPr>
                      <w:rFonts w:hint="default" w:ascii="Times New Roman" w:hAnsi="Times New Roman" w:cs="Times New Roman"/>
                      <w:color w:val="auto"/>
                    </w:rPr>
                  </w:pPr>
                  <w:r>
                    <w:rPr>
                      <w:rFonts w:hint="default" w:ascii="Times New Roman" w:hAnsi="Times New Roman" w:cs="Times New Roman"/>
                      <w:color w:val="auto"/>
                    </w:rPr>
                    <w:t>监测点位</w:t>
                  </w:r>
                </w:p>
              </w:tc>
              <w:tc>
                <w:tcPr>
                  <w:tcW w:w="1405" w:type="pct"/>
                  <w:vMerge w:val="restart"/>
                  <w:noWrap w:val="0"/>
                  <w:vAlign w:val="center"/>
                </w:tcPr>
                <w:p w14:paraId="1CA74437">
                  <w:pPr>
                    <w:pStyle w:val="3"/>
                    <w:bidi w:val="0"/>
                    <w:rPr>
                      <w:rFonts w:hint="default" w:ascii="Times New Roman" w:hAnsi="Times New Roman" w:cs="Times New Roman"/>
                      <w:color w:val="auto"/>
                    </w:rPr>
                  </w:pPr>
                  <w:r>
                    <w:rPr>
                      <w:rFonts w:hint="default" w:ascii="Times New Roman" w:hAnsi="Times New Roman" w:cs="Times New Roman"/>
                      <w:color w:val="auto"/>
                      <w:lang w:val="en-GB"/>
                    </w:rPr>
                    <w:t>监测日期</w:t>
                  </w:r>
                </w:p>
              </w:tc>
              <w:tc>
                <w:tcPr>
                  <w:tcW w:w="1611" w:type="pct"/>
                  <w:gridSpan w:val="2"/>
                  <w:vMerge w:val="restart"/>
                  <w:noWrap w:val="0"/>
                  <w:vAlign w:val="center"/>
                </w:tcPr>
                <w:p w14:paraId="5DFC3753">
                  <w:pPr>
                    <w:pStyle w:val="3"/>
                    <w:bidi w:val="0"/>
                    <w:rPr>
                      <w:rFonts w:hint="default" w:ascii="Times New Roman" w:hAnsi="Times New Roman" w:cs="Times New Roman"/>
                      <w:color w:val="auto"/>
                    </w:rPr>
                  </w:pPr>
                  <w:r>
                    <w:rPr>
                      <w:rFonts w:hint="default" w:ascii="Times New Roman" w:hAnsi="Times New Roman" w:cs="Times New Roman"/>
                      <w:color w:val="auto"/>
                    </w:rPr>
                    <w:t>监测结果dB(A)</w:t>
                  </w:r>
                </w:p>
              </w:tc>
              <w:tc>
                <w:tcPr>
                  <w:tcW w:w="904" w:type="pct"/>
                  <w:gridSpan w:val="2"/>
                  <w:noWrap w:val="0"/>
                  <w:vAlign w:val="center"/>
                </w:tcPr>
                <w:p w14:paraId="0A10EAB0">
                  <w:pPr>
                    <w:pStyle w:val="3"/>
                    <w:bidi w:val="0"/>
                    <w:rPr>
                      <w:rFonts w:hint="default" w:ascii="Times New Roman" w:hAnsi="Times New Roman" w:cs="Times New Roman"/>
                      <w:color w:val="auto"/>
                    </w:rPr>
                  </w:pPr>
                  <w:r>
                    <w:rPr>
                      <w:rFonts w:hint="default" w:ascii="Times New Roman" w:hAnsi="Times New Roman" w:cs="Times New Roman"/>
                      <w:color w:val="auto"/>
                    </w:rPr>
                    <w:t>标准值dB(A)</w:t>
                  </w:r>
                </w:p>
              </w:tc>
              <w:tc>
                <w:tcPr>
                  <w:tcW w:w="413" w:type="pct"/>
                  <w:vMerge w:val="restart"/>
                  <w:noWrap w:val="0"/>
                  <w:vAlign w:val="center"/>
                </w:tcPr>
                <w:p w14:paraId="515D921B">
                  <w:pPr>
                    <w:pStyle w:val="3"/>
                    <w:bidi w:val="0"/>
                    <w:rPr>
                      <w:rFonts w:hint="default" w:ascii="Times New Roman" w:hAnsi="Times New Roman" w:cs="Times New Roman"/>
                      <w:color w:val="auto"/>
                    </w:rPr>
                  </w:pPr>
                  <w:r>
                    <w:rPr>
                      <w:rFonts w:hint="default" w:ascii="Times New Roman" w:hAnsi="Times New Roman" w:cs="Times New Roman"/>
                      <w:color w:val="auto"/>
                    </w:rPr>
                    <w:t>达标</w:t>
                  </w:r>
                </w:p>
                <w:p w14:paraId="221A9E66">
                  <w:pPr>
                    <w:pStyle w:val="3"/>
                    <w:bidi w:val="0"/>
                    <w:rPr>
                      <w:rFonts w:hint="default" w:ascii="Times New Roman" w:hAnsi="Times New Roman" w:cs="Times New Roman"/>
                      <w:color w:val="auto"/>
                    </w:rPr>
                  </w:pPr>
                  <w:r>
                    <w:rPr>
                      <w:rFonts w:hint="default" w:ascii="Times New Roman" w:hAnsi="Times New Roman" w:cs="Times New Roman"/>
                      <w:color w:val="auto"/>
                    </w:rPr>
                    <w:t>分析</w:t>
                  </w:r>
                </w:p>
              </w:tc>
            </w:tr>
            <w:tr w14:paraId="539FAE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4" w:type="pct"/>
                  <w:vMerge w:val="continue"/>
                  <w:noWrap w:val="0"/>
                  <w:vAlign w:val="center"/>
                </w:tcPr>
                <w:p w14:paraId="4A9D968E">
                  <w:pPr>
                    <w:pStyle w:val="3"/>
                    <w:bidi w:val="0"/>
                    <w:rPr>
                      <w:rFonts w:hint="default" w:ascii="Times New Roman" w:hAnsi="Times New Roman" w:cs="Times New Roman"/>
                      <w:color w:val="auto"/>
                    </w:rPr>
                  </w:pPr>
                </w:p>
              </w:tc>
              <w:tc>
                <w:tcPr>
                  <w:tcW w:w="1405" w:type="pct"/>
                  <w:vMerge w:val="continue"/>
                  <w:noWrap w:val="0"/>
                  <w:vAlign w:val="center"/>
                </w:tcPr>
                <w:p w14:paraId="3D2A61EF">
                  <w:pPr>
                    <w:pStyle w:val="3"/>
                    <w:bidi w:val="0"/>
                    <w:rPr>
                      <w:rFonts w:hint="default" w:ascii="Times New Roman" w:hAnsi="Times New Roman" w:cs="Times New Roman"/>
                      <w:color w:val="auto"/>
                    </w:rPr>
                  </w:pPr>
                </w:p>
              </w:tc>
              <w:tc>
                <w:tcPr>
                  <w:tcW w:w="1611" w:type="pct"/>
                  <w:gridSpan w:val="2"/>
                  <w:vMerge w:val="continue"/>
                  <w:noWrap w:val="0"/>
                  <w:vAlign w:val="center"/>
                </w:tcPr>
                <w:p w14:paraId="3632BF61">
                  <w:pPr>
                    <w:pStyle w:val="3"/>
                    <w:bidi w:val="0"/>
                    <w:rPr>
                      <w:rFonts w:hint="default" w:ascii="Times New Roman" w:hAnsi="Times New Roman" w:cs="Times New Roman"/>
                      <w:color w:val="auto"/>
                    </w:rPr>
                  </w:pPr>
                </w:p>
              </w:tc>
              <w:tc>
                <w:tcPr>
                  <w:tcW w:w="451" w:type="pct"/>
                  <w:vMerge w:val="restart"/>
                  <w:noWrap w:val="0"/>
                  <w:vAlign w:val="center"/>
                </w:tcPr>
                <w:p w14:paraId="30AE308B">
                  <w:pPr>
                    <w:pStyle w:val="3"/>
                    <w:bidi w:val="0"/>
                    <w:rPr>
                      <w:rFonts w:hint="default" w:ascii="Times New Roman" w:hAnsi="Times New Roman" w:cs="Times New Roman"/>
                      <w:color w:val="auto"/>
                    </w:rPr>
                  </w:pPr>
                  <w:r>
                    <w:rPr>
                      <w:rFonts w:hint="default" w:ascii="Times New Roman" w:hAnsi="Times New Roman" w:cs="Times New Roman"/>
                      <w:color w:val="auto"/>
                    </w:rPr>
                    <w:t>昼间</w:t>
                  </w:r>
                </w:p>
              </w:tc>
              <w:tc>
                <w:tcPr>
                  <w:tcW w:w="452" w:type="pct"/>
                  <w:vMerge w:val="restart"/>
                  <w:noWrap w:val="0"/>
                  <w:vAlign w:val="center"/>
                </w:tcPr>
                <w:p w14:paraId="05334789">
                  <w:pPr>
                    <w:pStyle w:val="3"/>
                    <w:bidi w:val="0"/>
                    <w:rPr>
                      <w:rFonts w:hint="default" w:ascii="Times New Roman" w:hAnsi="Times New Roman" w:cs="Times New Roman"/>
                      <w:color w:val="auto"/>
                    </w:rPr>
                  </w:pPr>
                  <w:r>
                    <w:rPr>
                      <w:rFonts w:hint="default" w:ascii="Times New Roman" w:hAnsi="Times New Roman" w:cs="Times New Roman"/>
                      <w:color w:val="auto"/>
                    </w:rPr>
                    <w:t>夜间</w:t>
                  </w:r>
                </w:p>
              </w:tc>
              <w:tc>
                <w:tcPr>
                  <w:tcW w:w="413" w:type="pct"/>
                  <w:vMerge w:val="continue"/>
                  <w:noWrap w:val="0"/>
                  <w:vAlign w:val="center"/>
                </w:tcPr>
                <w:p w14:paraId="1DC9CBD5">
                  <w:pPr>
                    <w:pStyle w:val="3"/>
                    <w:bidi w:val="0"/>
                    <w:rPr>
                      <w:rFonts w:hint="default" w:ascii="Times New Roman" w:hAnsi="Times New Roman" w:cs="Times New Roman"/>
                      <w:color w:val="auto"/>
                    </w:rPr>
                  </w:pPr>
                </w:p>
              </w:tc>
            </w:tr>
            <w:tr w14:paraId="3D4D73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664" w:type="pct"/>
                  <w:vMerge w:val="continue"/>
                  <w:noWrap w:val="0"/>
                  <w:vAlign w:val="center"/>
                </w:tcPr>
                <w:p w14:paraId="36411B30">
                  <w:pPr>
                    <w:pStyle w:val="3"/>
                    <w:bidi w:val="0"/>
                    <w:rPr>
                      <w:rFonts w:hint="default" w:ascii="Times New Roman" w:hAnsi="Times New Roman" w:cs="Times New Roman"/>
                      <w:color w:val="auto"/>
                    </w:rPr>
                  </w:pPr>
                </w:p>
              </w:tc>
              <w:tc>
                <w:tcPr>
                  <w:tcW w:w="1405" w:type="pct"/>
                  <w:vMerge w:val="continue"/>
                  <w:noWrap w:val="0"/>
                  <w:vAlign w:val="center"/>
                </w:tcPr>
                <w:p w14:paraId="7C152250">
                  <w:pPr>
                    <w:pStyle w:val="3"/>
                    <w:bidi w:val="0"/>
                    <w:rPr>
                      <w:rFonts w:hint="default" w:ascii="Times New Roman" w:hAnsi="Times New Roman" w:cs="Times New Roman"/>
                      <w:color w:val="auto"/>
                    </w:rPr>
                  </w:pPr>
                </w:p>
              </w:tc>
              <w:tc>
                <w:tcPr>
                  <w:tcW w:w="805" w:type="pct"/>
                  <w:noWrap w:val="0"/>
                  <w:vAlign w:val="center"/>
                </w:tcPr>
                <w:p w14:paraId="5D0FE49D">
                  <w:pPr>
                    <w:pStyle w:val="3"/>
                    <w:bidi w:val="0"/>
                    <w:rPr>
                      <w:rFonts w:hint="default" w:ascii="Times New Roman" w:hAnsi="Times New Roman" w:cs="Times New Roman"/>
                      <w:color w:val="auto"/>
                    </w:rPr>
                  </w:pPr>
                  <w:r>
                    <w:rPr>
                      <w:rFonts w:hint="default" w:ascii="Times New Roman" w:hAnsi="Times New Roman" w:cs="Times New Roman"/>
                      <w:color w:val="auto"/>
                    </w:rPr>
                    <w:t>昼间</w:t>
                  </w:r>
                </w:p>
              </w:tc>
              <w:tc>
                <w:tcPr>
                  <w:tcW w:w="805" w:type="pct"/>
                  <w:noWrap w:val="0"/>
                  <w:vAlign w:val="center"/>
                </w:tcPr>
                <w:p w14:paraId="4CBB69FE">
                  <w:pPr>
                    <w:pStyle w:val="3"/>
                    <w:bidi w:val="0"/>
                    <w:rPr>
                      <w:rFonts w:hint="default" w:ascii="Times New Roman" w:hAnsi="Times New Roman" w:cs="Times New Roman"/>
                      <w:color w:val="auto"/>
                    </w:rPr>
                  </w:pPr>
                  <w:r>
                    <w:rPr>
                      <w:rFonts w:hint="default" w:ascii="Times New Roman" w:hAnsi="Times New Roman" w:cs="Times New Roman"/>
                      <w:color w:val="auto"/>
                    </w:rPr>
                    <w:t>夜间</w:t>
                  </w:r>
                </w:p>
              </w:tc>
              <w:tc>
                <w:tcPr>
                  <w:tcW w:w="451" w:type="pct"/>
                  <w:vMerge w:val="continue"/>
                  <w:noWrap w:val="0"/>
                  <w:vAlign w:val="center"/>
                </w:tcPr>
                <w:p w14:paraId="4CE2EEA7">
                  <w:pPr>
                    <w:pStyle w:val="3"/>
                    <w:bidi w:val="0"/>
                    <w:rPr>
                      <w:rFonts w:hint="default" w:ascii="Times New Roman" w:hAnsi="Times New Roman" w:cs="Times New Roman"/>
                      <w:color w:val="auto"/>
                    </w:rPr>
                  </w:pPr>
                </w:p>
              </w:tc>
              <w:tc>
                <w:tcPr>
                  <w:tcW w:w="452" w:type="pct"/>
                  <w:vMerge w:val="continue"/>
                  <w:noWrap w:val="0"/>
                  <w:vAlign w:val="top"/>
                </w:tcPr>
                <w:p w14:paraId="73B54DE6">
                  <w:pPr>
                    <w:pStyle w:val="3"/>
                    <w:bidi w:val="0"/>
                    <w:rPr>
                      <w:rFonts w:hint="default" w:ascii="Times New Roman" w:hAnsi="Times New Roman" w:cs="Times New Roman"/>
                      <w:color w:val="auto"/>
                    </w:rPr>
                  </w:pPr>
                </w:p>
              </w:tc>
              <w:tc>
                <w:tcPr>
                  <w:tcW w:w="413" w:type="pct"/>
                  <w:vMerge w:val="continue"/>
                  <w:noWrap w:val="0"/>
                  <w:vAlign w:val="center"/>
                </w:tcPr>
                <w:p w14:paraId="0556960B">
                  <w:pPr>
                    <w:pStyle w:val="3"/>
                    <w:bidi w:val="0"/>
                    <w:rPr>
                      <w:rFonts w:hint="default" w:ascii="Times New Roman" w:hAnsi="Times New Roman" w:cs="Times New Roman"/>
                      <w:color w:val="auto"/>
                    </w:rPr>
                  </w:pPr>
                </w:p>
              </w:tc>
            </w:tr>
            <w:tr w14:paraId="4B2B443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4" w:type="pct"/>
                  <w:noWrap w:val="0"/>
                  <w:vAlign w:val="center"/>
                </w:tcPr>
                <w:p w14:paraId="0B4506BB">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西面厂界</w:t>
                  </w:r>
                </w:p>
              </w:tc>
              <w:tc>
                <w:tcPr>
                  <w:tcW w:w="1405" w:type="pct"/>
                  <w:noWrap w:val="0"/>
                  <w:vAlign w:val="center"/>
                </w:tcPr>
                <w:p w14:paraId="5D8BFCDC">
                  <w:pPr>
                    <w:pStyle w:val="3"/>
                    <w:bidi w:val="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4</w:t>
                  </w:r>
                  <w:r>
                    <w:rPr>
                      <w:rFonts w:hint="default" w:ascii="Times New Roman" w:hAnsi="Times New Roman" w:cs="Times New Roman"/>
                      <w:color w:val="auto"/>
                    </w:rPr>
                    <w:t>年</w:t>
                  </w:r>
                  <w:r>
                    <w:rPr>
                      <w:rFonts w:hint="eastAsia" w:ascii="Times New Roman" w:hAnsi="Times New Roman" w:eastAsia="宋体" w:cs="Times New Roman"/>
                      <w:color w:val="auto"/>
                      <w:lang w:val="en-US" w:eastAsia="zh-CN"/>
                    </w:rPr>
                    <w:t>9</w:t>
                  </w:r>
                  <w:r>
                    <w:rPr>
                      <w:rFonts w:hint="default" w:ascii="Times New Roman" w:hAnsi="Times New Roman" w:cs="Times New Roman"/>
                      <w:color w:val="auto"/>
                    </w:rPr>
                    <w:t>月</w:t>
                  </w:r>
                  <w:r>
                    <w:rPr>
                      <w:rFonts w:hint="eastAsia" w:ascii="Times New Roman" w:hAnsi="Times New Roman" w:cs="Times New Roman"/>
                      <w:color w:val="auto"/>
                      <w:lang w:val="en-US" w:eastAsia="zh-CN"/>
                    </w:rPr>
                    <w:t>19</w:t>
                  </w:r>
                  <w:r>
                    <w:rPr>
                      <w:rFonts w:hint="default" w:ascii="Times New Roman" w:hAnsi="Times New Roman" w:cs="Times New Roman"/>
                      <w:color w:val="auto"/>
                    </w:rPr>
                    <w:t>日</w:t>
                  </w:r>
                </w:p>
              </w:tc>
              <w:tc>
                <w:tcPr>
                  <w:tcW w:w="805" w:type="pct"/>
                  <w:noWrap w:val="0"/>
                  <w:vAlign w:val="center"/>
                </w:tcPr>
                <w:p w14:paraId="293F14A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58</w:t>
                  </w:r>
                </w:p>
              </w:tc>
              <w:tc>
                <w:tcPr>
                  <w:tcW w:w="805" w:type="pct"/>
                  <w:noWrap w:val="0"/>
                  <w:vAlign w:val="center"/>
                </w:tcPr>
                <w:p w14:paraId="049AB9A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53</w:t>
                  </w:r>
                </w:p>
              </w:tc>
              <w:tc>
                <w:tcPr>
                  <w:tcW w:w="451" w:type="pct"/>
                  <w:vMerge w:val="restart"/>
                  <w:noWrap w:val="0"/>
                  <w:vAlign w:val="center"/>
                </w:tcPr>
                <w:p w14:paraId="761CE8B9">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65</w:t>
                  </w:r>
                </w:p>
              </w:tc>
              <w:tc>
                <w:tcPr>
                  <w:tcW w:w="452" w:type="pct"/>
                  <w:vMerge w:val="restart"/>
                  <w:noWrap w:val="0"/>
                  <w:vAlign w:val="center"/>
                </w:tcPr>
                <w:p w14:paraId="6C493C03">
                  <w:pPr>
                    <w:pStyle w:val="3"/>
                    <w:bidi w:val="0"/>
                    <w:rPr>
                      <w:rFonts w:hint="default" w:ascii="Times New Roman" w:hAnsi="Times New Roman" w:cs="Times New Roman"/>
                      <w:color w:val="auto"/>
                    </w:rPr>
                  </w:pPr>
                  <w:r>
                    <w:rPr>
                      <w:rFonts w:hint="default" w:ascii="Times New Roman" w:hAnsi="Times New Roman" w:cs="Times New Roman"/>
                      <w:color w:val="auto"/>
                    </w:rPr>
                    <w:t>55</w:t>
                  </w:r>
                </w:p>
              </w:tc>
              <w:tc>
                <w:tcPr>
                  <w:tcW w:w="413" w:type="pct"/>
                  <w:noWrap w:val="0"/>
                  <w:vAlign w:val="center"/>
                </w:tcPr>
                <w:p w14:paraId="342BFD88">
                  <w:pPr>
                    <w:pStyle w:val="3"/>
                    <w:bidi w:val="0"/>
                    <w:rPr>
                      <w:rFonts w:hint="default" w:ascii="Times New Roman" w:hAnsi="Times New Roman" w:cs="Times New Roman"/>
                      <w:color w:val="auto"/>
                    </w:rPr>
                  </w:pPr>
                  <w:r>
                    <w:rPr>
                      <w:rFonts w:hint="default" w:ascii="Times New Roman" w:hAnsi="Times New Roman" w:cs="Times New Roman"/>
                      <w:color w:val="auto"/>
                    </w:rPr>
                    <w:t>达标</w:t>
                  </w:r>
                </w:p>
              </w:tc>
            </w:tr>
            <w:tr w14:paraId="015EB4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4" w:type="pct"/>
                  <w:noWrap w:val="0"/>
                  <w:vAlign w:val="center"/>
                </w:tcPr>
                <w:p w14:paraId="564502BD">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南面厂界</w:t>
                  </w:r>
                </w:p>
              </w:tc>
              <w:tc>
                <w:tcPr>
                  <w:tcW w:w="1405" w:type="pct"/>
                  <w:noWrap w:val="0"/>
                  <w:vAlign w:val="center"/>
                </w:tcPr>
                <w:p w14:paraId="25E86EFB">
                  <w:pPr>
                    <w:pStyle w:val="3"/>
                    <w:bidi w:val="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4</w:t>
                  </w:r>
                  <w:r>
                    <w:rPr>
                      <w:rFonts w:hint="default" w:ascii="Times New Roman" w:hAnsi="Times New Roman" w:cs="Times New Roman"/>
                      <w:color w:val="auto"/>
                    </w:rPr>
                    <w:t>年</w:t>
                  </w:r>
                  <w:r>
                    <w:rPr>
                      <w:rFonts w:hint="eastAsia" w:ascii="Times New Roman" w:hAnsi="Times New Roman" w:eastAsia="宋体" w:cs="Times New Roman"/>
                      <w:color w:val="auto"/>
                      <w:lang w:val="en-US" w:eastAsia="zh-CN"/>
                    </w:rPr>
                    <w:t>9</w:t>
                  </w:r>
                  <w:r>
                    <w:rPr>
                      <w:rFonts w:hint="default" w:ascii="Times New Roman" w:hAnsi="Times New Roman" w:cs="Times New Roman"/>
                      <w:color w:val="auto"/>
                    </w:rPr>
                    <w:t>月</w:t>
                  </w:r>
                  <w:r>
                    <w:rPr>
                      <w:rFonts w:hint="eastAsia" w:ascii="Times New Roman" w:hAnsi="Times New Roman" w:cs="Times New Roman"/>
                      <w:color w:val="auto"/>
                      <w:lang w:val="en-US" w:eastAsia="zh-CN"/>
                    </w:rPr>
                    <w:t>19</w:t>
                  </w:r>
                  <w:r>
                    <w:rPr>
                      <w:rFonts w:hint="default" w:ascii="Times New Roman" w:hAnsi="Times New Roman" w:cs="Times New Roman"/>
                      <w:color w:val="auto"/>
                    </w:rPr>
                    <w:t>日</w:t>
                  </w:r>
                </w:p>
              </w:tc>
              <w:tc>
                <w:tcPr>
                  <w:tcW w:w="805" w:type="pct"/>
                  <w:noWrap w:val="0"/>
                  <w:vAlign w:val="center"/>
                </w:tcPr>
                <w:p w14:paraId="126FF00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58</w:t>
                  </w:r>
                </w:p>
              </w:tc>
              <w:tc>
                <w:tcPr>
                  <w:tcW w:w="805" w:type="pct"/>
                  <w:noWrap w:val="0"/>
                  <w:vAlign w:val="center"/>
                </w:tcPr>
                <w:p w14:paraId="425EA3B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w:t>
                  </w:r>
                </w:p>
              </w:tc>
              <w:tc>
                <w:tcPr>
                  <w:tcW w:w="451" w:type="pct"/>
                  <w:vMerge w:val="continue"/>
                  <w:noWrap w:val="0"/>
                  <w:vAlign w:val="center"/>
                </w:tcPr>
                <w:p w14:paraId="576FAD4D">
                  <w:pPr>
                    <w:pStyle w:val="3"/>
                    <w:bidi w:val="0"/>
                    <w:rPr>
                      <w:rFonts w:hint="default" w:ascii="Times New Roman" w:hAnsi="Times New Roman" w:cs="Times New Roman"/>
                      <w:color w:val="auto"/>
                    </w:rPr>
                  </w:pPr>
                </w:p>
              </w:tc>
              <w:tc>
                <w:tcPr>
                  <w:tcW w:w="452" w:type="pct"/>
                  <w:vMerge w:val="continue"/>
                  <w:noWrap w:val="0"/>
                  <w:vAlign w:val="center"/>
                </w:tcPr>
                <w:p w14:paraId="5A711131">
                  <w:pPr>
                    <w:pStyle w:val="3"/>
                    <w:bidi w:val="0"/>
                    <w:rPr>
                      <w:rFonts w:hint="default" w:ascii="Times New Roman" w:hAnsi="Times New Roman" w:cs="Times New Roman"/>
                      <w:color w:val="auto"/>
                    </w:rPr>
                  </w:pPr>
                </w:p>
              </w:tc>
              <w:tc>
                <w:tcPr>
                  <w:tcW w:w="413" w:type="pct"/>
                  <w:noWrap w:val="0"/>
                  <w:vAlign w:val="center"/>
                </w:tcPr>
                <w:p w14:paraId="596E217A">
                  <w:pPr>
                    <w:pStyle w:val="3"/>
                    <w:bidi w:val="0"/>
                    <w:rPr>
                      <w:rFonts w:hint="default" w:ascii="Times New Roman" w:hAnsi="Times New Roman" w:cs="Times New Roman"/>
                      <w:color w:val="auto"/>
                    </w:rPr>
                  </w:pPr>
                  <w:r>
                    <w:rPr>
                      <w:rFonts w:hint="default" w:ascii="Times New Roman" w:hAnsi="Times New Roman" w:cs="Times New Roman"/>
                      <w:color w:val="auto"/>
                    </w:rPr>
                    <w:t>达标</w:t>
                  </w:r>
                </w:p>
              </w:tc>
            </w:tr>
            <w:tr w14:paraId="3058C8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4" w:type="pct"/>
                  <w:noWrap w:val="0"/>
                  <w:vAlign w:val="center"/>
                </w:tcPr>
                <w:p w14:paraId="50229ED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东面厂界</w:t>
                  </w:r>
                </w:p>
              </w:tc>
              <w:tc>
                <w:tcPr>
                  <w:tcW w:w="1405" w:type="pct"/>
                  <w:noWrap w:val="0"/>
                  <w:vAlign w:val="center"/>
                </w:tcPr>
                <w:p w14:paraId="1DB20160">
                  <w:pPr>
                    <w:pStyle w:val="3"/>
                    <w:bidi w:val="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4</w:t>
                  </w:r>
                  <w:r>
                    <w:rPr>
                      <w:rFonts w:hint="default" w:ascii="Times New Roman" w:hAnsi="Times New Roman" w:cs="Times New Roman"/>
                      <w:color w:val="auto"/>
                    </w:rPr>
                    <w:t>年</w:t>
                  </w:r>
                  <w:r>
                    <w:rPr>
                      <w:rFonts w:hint="eastAsia" w:ascii="Times New Roman" w:hAnsi="Times New Roman" w:eastAsia="宋体" w:cs="Times New Roman"/>
                      <w:color w:val="auto"/>
                      <w:lang w:val="en-US" w:eastAsia="zh-CN"/>
                    </w:rPr>
                    <w:t>9</w:t>
                  </w:r>
                  <w:r>
                    <w:rPr>
                      <w:rFonts w:hint="default" w:ascii="Times New Roman" w:hAnsi="Times New Roman" w:cs="Times New Roman"/>
                      <w:color w:val="auto"/>
                    </w:rPr>
                    <w:t>月</w:t>
                  </w:r>
                  <w:r>
                    <w:rPr>
                      <w:rFonts w:hint="eastAsia" w:ascii="Times New Roman" w:hAnsi="Times New Roman" w:cs="Times New Roman"/>
                      <w:color w:val="auto"/>
                      <w:lang w:val="en-US" w:eastAsia="zh-CN"/>
                    </w:rPr>
                    <w:t>19</w:t>
                  </w:r>
                  <w:r>
                    <w:rPr>
                      <w:rFonts w:hint="default" w:ascii="Times New Roman" w:hAnsi="Times New Roman" w:cs="Times New Roman"/>
                      <w:color w:val="auto"/>
                    </w:rPr>
                    <w:t>日</w:t>
                  </w:r>
                </w:p>
              </w:tc>
              <w:tc>
                <w:tcPr>
                  <w:tcW w:w="805" w:type="pct"/>
                  <w:noWrap w:val="0"/>
                  <w:vAlign w:val="center"/>
                </w:tcPr>
                <w:p w14:paraId="3BE4A95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59</w:t>
                  </w:r>
                </w:p>
              </w:tc>
              <w:tc>
                <w:tcPr>
                  <w:tcW w:w="805" w:type="pct"/>
                  <w:noWrap w:val="0"/>
                  <w:vAlign w:val="center"/>
                </w:tcPr>
                <w:p w14:paraId="65466BE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54</w:t>
                  </w:r>
                </w:p>
              </w:tc>
              <w:tc>
                <w:tcPr>
                  <w:tcW w:w="451" w:type="pct"/>
                  <w:vMerge w:val="continue"/>
                  <w:noWrap w:val="0"/>
                  <w:vAlign w:val="center"/>
                </w:tcPr>
                <w:p w14:paraId="78AB8B0F">
                  <w:pPr>
                    <w:pStyle w:val="3"/>
                    <w:bidi w:val="0"/>
                    <w:rPr>
                      <w:rFonts w:hint="default" w:ascii="Times New Roman" w:hAnsi="Times New Roman" w:cs="Times New Roman"/>
                      <w:color w:val="auto"/>
                    </w:rPr>
                  </w:pPr>
                </w:p>
              </w:tc>
              <w:tc>
                <w:tcPr>
                  <w:tcW w:w="452" w:type="pct"/>
                  <w:vMerge w:val="continue"/>
                  <w:noWrap w:val="0"/>
                  <w:vAlign w:val="center"/>
                </w:tcPr>
                <w:p w14:paraId="7529BC24">
                  <w:pPr>
                    <w:pStyle w:val="3"/>
                    <w:bidi w:val="0"/>
                    <w:rPr>
                      <w:rFonts w:hint="default" w:ascii="Times New Roman" w:hAnsi="Times New Roman" w:cs="Times New Roman"/>
                      <w:color w:val="auto"/>
                    </w:rPr>
                  </w:pPr>
                </w:p>
              </w:tc>
              <w:tc>
                <w:tcPr>
                  <w:tcW w:w="413" w:type="pct"/>
                  <w:noWrap w:val="0"/>
                  <w:vAlign w:val="center"/>
                </w:tcPr>
                <w:p w14:paraId="1B44A44B">
                  <w:pPr>
                    <w:pStyle w:val="3"/>
                    <w:bidi w:val="0"/>
                    <w:rPr>
                      <w:rFonts w:hint="default" w:ascii="Times New Roman" w:hAnsi="Times New Roman" w:cs="Times New Roman"/>
                      <w:color w:val="auto"/>
                    </w:rPr>
                  </w:pPr>
                  <w:r>
                    <w:rPr>
                      <w:rFonts w:hint="default" w:ascii="Times New Roman" w:hAnsi="Times New Roman" w:cs="Times New Roman"/>
                      <w:color w:val="auto"/>
                    </w:rPr>
                    <w:t>达标</w:t>
                  </w:r>
                </w:p>
              </w:tc>
            </w:tr>
            <w:tr w14:paraId="51D248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664" w:type="pct"/>
                  <w:noWrap w:val="0"/>
                  <w:vAlign w:val="center"/>
                </w:tcPr>
                <w:p w14:paraId="172AC31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北面厂界</w:t>
                  </w:r>
                </w:p>
              </w:tc>
              <w:tc>
                <w:tcPr>
                  <w:tcW w:w="1405" w:type="pct"/>
                  <w:noWrap w:val="0"/>
                  <w:vAlign w:val="center"/>
                </w:tcPr>
                <w:p w14:paraId="765065E5">
                  <w:pPr>
                    <w:pStyle w:val="3"/>
                    <w:bidi w:val="0"/>
                    <w:rPr>
                      <w:rFonts w:hint="default" w:ascii="Times New Roman" w:hAnsi="Times New Roman" w:cs="Times New Roman"/>
                      <w:color w:val="auto"/>
                    </w:rPr>
                  </w:pPr>
                  <w:r>
                    <w:rPr>
                      <w:rFonts w:hint="default" w:ascii="Times New Roman" w:hAnsi="Times New Roman" w:cs="Times New Roman"/>
                      <w:color w:val="auto"/>
                    </w:rPr>
                    <w:t>20</w:t>
                  </w: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4</w:t>
                  </w:r>
                  <w:r>
                    <w:rPr>
                      <w:rFonts w:hint="default" w:ascii="Times New Roman" w:hAnsi="Times New Roman" w:cs="Times New Roman"/>
                      <w:color w:val="auto"/>
                    </w:rPr>
                    <w:t>年</w:t>
                  </w:r>
                  <w:r>
                    <w:rPr>
                      <w:rFonts w:hint="eastAsia" w:ascii="Times New Roman" w:hAnsi="Times New Roman" w:eastAsia="宋体" w:cs="Times New Roman"/>
                      <w:color w:val="auto"/>
                      <w:lang w:val="en-US" w:eastAsia="zh-CN"/>
                    </w:rPr>
                    <w:t>9</w:t>
                  </w:r>
                  <w:r>
                    <w:rPr>
                      <w:rFonts w:hint="default" w:ascii="Times New Roman" w:hAnsi="Times New Roman" w:cs="Times New Roman"/>
                      <w:color w:val="auto"/>
                    </w:rPr>
                    <w:t>月</w:t>
                  </w:r>
                  <w:r>
                    <w:rPr>
                      <w:rFonts w:hint="eastAsia" w:ascii="Times New Roman" w:hAnsi="Times New Roman" w:cs="Times New Roman"/>
                      <w:color w:val="auto"/>
                      <w:lang w:val="en-US" w:eastAsia="zh-CN"/>
                    </w:rPr>
                    <w:t>19</w:t>
                  </w:r>
                  <w:r>
                    <w:rPr>
                      <w:rFonts w:hint="default" w:ascii="Times New Roman" w:hAnsi="Times New Roman" w:cs="Times New Roman"/>
                      <w:color w:val="auto"/>
                    </w:rPr>
                    <w:t>日</w:t>
                  </w:r>
                </w:p>
              </w:tc>
              <w:tc>
                <w:tcPr>
                  <w:tcW w:w="805" w:type="pct"/>
                  <w:noWrap w:val="0"/>
                  <w:vAlign w:val="center"/>
                </w:tcPr>
                <w:p w14:paraId="4189BBC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59</w:t>
                  </w:r>
                </w:p>
              </w:tc>
              <w:tc>
                <w:tcPr>
                  <w:tcW w:w="805" w:type="pct"/>
                  <w:noWrap w:val="0"/>
                  <w:vAlign w:val="center"/>
                </w:tcPr>
                <w:p w14:paraId="4460C15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53</w:t>
                  </w:r>
                </w:p>
              </w:tc>
              <w:tc>
                <w:tcPr>
                  <w:tcW w:w="451" w:type="pct"/>
                  <w:vMerge w:val="continue"/>
                  <w:noWrap w:val="0"/>
                  <w:vAlign w:val="center"/>
                </w:tcPr>
                <w:p w14:paraId="52240D25">
                  <w:pPr>
                    <w:pStyle w:val="3"/>
                    <w:bidi w:val="0"/>
                    <w:rPr>
                      <w:rFonts w:hint="default" w:ascii="Times New Roman" w:hAnsi="Times New Roman" w:cs="Times New Roman"/>
                      <w:color w:val="auto"/>
                    </w:rPr>
                  </w:pPr>
                </w:p>
              </w:tc>
              <w:tc>
                <w:tcPr>
                  <w:tcW w:w="452" w:type="pct"/>
                  <w:vMerge w:val="continue"/>
                  <w:noWrap w:val="0"/>
                  <w:vAlign w:val="center"/>
                </w:tcPr>
                <w:p w14:paraId="7142DDC2">
                  <w:pPr>
                    <w:pStyle w:val="3"/>
                    <w:bidi w:val="0"/>
                    <w:rPr>
                      <w:rFonts w:hint="default" w:ascii="Times New Roman" w:hAnsi="Times New Roman" w:cs="Times New Roman"/>
                      <w:color w:val="auto"/>
                    </w:rPr>
                  </w:pPr>
                </w:p>
              </w:tc>
              <w:tc>
                <w:tcPr>
                  <w:tcW w:w="413" w:type="pct"/>
                  <w:noWrap w:val="0"/>
                  <w:vAlign w:val="center"/>
                </w:tcPr>
                <w:p w14:paraId="0BDC55D1">
                  <w:pPr>
                    <w:pStyle w:val="3"/>
                    <w:bidi w:val="0"/>
                    <w:rPr>
                      <w:rFonts w:hint="default" w:ascii="Times New Roman" w:hAnsi="Times New Roman" w:cs="Times New Roman"/>
                      <w:color w:val="auto"/>
                    </w:rPr>
                  </w:pPr>
                  <w:r>
                    <w:rPr>
                      <w:rFonts w:hint="default" w:ascii="Times New Roman" w:hAnsi="Times New Roman" w:cs="Times New Roman"/>
                      <w:color w:val="auto"/>
                    </w:rPr>
                    <w:t>达标</w:t>
                  </w:r>
                </w:p>
              </w:tc>
            </w:tr>
          </w:tbl>
          <w:p w14:paraId="5C64B9F4">
            <w:pPr>
              <w:keepNext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由表2.</w:t>
            </w:r>
            <w:r>
              <w:rPr>
                <w:rFonts w:hint="eastAsia" w:eastAsia="宋体" w:cs="Times New Roman"/>
                <w:b w:val="0"/>
                <w:bCs w:val="0"/>
                <w:color w:val="auto"/>
                <w:sz w:val="24"/>
                <w:szCs w:val="24"/>
                <w:lang w:val="en-US" w:eastAsia="zh-CN"/>
              </w:rPr>
              <w:t>7-14</w:t>
            </w:r>
            <w:r>
              <w:rPr>
                <w:rFonts w:hint="default" w:ascii="Times New Roman" w:hAnsi="Times New Roman" w:eastAsia="宋体" w:cs="Times New Roman"/>
                <w:b w:val="0"/>
                <w:bCs w:val="0"/>
                <w:color w:val="auto"/>
                <w:sz w:val="24"/>
                <w:szCs w:val="24"/>
              </w:rPr>
              <w:t>可知，</w:t>
            </w:r>
            <w:r>
              <w:rPr>
                <w:rFonts w:hint="default" w:ascii="Times New Roman" w:hAnsi="Times New Roman" w:eastAsia="宋体" w:cs="Times New Roman"/>
                <w:b w:val="0"/>
                <w:bCs w:val="0"/>
                <w:color w:val="auto"/>
                <w:sz w:val="24"/>
                <w:szCs w:val="24"/>
                <w:lang w:eastAsia="zh-CN"/>
              </w:rPr>
              <w:t>现有</w:t>
            </w:r>
            <w:r>
              <w:rPr>
                <w:rFonts w:hint="default" w:ascii="Times New Roman" w:hAnsi="Times New Roman" w:eastAsia="宋体" w:cs="Times New Roman"/>
                <w:b w:val="0"/>
                <w:bCs w:val="0"/>
                <w:color w:val="auto"/>
                <w:sz w:val="24"/>
                <w:szCs w:val="24"/>
              </w:rPr>
              <w:t>工程昼间</w:t>
            </w:r>
            <w:r>
              <w:rPr>
                <w:rFonts w:hint="eastAsia" w:eastAsia="宋体" w:cs="Times New Roman"/>
                <w:b w:val="0"/>
                <w:bCs w:val="0"/>
                <w:color w:val="auto"/>
                <w:sz w:val="24"/>
                <w:szCs w:val="24"/>
                <w:lang w:eastAsia="zh-CN"/>
              </w:rPr>
              <w:t>、夜间</w:t>
            </w:r>
            <w:r>
              <w:rPr>
                <w:rFonts w:hint="default" w:ascii="Times New Roman" w:hAnsi="Times New Roman" w:eastAsia="宋体" w:cs="Times New Roman"/>
                <w:b w:val="0"/>
                <w:bCs w:val="0"/>
                <w:color w:val="auto"/>
                <w:sz w:val="24"/>
                <w:szCs w:val="24"/>
              </w:rPr>
              <w:t>厂界噪声满足《工业企业厂界环境噪声排放标准》（GB12348—2008）</w:t>
            </w:r>
            <w:r>
              <w:rPr>
                <w:rFonts w:hint="default"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rPr>
              <w:t>类标准要求。</w:t>
            </w:r>
          </w:p>
          <w:p w14:paraId="680FAB85">
            <w:pPr>
              <w:keepNext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宋体" w:cs="Times New Roman"/>
                <w:b w:val="0"/>
                <w:bCs w:val="0"/>
                <w:color w:val="auto"/>
                <w:sz w:val="24"/>
                <w:szCs w:val="24"/>
                <w:highlight w:val="yellow"/>
                <w:lang w:eastAsia="zh-CN"/>
              </w:rPr>
            </w:pPr>
            <w:r>
              <w:rPr>
                <w:rFonts w:hint="eastAsia" w:eastAsia="宋体" w:cs="Times New Roman"/>
                <w:b w:val="0"/>
                <w:bCs w:val="0"/>
                <w:color w:val="auto"/>
                <w:sz w:val="24"/>
                <w:szCs w:val="24"/>
                <w:lang w:eastAsia="zh-CN"/>
              </w:rPr>
              <w:t>（</w:t>
            </w:r>
            <w:r>
              <w:rPr>
                <w:rFonts w:hint="eastAsia" w:eastAsia="宋体" w:cs="Times New Roman"/>
                <w:b w:val="0"/>
                <w:bCs w:val="0"/>
                <w:color w:val="auto"/>
                <w:sz w:val="24"/>
                <w:szCs w:val="24"/>
                <w:lang w:val="en-US" w:eastAsia="zh-CN"/>
              </w:rPr>
              <w:t>4</w:t>
            </w:r>
            <w:r>
              <w:rPr>
                <w:rFonts w:hint="eastAsia" w:eastAsia="宋体" w:cs="Times New Roman"/>
                <w:b w:val="0"/>
                <w:bCs w:val="0"/>
                <w:color w:val="auto"/>
                <w:sz w:val="24"/>
                <w:szCs w:val="24"/>
                <w:lang w:eastAsia="zh-CN"/>
              </w:rPr>
              <w:t>）固体废物</w:t>
            </w:r>
          </w:p>
          <w:p w14:paraId="24EB60E1">
            <w:pPr>
              <w:keepNext w:val="0"/>
              <w:keepLines/>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b w:val="0"/>
                <w:bCs w:val="0"/>
                <w:color w:val="auto"/>
                <w:sz w:val="24"/>
                <w:szCs w:val="24"/>
                <w:highlight w:val="none"/>
              </w:rPr>
            </w:pPr>
            <w:r>
              <w:rPr>
                <w:rFonts w:hint="eastAsia" w:ascii="Times New Roman" w:hAnsi="Times New Roman" w:eastAsia="宋体" w:cs="Times New Roman"/>
                <w:b w:val="0"/>
                <w:bCs w:val="0"/>
                <w:color w:val="auto"/>
                <w:sz w:val="24"/>
                <w:szCs w:val="24"/>
                <w:lang w:val="en-US" w:eastAsia="zh-CN"/>
              </w:rPr>
              <w:t>固废种类：</w:t>
            </w:r>
            <w:r>
              <w:rPr>
                <w:rFonts w:hint="default" w:ascii="Times New Roman" w:hAnsi="Times New Roman" w:eastAsia="宋体" w:cs="Times New Roman"/>
                <w:b w:val="0"/>
                <w:bCs w:val="0"/>
                <w:color w:val="auto"/>
                <w:sz w:val="24"/>
                <w:szCs w:val="24"/>
                <w:lang w:val="en-US" w:eastAsia="zh-CN"/>
              </w:rPr>
              <w:t>现有工程产生的危险废物包括：</w:t>
            </w:r>
            <w:r>
              <w:rPr>
                <w:rFonts w:hint="eastAsia" w:eastAsia="宋体" w:cs="Times New Roman"/>
                <w:b w:val="0"/>
                <w:bCs w:val="0"/>
                <w:color w:val="auto"/>
                <w:sz w:val="24"/>
                <w:szCs w:val="24"/>
                <w:highlight w:val="none"/>
                <w:lang w:eastAsia="zh-CN"/>
              </w:rPr>
              <w:t>废润滑油</w:t>
            </w:r>
            <w:r>
              <w:rPr>
                <w:rFonts w:hint="default" w:ascii="Times New Roman" w:hAnsi="Times New Roman" w:eastAsia="宋体" w:cs="Times New Roman"/>
                <w:b w:val="0"/>
                <w:bCs w:val="0"/>
                <w:color w:val="auto"/>
                <w:sz w:val="24"/>
                <w:szCs w:val="24"/>
                <w:highlight w:val="none"/>
              </w:rPr>
              <w:t>、废油漆桶、废</w:t>
            </w:r>
            <w:r>
              <w:rPr>
                <w:rFonts w:hint="eastAsia" w:eastAsia="宋体" w:cs="Times New Roman"/>
                <w:b w:val="0"/>
                <w:bCs w:val="0"/>
                <w:color w:val="auto"/>
                <w:sz w:val="24"/>
                <w:szCs w:val="24"/>
                <w:highlight w:val="none"/>
                <w:lang w:eastAsia="zh-CN"/>
              </w:rPr>
              <w:t>试剂空瓶</w:t>
            </w:r>
            <w:r>
              <w:rPr>
                <w:rFonts w:hint="default" w:ascii="Times New Roman" w:hAnsi="Times New Roman" w:eastAsia="宋体" w:cs="Times New Roman"/>
                <w:b w:val="0"/>
                <w:bCs w:val="0"/>
                <w:color w:val="auto"/>
                <w:sz w:val="24"/>
                <w:szCs w:val="24"/>
                <w:highlight w:val="none"/>
              </w:rPr>
              <w:t>、废蓄电池、实验室废液、废</w:t>
            </w:r>
            <w:r>
              <w:rPr>
                <w:rFonts w:hint="eastAsia" w:eastAsia="宋体" w:cs="Times New Roman"/>
                <w:b w:val="0"/>
                <w:bCs w:val="0"/>
                <w:color w:val="auto"/>
                <w:sz w:val="24"/>
                <w:szCs w:val="24"/>
                <w:highlight w:val="none"/>
                <w:lang w:eastAsia="zh-CN"/>
              </w:rPr>
              <w:t>机油空</w:t>
            </w:r>
            <w:r>
              <w:rPr>
                <w:rFonts w:hint="default" w:ascii="Times New Roman" w:hAnsi="Times New Roman" w:eastAsia="宋体" w:cs="Times New Roman"/>
                <w:b w:val="0"/>
                <w:bCs w:val="0"/>
                <w:color w:val="auto"/>
                <w:sz w:val="24"/>
                <w:szCs w:val="24"/>
                <w:highlight w:val="none"/>
              </w:rPr>
              <w:t>桶</w:t>
            </w:r>
            <w:r>
              <w:rPr>
                <w:rFonts w:hint="eastAsia" w:ascii="Times New Roman" w:hAnsi="Times New Roman" w:eastAsia="宋体" w:cs="Times New Roman"/>
                <w:b w:val="0"/>
                <w:bCs w:val="0"/>
                <w:color w:val="auto"/>
                <w:sz w:val="24"/>
                <w:szCs w:val="24"/>
                <w:highlight w:val="none"/>
                <w:lang w:eastAsia="zh-CN"/>
              </w:rPr>
              <w:t>、废活性炭</w:t>
            </w:r>
            <w:r>
              <w:rPr>
                <w:rFonts w:hint="default" w:ascii="Times New Roman" w:hAnsi="Times New Roman" w:eastAsia="宋体" w:cs="Times New Roman"/>
                <w:b w:val="0"/>
                <w:bCs w:val="0"/>
                <w:color w:val="auto"/>
                <w:sz w:val="24"/>
                <w:szCs w:val="24"/>
                <w:highlight w:val="none"/>
              </w:rPr>
              <w:t>；一般工业固体废物</w:t>
            </w:r>
            <w:r>
              <w:rPr>
                <w:rFonts w:hint="eastAsia" w:ascii="Times New Roman" w:hAnsi="Times New Roman" w:eastAsia="宋体" w:cs="Times New Roman"/>
                <w:b w:val="0"/>
                <w:bCs w:val="0"/>
                <w:color w:val="auto"/>
                <w:sz w:val="24"/>
                <w:szCs w:val="24"/>
                <w:highlight w:val="none"/>
                <w:lang w:eastAsia="zh-CN"/>
              </w:rPr>
              <w:t>包括：</w:t>
            </w:r>
            <w:r>
              <w:rPr>
                <w:rFonts w:hint="eastAsia" w:eastAsia="宋体" w:cs="Times New Roman"/>
                <w:b w:val="0"/>
                <w:bCs w:val="0"/>
                <w:color w:val="auto"/>
                <w:sz w:val="24"/>
                <w:szCs w:val="24"/>
                <w:highlight w:val="none"/>
                <w:lang w:eastAsia="zh-CN"/>
              </w:rPr>
              <w:t>皂脚、脂肪酸、废白土、</w:t>
            </w:r>
            <w:r>
              <w:rPr>
                <w:rFonts w:hint="default" w:ascii="Times New Roman" w:hAnsi="Times New Roman" w:eastAsia="宋体" w:cs="Times New Roman"/>
                <w:b w:val="0"/>
                <w:bCs w:val="0"/>
                <w:color w:val="auto"/>
                <w:sz w:val="24"/>
                <w:szCs w:val="24"/>
                <w:highlight w:val="none"/>
              </w:rPr>
              <w:t>废</w:t>
            </w:r>
            <w:r>
              <w:rPr>
                <w:rFonts w:hint="eastAsia" w:ascii="Times New Roman" w:hAnsi="Times New Roman" w:eastAsia="宋体" w:cs="Times New Roman"/>
                <w:b w:val="0"/>
                <w:bCs w:val="0"/>
                <w:color w:val="auto"/>
                <w:sz w:val="24"/>
                <w:szCs w:val="24"/>
                <w:highlight w:val="none"/>
                <w:lang w:eastAsia="zh-CN"/>
              </w:rPr>
              <w:t>杂质</w:t>
            </w:r>
            <w:r>
              <w:rPr>
                <w:rFonts w:hint="eastAsia" w:eastAsia="宋体" w:cs="Times New Roman"/>
                <w:b w:val="0"/>
                <w:bCs w:val="0"/>
                <w:color w:val="auto"/>
                <w:sz w:val="24"/>
                <w:szCs w:val="24"/>
                <w:highlight w:val="none"/>
                <w:lang w:eastAsia="zh-CN"/>
              </w:rPr>
              <w:t>（豆梗、废铁等杂质）</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eastAsia="zh-CN"/>
              </w:rPr>
              <w:t>废包装</w:t>
            </w:r>
            <w:r>
              <w:rPr>
                <w:rFonts w:hint="default" w:ascii="Times New Roman" w:hAnsi="Times New Roman" w:eastAsia="宋体" w:cs="Times New Roman"/>
                <w:b w:val="0"/>
                <w:bCs w:val="0"/>
                <w:color w:val="auto"/>
                <w:sz w:val="24"/>
                <w:szCs w:val="24"/>
                <w:highlight w:val="none"/>
              </w:rPr>
              <w:t>、</w:t>
            </w:r>
            <w:r>
              <w:rPr>
                <w:rFonts w:hint="eastAsia" w:ascii="Times New Roman" w:hAnsi="Times New Roman" w:eastAsia="宋体" w:cs="Times New Roman"/>
                <w:b w:val="0"/>
                <w:bCs w:val="0"/>
                <w:color w:val="auto"/>
                <w:sz w:val="24"/>
                <w:szCs w:val="24"/>
                <w:highlight w:val="none"/>
                <w:lang w:eastAsia="zh-CN"/>
              </w:rPr>
              <w:t>废</w:t>
            </w:r>
            <w:r>
              <w:rPr>
                <w:rFonts w:hint="eastAsia" w:eastAsia="宋体" w:cs="Times New Roman"/>
                <w:b w:val="0"/>
                <w:bCs w:val="0"/>
                <w:color w:val="auto"/>
                <w:sz w:val="24"/>
                <w:szCs w:val="24"/>
                <w:highlight w:val="none"/>
                <w:lang w:eastAsia="zh-CN"/>
              </w:rPr>
              <w:t>滤袋</w:t>
            </w:r>
            <w:r>
              <w:rPr>
                <w:rFonts w:hint="eastAsia" w:ascii="Times New Roman" w:hAnsi="Times New Roman" w:eastAsia="宋体" w:cs="Times New Roman"/>
                <w:b w:val="0"/>
                <w:bCs w:val="0"/>
                <w:color w:val="auto"/>
                <w:sz w:val="24"/>
                <w:szCs w:val="24"/>
                <w:highlight w:val="none"/>
                <w:lang w:eastAsia="zh-CN"/>
              </w:rPr>
              <w:t>、</w:t>
            </w:r>
            <w:r>
              <w:rPr>
                <w:rFonts w:hint="eastAsia" w:eastAsia="宋体" w:cs="Times New Roman"/>
                <w:b w:val="0"/>
                <w:bCs w:val="0"/>
                <w:color w:val="auto"/>
                <w:sz w:val="24"/>
                <w:szCs w:val="24"/>
                <w:highlight w:val="none"/>
                <w:lang w:eastAsia="zh-CN"/>
              </w:rPr>
              <w:t>除尘器收集粉尘</w:t>
            </w:r>
            <w:r>
              <w:rPr>
                <w:rFonts w:hint="eastAsia" w:ascii="Times New Roman" w:hAnsi="Times New Roman" w:eastAsia="宋体" w:cs="Times New Roman"/>
                <w:b w:val="0"/>
                <w:bCs w:val="0"/>
                <w:color w:val="auto"/>
                <w:sz w:val="24"/>
                <w:szCs w:val="24"/>
                <w:highlight w:val="none"/>
                <w:lang w:eastAsia="zh-CN"/>
              </w:rPr>
              <w:t>、废分子筛、</w:t>
            </w:r>
            <w:r>
              <w:rPr>
                <w:rFonts w:hint="default" w:ascii="Times New Roman" w:hAnsi="Times New Roman" w:eastAsia="宋体" w:cs="Times New Roman"/>
                <w:b w:val="0"/>
                <w:bCs w:val="0"/>
                <w:color w:val="auto"/>
                <w:sz w:val="24"/>
                <w:szCs w:val="24"/>
                <w:highlight w:val="none"/>
              </w:rPr>
              <w:t>污水处理站污泥</w:t>
            </w:r>
            <w:r>
              <w:rPr>
                <w:rFonts w:hint="eastAsia" w:ascii="Times New Roman" w:hAnsi="Times New Roman" w:eastAsia="宋体" w:cs="Times New Roman"/>
                <w:b w:val="0"/>
                <w:bCs w:val="0"/>
                <w:color w:val="auto"/>
                <w:sz w:val="24"/>
                <w:szCs w:val="24"/>
                <w:highlight w:val="none"/>
                <w:lang w:eastAsia="zh-CN"/>
              </w:rPr>
              <w:t>；此外员工还将</w:t>
            </w:r>
            <w:r>
              <w:rPr>
                <w:rFonts w:hint="eastAsia" w:eastAsia="宋体" w:cs="Times New Roman"/>
                <w:b w:val="0"/>
                <w:bCs w:val="0"/>
                <w:color w:val="auto"/>
                <w:sz w:val="24"/>
                <w:szCs w:val="24"/>
                <w:highlight w:val="none"/>
                <w:lang w:eastAsia="zh-CN"/>
              </w:rPr>
              <w:t>产生</w:t>
            </w:r>
            <w:r>
              <w:rPr>
                <w:rFonts w:hint="eastAsia" w:ascii="Times New Roman" w:hAnsi="Times New Roman" w:eastAsia="宋体" w:cs="Times New Roman"/>
                <w:b w:val="0"/>
                <w:bCs w:val="0"/>
                <w:color w:val="auto"/>
                <w:sz w:val="24"/>
                <w:szCs w:val="24"/>
                <w:highlight w:val="none"/>
                <w:lang w:eastAsia="zh-CN"/>
              </w:rPr>
              <w:t>生活垃圾</w:t>
            </w:r>
            <w:r>
              <w:rPr>
                <w:rFonts w:hint="default" w:ascii="Times New Roman" w:hAnsi="Times New Roman" w:eastAsia="宋体" w:cs="Times New Roman"/>
                <w:b w:val="0"/>
                <w:bCs w:val="0"/>
                <w:color w:val="auto"/>
                <w:sz w:val="24"/>
                <w:szCs w:val="24"/>
                <w:highlight w:val="none"/>
              </w:rPr>
              <w:t>。</w:t>
            </w:r>
          </w:p>
          <w:p w14:paraId="2A0A9DFF">
            <w:pPr>
              <w:spacing w:line="360" w:lineRule="auto"/>
              <w:ind w:firstLine="480" w:firstLineChars="200"/>
              <w:rPr>
                <w:rFonts w:hint="eastAsia" w:ascii="Times New Roman" w:hAnsi="Times New Roman" w:eastAsia="宋体" w:cs="Times New Roman"/>
                <w:b w:val="0"/>
                <w:bCs w:val="0"/>
                <w:color w:val="auto"/>
                <w:sz w:val="24"/>
                <w:szCs w:val="24"/>
                <w:lang w:val="en-US" w:eastAsia="zh-CN"/>
              </w:rPr>
            </w:pPr>
            <w:r>
              <w:rPr>
                <w:rFonts w:hint="eastAsia" w:eastAsia="宋体" w:cs="Times New Roman"/>
                <w:b w:val="0"/>
                <w:bCs w:val="0"/>
                <w:color w:val="auto"/>
                <w:sz w:val="24"/>
                <w:szCs w:val="24"/>
                <w:lang w:eastAsia="zh-CN"/>
              </w:rPr>
              <w:t>现有工程危险废物暂存设置了废润滑油暂存间（编号</w:t>
            </w:r>
            <w:r>
              <w:rPr>
                <w:rFonts w:hint="eastAsia" w:eastAsia="宋体" w:cs="Times New Roman"/>
                <w:b w:val="0"/>
                <w:bCs w:val="0"/>
                <w:color w:val="auto"/>
                <w:sz w:val="24"/>
                <w:szCs w:val="24"/>
                <w:lang w:val="en-US" w:eastAsia="zh-CN"/>
              </w:rPr>
              <w:t>TS003</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17m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w:t>
            </w:r>
            <w:r>
              <w:rPr>
                <w:rFonts w:hint="eastAsia" w:eastAsia="宋体" w:cs="Times New Roman"/>
                <w:b w:val="0"/>
                <w:bCs w:val="0"/>
                <w:color w:val="auto"/>
                <w:sz w:val="24"/>
                <w:szCs w:val="24"/>
                <w:lang w:eastAsia="zh-CN"/>
              </w:rPr>
              <w:t>暂存废矿物油、废机油空桶；废包装暂存间（编号</w:t>
            </w:r>
            <w:r>
              <w:rPr>
                <w:rFonts w:hint="eastAsia" w:eastAsia="宋体" w:cs="Times New Roman"/>
                <w:b w:val="0"/>
                <w:bCs w:val="0"/>
                <w:color w:val="auto"/>
                <w:sz w:val="24"/>
                <w:szCs w:val="24"/>
                <w:lang w:val="en-US" w:eastAsia="zh-CN"/>
              </w:rPr>
              <w:t>TS004</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6m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，暂存废油漆桶、废试剂空瓶、废叉车蓄电池、废活性炭；实验废液暂存间</w:t>
            </w:r>
            <w:r>
              <w:rPr>
                <w:rFonts w:hint="eastAsia" w:eastAsia="宋体" w:cs="Times New Roman"/>
                <w:b w:val="0"/>
                <w:bCs w:val="0"/>
                <w:color w:val="auto"/>
                <w:sz w:val="24"/>
                <w:szCs w:val="24"/>
                <w:lang w:eastAsia="zh-CN"/>
              </w:rPr>
              <w:t>（编号</w:t>
            </w:r>
            <w:r>
              <w:rPr>
                <w:rFonts w:hint="eastAsia" w:eastAsia="宋体" w:cs="Times New Roman"/>
                <w:b w:val="0"/>
                <w:bCs w:val="0"/>
                <w:color w:val="auto"/>
                <w:sz w:val="24"/>
                <w:szCs w:val="24"/>
                <w:lang w:val="en-US" w:eastAsia="zh-CN"/>
              </w:rPr>
              <w:t>TS006</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3m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，暂存品控室实验废液、综合污水处理站废水在线监测产生实验废液，各危险废物暂存设施均为</w:t>
            </w:r>
            <w:r>
              <w:rPr>
                <w:rFonts w:hint="default" w:ascii="Times New Roman" w:hAnsi="Times New Roman" w:cs="Times New Roman"/>
                <w:color w:val="auto"/>
                <w:sz w:val="24"/>
                <w:szCs w:val="24"/>
              </w:rPr>
              <w:t>密闭房间，地面采取了</w:t>
            </w:r>
            <w:r>
              <w:rPr>
                <w:rFonts w:hint="eastAsia" w:eastAsia="宋体" w:cs="Times New Roman"/>
                <w:color w:val="auto"/>
                <w:sz w:val="24"/>
                <w:szCs w:val="24"/>
                <w:lang w:eastAsia="zh-CN"/>
              </w:rPr>
              <w:t>六防</w:t>
            </w:r>
            <w:r>
              <w:rPr>
                <w:rFonts w:hint="default" w:ascii="Times New Roman" w:hAnsi="Times New Roman" w:cs="Times New Roman"/>
                <w:color w:val="auto"/>
                <w:sz w:val="24"/>
                <w:szCs w:val="24"/>
              </w:rPr>
              <w:t>措施，设置了标识标牌和围堰，</w:t>
            </w:r>
            <w:r>
              <w:rPr>
                <w:rFonts w:hint="eastAsia" w:ascii="Times New Roman" w:hAnsi="Times New Roman" w:cs="Times New Roman"/>
                <w:color w:val="auto"/>
                <w:sz w:val="24"/>
                <w:szCs w:val="24"/>
                <w:lang w:eastAsia="zh-CN"/>
              </w:rPr>
              <w:t>危险废物经分类收集、暂存后</w:t>
            </w:r>
            <w:r>
              <w:rPr>
                <w:rFonts w:hint="eastAsia" w:cs="Times New Roman"/>
                <w:color w:val="auto"/>
                <w:sz w:val="24"/>
                <w:szCs w:val="24"/>
                <w:lang w:eastAsia="zh-CN"/>
              </w:rPr>
              <w:t>交由</w:t>
            </w:r>
            <w:r>
              <w:rPr>
                <w:rFonts w:hint="default" w:ascii="Times New Roman" w:hAnsi="Times New Roman" w:cs="Times New Roman"/>
                <w:color w:val="auto"/>
                <w:sz w:val="24"/>
                <w:szCs w:val="24"/>
                <w:highlight w:val="none"/>
              </w:rPr>
              <w:t>重庆</w:t>
            </w:r>
            <w:r>
              <w:rPr>
                <w:rFonts w:hint="eastAsia" w:eastAsia="宋体" w:cs="Times New Roman"/>
                <w:color w:val="auto"/>
                <w:sz w:val="24"/>
                <w:szCs w:val="24"/>
                <w:highlight w:val="none"/>
                <w:lang w:eastAsia="zh-CN"/>
              </w:rPr>
              <w:t>信维环保</w:t>
            </w:r>
            <w:r>
              <w:rPr>
                <w:rFonts w:hint="default" w:ascii="Times New Roman" w:hAnsi="Times New Roman" w:cs="Times New Roman"/>
                <w:color w:val="auto"/>
                <w:sz w:val="24"/>
                <w:szCs w:val="24"/>
                <w:highlight w:val="none"/>
              </w:rPr>
              <w:t>有限公司</w:t>
            </w:r>
            <w:r>
              <w:rPr>
                <w:rFonts w:hint="eastAsia" w:ascii="Times New Roman" w:hAnsi="Times New Roman" w:cs="Times New Roman"/>
                <w:color w:val="auto"/>
                <w:sz w:val="24"/>
                <w:szCs w:val="24"/>
                <w:lang w:eastAsia="zh-CN"/>
              </w:rPr>
              <w:t>处置</w:t>
            </w:r>
            <w:r>
              <w:rPr>
                <w:rFonts w:hint="eastAsia" w:cs="Times New Roman"/>
                <w:color w:val="auto"/>
                <w:sz w:val="24"/>
                <w:szCs w:val="24"/>
                <w:lang w:eastAsia="zh-CN"/>
              </w:rPr>
              <w:t>。</w:t>
            </w:r>
          </w:p>
          <w:p w14:paraId="71D0C46E">
            <w:pPr>
              <w:spacing w:line="360" w:lineRule="auto"/>
              <w:ind w:firstLine="480" w:firstLineChars="200"/>
              <w:rPr>
                <w:rFonts w:hint="eastAsia" w:eastAsia="宋体" w:cs="Times New Roman"/>
                <w:b w:val="0"/>
                <w:bCs w:val="0"/>
                <w:color w:val="auto"/>
                <w:sz w:val="24"/>
                <w:szCs w:val="24"/>
                <w:lang w:eastAsia="zh-CN"/>
              </w:rPr>
            </w:pPr>
            <w:r>
              <w:rPr>
                <w:rFonts w:hint="eastAsia" w:eastAsia="宋体" w:cs="Times New Roman"/>
                <w:b w:val="0"/>
                <w:bCs w:val="0"/>
                <w:color w:val="auto"/>
                <w:sz w:val="24"/>
                <w:szCs w:val="24"/>
                <w:lang w:eastAsia="zh-CN"/>
              </w:rPr>
              <w:t>现有工程一般工业固废暂存设置污泥暂存间（编号</w:t>
            </w:r>
            <w:r>
              <w:rPr>
                <w:rFonts w:hint="eastAsia" w:eastAsia="宋体" w:cs="Times New Roman"/>
                <w:b w:val="0"/>
                <w:bCs w:val="0"/>
                <w:color w:val="auto"/>
                <w:sz w:val="24"/>
                <w:szCs w:val="24"/>
                <w:lang w:val="en-US" w:eastAsia="zh-CN"/>
              </w:rPr>
              <w:t>TS001</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33m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w:t>
            </w:r>
            <w:r>
              <w:rPr>
                <w:rFonts w:hint="eastAsia" w:eastAsia="宋体" w:cs="Times New Roman"/>
                <w:b w:val="0"/>
                <w:bCs w:val="0"/>
                <w:color w:val="auto"/>
                <w:sz w:val="24"/>
                <w:szCs w:val="24"/>
                <w:lang w:eastAsia="zh-CN"/>
              </w:rPr>
              <w:t>暂存污水处理站产生的污泥；豆梗暂存间（编号</w:t>
            </w:r>
            <w:r>
              <w:rPr>
                <w:rFonts w:hint="eastAsia" w:eastAsia="宋体" w:cs="Times New Roman"/>
                <w:b w:val="0"/>
                <w:bCs w:val="0"/>
                <w:color w:val="auto"/>
                <w:sz w:val="24"/>
                <w:szCs w:val="24"/>
                <w:lang w:val="en-US" w:eastAsia="zh-CN"/>
              </w:rPr>
              <w:t>TS007</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33.45m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w:t>
            </w:r>
            <w:r>
              <w:rPr>
                <w:rFonts w:hint="eastAsia" w:eastAsia="宋体" w:cs="Times New Roman"/>
                <w:b w:val="0"/>
                <w:bCs w:val="0"/>
                <w:color w:val="auto"/>
                <w:sz w:val="24"/>
                <w:szCs w:val="24"/>
                <w:lang w:eastAsia="zh-CN"/>
              </w:rPr>
              <w:t>暂存大豆振动筛分过程中产生的豆梗；废铁暂存间（编号</w:t>
            </w:r>
            <w:r>
              <w:rPr>
                <w:rFonts w:hint="eastAsia" w:eastAsia="宋体" w:cs="Times New Roman"/>
                <w:b w:val="0"/>
                <w:bCs w:val="0"/>
                <w:color w:val="auto"/>
                <w:sz w:val="24"/>
                <w:szCs w:val="24"/>
                <w:lang w:val="en-US" w:eastAsia="zh-CN"/>
              </w:rPr>
              <w:t>TS009</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500m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w:t>
            </w:r>
            <w:r>
              <w:rPr>
                <w:rFonts w:hint="eastAsia" w:eastAsia="宋体" w:cs="Times New Roman"/>
                <w:b w:val="0"/>
                <w:bCs w:val="0"/>
                <w:color w:val="auto"/>
                <w:sz w:val="24"/>
                <w:szCs w:val="24"/>
                <w:lang w:eastAsia="zh-CN"/>
              </w:rPr>
              <w:t>暂存生产车间产生的废铁杂质；废旧物资暂存间（编号</w:t>
            </w:r>
            <w:r>
              <w:rPr>
                <w:rFonts w:hint="eastAsia" w:eastAsia="宋体" w:cs="Times New Roman"/>
                <w:b w:val="0"/>
                <w:bCs w:val="0"/>
                <w:color w:val="auto"/>
                <w:sz w:val="24"/>
                <w:szCs w:val="24"/>
                <w:lang w:val="en-US" w:eastAsia="zh-CN"/>
              </w:rPr>
              <w:t>TS011</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33.45m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w:t>
            </w:r>
            <w:r>
              <w:rPr>
                <w:rFonts w:hint="eastAsia" w:eastAsia="宋体" w:cs="Times New Roman"/>
                <w:b w:val="0"/>
                <w:bCs w:val="0"/>
                <w:color w:val="auto"/>
                <w:sz w:val="24"/>
                <w:szCs w:val="24"/>
                <w:lang w:eastAsia="zh-CN"/>
              </w:rPr>
              <w:t>暂存废编织袋等杂物；废旧物资暂存间（编号</w:t>
            </w:r>
            <w:r>
              <w:rPr>
                <w:rFonts w:hint="eastAsia" w:eastAsia="宋体" w:cs="Times New Roman"/>
                <w:b w:val="0"/>
                <w:bCs w:val="0"/>
                <w:color w:val="auto"/>
                <w:sz w:val="24"/>
                <w:szCs w:val="24"/>
                <w:lang w:val="en-US" w:eastAsia="zh-CN"/>
              </w:rPr>
              <w:t>TS012</w:t>
            </w:r>
            <w:r>
              <w:rPr>
                <w:rFonts w:hint="eastAsia" w:eastAsia="宋体" w:cs="Times New Roman"/>
                <w:b w:val="0"/>
                <w:bCs w:val="0"/>
                <w:color w:val="auto"/>
                <w:sz w:val="24"/>
                <w:szCs w:val="24"/>
                <w:lang w:eastAsia="zh-CN"/>
              </w:rPr>
              <w:t>），建筑面积</w:t>
            </w:r>
            <w:r>
              <w:rPr>
                <w:rFonts w:hint="eastAsia" w:eastAsia="宋体" w:cs="Times New Roman"/>
                <w:b w:val="0"/>
                <w:bCs w:val="0"/>
                <w:color w:val="auto"/>
                <w:sz w:val="24"/>
                <w:szCs w:val="24"/>
                <w:lang w:val="en-US" w:eastAsia="zh-CN"/>
              </w:rPr>
              <w:t>33.45m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w:t>
            </w:r>
            <w:r>
              <w:rPr>
                <w:rFonts w:hint="eastAsia" w:eastAsia="宋体" w:cs="Times New Roman"/>
                <w:b w:val="0"/>
                <w:bCs w:val="0"/>
                <w:color w:val="auto"/>
                <w:sz w:val="24"/>
                <w:szCs w:val="24"/>
                <w:lang w:eastAsia="zh-CN"/>
              </w:rPr>
              <w:t>暂存废纸箱、废空瓶等杂物；一般工业固废经暂存后交废品回收公司处置。</w:t>
            </w:r>
          </w:p>
          <w:p w14:paraId="5CCF2F00">
            <w:pPr>
              <w:spacing w:line="360" w:lineRule="auto"/>
              <w:ind w:firstLine="480" w:firstLineChars="200"/>
              <w:rPr>
                <w:rFonts w:hint="eastAsia" w:eastAsia="宋体" w:cs="Times New Roman"/>
                <w:b w:val="0"/>
                <w:bCs w:val="0"/>
                <w:color w:val="auto"/>
                <w:sz w:val="24"/>
                <w:szCs w:val="24"/>
                <w:lang w:val="en-US" w:eastAsia="zh-CN"/>
              </w:rPr>
            </w:pPr>
            <w:r>
              <w:rPr>
                <w:rFonts w:hint="eastAsia" w:eastAsia="宋体" w:cs="Times New Roman"/>
                <w:b w:val="0"/>
                <w:bCs w:val="0"/>
                <w:color w:val="auto"/>
                <w:sz w:val="24"/>
                <w:szCs w:val="24"/>
                <w:lang w:eastAsia="zh-CN"/>
              </w:rPr>
              <w:t>皂脚、脂肪酸、废白土属于精炼生产线产生的一般工业固废，现有工程设置</w:t>
            </w:r>
            <w:r>
              <w:rPr>
                <w:rFonts w:hint="eastAsia" w:eastAsia="宋体" w:cs="Times New Roman"/>
                <w:b w:val="0"/>
                <w:bCs w:val="0"/>
                <w:color w:val="auto"/>
                <w:sz w:val="24"/>
                <w:szCs w:val="24"/>
                <w:lang w:val="en-US" w:eastAsia="zh-CN"/>
              </w:rPr>
              <w:t>1个废白土暂存间（编号TS002），建筑面积21m</w:t>
            </w:r>
            <w:r>
              <w:rPr>
                <w:rFonts w:hint="eastAsia" w:eastAsia="宋体" w:cs="Times New Roman"/>
                <w:b w:val="0"/>
                <w:bCs w:val="0"/>
                <w:color w:val="auto"/>
                <w:sz w:val="24"/>
                <w:szCs w:val="24"/>
                <w:vertAlign w:val="superscript"/>
                <w:lang w:val="en-US" w:eastAsia="zh-CN"/>
              </w:rPr>
              <w:t>2</w:t>
            </w:r>
            <w:r>
              <w:rPr>
                <w:rFonts w:hint="eastAsia" w:eastAsia="宋体" w:cs="Times New Roman"/>
                <w:b w:val="0"/>
                <w:bCs w:val="0"/>
                <w:color w:val="auto"/>
                <w:sz w:val="24"/>
                <w:szCs w:val="24"/>
                <w:lang w:val="en-US" w:eastAsia="zh-CN"/>
              </w:rPr>
              <w:t>，暂存废白土；5#罐区设置2个皂脚储罐（编号TS005），规格均为200t/罐，暂存皂脚；5#罐区设置1个脂肪酸储罐（编号TS010），规格为90t/罐，暂存脂肪酸。皂脚、废白土经暂存后交湖北福泽欣油脂环保科技有限公司处置；脂肪酸经暂存后交中粮天科生物工程（天津）有限公司处置。</w:t>
            </w:r>
          </w:p>
          <w:p w14:paraId="31396C35">
            <w:pPr>
              <w:spacing w:line="360" w:lineRule="auto"/>
              <w:ind w:firstLine="480" w:firstLineChars="200"/>
              <w:rPr>
                <w:rFonts w:hint="eastAsia" w:eastAsia="宋体" w:cs="Times New Roman"/>
                <w:b w:val="0"/>
                <w:bCs w:val="0"/>
                <w:color w:val="auto"/>
                <w:sz w:val="24"/>
                <w:szCs w:val="24"/>
                <w:lang w:eastAsia="zh-CN"/>
              </w:rPr>
            </w:pPr>
            <w:r>
              <w:rPr>
                <w:rFonts w:hint="eastAsia" w:eastAsia="宋体" w:cs="Times New Roman"/>
                <w:b w:val="0"/>
                <w:bCs w:val="0"/>
                <w:color w:val="auto"/>
                <w:sz w:val="24"/>
                <w:szCs w:val="24"/>
                <w:lang w:eastAsia="zh-CN"/>
              </w:rPr>
              <w:t>生活垃圾经分类暂存后交当地环卫部门处置。</w:t>
            </w:r>
          </w:p>
          <w:p w14:paraId="4EA9DB74">
            <w:pPr>
              <w:spacing w:line="360" w:lineRule="auto"/>
              <w:ind w:firstLine="480" w:firstLineChars="200"/>
              <w:rPr>
                <w:color w:val="auto"/>
                <w:sz w:val="24"/>
                <w:szCs w:val="24"/>
              </w:rPr>
            </w:pPr>
            <w:r>
              <w:rPr>
                <w:rFonts w:hint="eastAsia"/>
                <w:color w:val="auto"/>
                <w:sz w:val="24"/>
                <w:szCs w:val="24"/>
                <w:lang w:eastAsia="zh-CN"/>
              </w:rPr>
              <w:t>现有</w:t>
            </w:r>
            <w:r>
              <w:rPr>
                <w:rFonts w:hint="eastAsia"/>
                <w:color w:val="auto"/>
                <w:sz w:val="24"/>
                <w:szCs w:val="24"/>
              </w:rPr>
              <w:t>工</w:t>
            </w:r>
            <w:r>
              <w:rPr>
                <w:rFonts w:hint="eastAsia" w:eastAsia="宋体"/>
                <w:color w:val="auto"/>
                <w:sz w:val="24"/>
                <w:szCs w:val="24"/>
                <w:lang w:eastAsia="zh-CN"/>
              </w:rPr>
              <w:t>程项</w:t>
            </w:r>
            <w:r>
              <w:rPr>
                <w:color w:val="auto"/>
                <w:sz w:val="24"/>
                <w:szCs w:val="24"/>
              </w:rPr>
              <w:t>目</w:t>
            </w:r>
            <w:r>
              <w:rPr>
                <w:rFonts w:hint="eastAsia"/>
                <w:color w:val="auto"/>
                <w:sz w:val="24"/>
                <w:szCs w:val="24"/>
                <w:lang w:eastAsia="zh-CN"/>
              </w:rPr>
              <w:t>固体</w:t>
            </w:r>
            <w:r>
              <w:rPr>
                <w:color w:val="auto"/>
                <w:sz w:val="24"/>
                <w:szCs w:val="24"/>
              </w:rPr>
              <w:t>废物产生</w:t>
            </w:r>
            <w:r>
              <w:rPr>
                <w:rFonts w:hint="eastAsia" w:eastAsia="宋体"/>
                <w:color w:val="auto"/>
                <w:sz w:val="24"/>
                <w:szCs w:val="24"/>
                <w:lang w:eastAsia="zh-CN"/>
              </w:rPr>
              <w:t>及处置</w:t>
            </w:r>
            <w:r>
              <w:rPr>
                <w:color w:val="auto"/>
                <w:sz w:val="24"/>
                <w:szCs w:val="24"/>
              </w:rPr>
              <w:t>情况见表</w:t>
            </w:r>
            <w:r>
              <w:rPr>
                <w:rFonts w:hint="eastAsia"/>
                <w:color w:val="auto"/>
                <w:sz w:val="24"/>
                <w:szCs w:val="24"/>
              </w:rPr>
              <w:t>2.</w:t>
            </w:r>
            <w:r>
              <w:rPr>
                <w:rFonts w:hint="eastAsia" w:eastAsia="宋体"/>
                <w:color w:val="auto"/>
                <w:sz w:val="24"/>
                <w:szCs w:val="24"/>
                <w:lang w:val="en-US" w:eastAsia="zh-CN"/>
              </w:rPr>
              <w:t>7-15</w:t>
            </w:r>
            <w:r>
              <w:rPr>
                <w:color w:val="auto"/>
                <w:sz w:val="24"/>
                <w:szCs w:val="24"/>
              </w:rPr>
              <w:t>。</w:t>
            </w:r>
          </w:p>
          <w:p w14:paraId="5CD41C65">
            <w:pPr>
              <w:pStyle w:val="3"/>
              <w:bidi w:val="0"/>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7-15</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现有</w:t>
            </w:r>
            <w:r>
              <w:rPr>
                <w:rFonts w:hint="default" w:ascii="Times New Roman" w:hAnsi="Times New Roman" w:cs="Times New Roman"/>
                <w:color w:val="auto"/>
              </w:rPr>
              <w:t>工程固废产生量及处置情况一览表</w:t>
            </w:r>
          </w:p>
          <w:tbl>
            <w:tblPr>
              <w:tblStyle w:val="17"/>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364"/>
              <w:gridCol w:w="1518"/>
              <w:gridCol w:w="1228"/>
              <w:gridCol w:w="3276"/>
            </w:tblGrid>
            <w:tr w14:paraId="6DC9469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410" w:type="pct"/>
                  <w:noWrap w:val="0"/>
                  <w:vAlign w:val="center"/>
                </w:tcPr>
                <w:p w14:paraId="77E2F549">
                  <w:pPr>
                    <w:pStyle w:val="3"/>
                    <w:bidi w:val="0"/>
                    <w:rPr>
                      <w:rFonts w:hint="default"/>
                      <w:color w:val="auto"/>
                    </w:rPr>
                  </w:pPr>
                  <w:r>
                    <w:rPr>
                      <w:rFonts w:hint="default"/>
                      <w:color w:val="auto"/>
                    </w:rPr>
                    <w:t>废物名称</w:t>
                  </w:r>
                </w:p>
              </w:tc>
              <w:tc>
                <w:tcPr>
                  <w:tcW w:w="905" w:type="pct"/>
                  <w:noWrap w:val="0"/>
                  <w:vAlign w:val="center"/>
                </w:tcPr>
                <w:p w14:paraId="66F85002">
                  <w:pPr>
                    <w:pStyle w:val="3"/>
                    <w:bidi w:val="0"/>
                    <w:rPr>
                      <w:rFonts w:hint="default"/>
                      <w:color w:val="auto"/>
                    </w:rPr>
                  </w:pPr>
                  <w:r>
                    <w:rPr>
                      <w:rFonts w:hint="default"/>
                      <w:color w:val="auto"/>
                    </w:rPr>
                    <w:t>废物类别</w:t>
                  </w:r>
                </w:p>
              </w:tc>
              <w:tc>
                <w:tcPr>
                  <w:tcW w:w="732" w:type="pct"/>
                  <w:noWrap w:val="0"/>
                  <w:vAlign w:val="center"/>
                </w:tcPr>
                <w:p w14:paraId="12749DB7">
                  <w:pPr>
                    <w:pStyle w:val="3"/>
                    <w:bidi w:val="0"/>
                    <w:rPr>
                      <w:rFonts w:hint="default" w:ascii="Times New Roman" w:hAnsi="Times New Roman" w:cs="Times New Roman"/>
                      <w:color w:val="auto"/>
                    </w:rPr>
                  </w:pPr>
                  <w:r>
                    <w:rPr>
                      <w:rFonts w:hint="default" w:ascii="Times New Roman" w:hAnsi="Times New Roman" w:cs="Times New Roman"/>
                      <w:color w:val="auto"/>
                    </w:rPr>
                    <w:t>产生量(t/a)</w:t>
                  </w:r>
                </w:p>
              </w:tc>
              <w:tc>
                <w:tcPr>
                  <w:tcW w:w="1952" w:type="pct"/>
                  <w:noWrap w:val="0"/>
                  <w:vAlign w:val="center"/>
                </w:tcPr>
                <w:p w14:paraId="6A62AF33">
                  <w:pPr>
                    <w:pStyle w:val="3"/>
                    <w:bidi w:val="0"/>
                    <w:rPr>
                      <w:rFonts w:hint="default"/>
                      <w:color w:val="auto"/>
                    </w:rPr>
                  </w:pPr>
                  <w:r>
                    <w:rPr>
                      <w:rFonts w:hint="default"/>
                      <w:color w:val="auto"/>
                    </w:rPr>
                    <w:t>处置情况</w:t>
                  </w:r>
                </w:p>
              </w:tc>
            </w:tr>
            <w:tr w14:paraId="04CE030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410" w:type="pct"/>
                  <w:noWrap w:val="0"/>
                  <w:vAlign w:val="center"/>
                </w:tcPr>
                <w:p w14:paraId="15C22009">
                  <w:pPr>
                    <w:pStyle w:val="3"/>
                    <w:bidi w:val="0"/>
                    <w:rPr>
                      <w:rFonts w:hint="eastAsia" w:eastAsia="宋体"/>
                      <w:color w:val="auto"/>
                      <w:lang w:eastAsia="zh-CN"/>
                    </w:rPr>
                  </w:pPr>
                  <w:r>
                    <w:rPr>
                      <w:rFonts w:hint="eastAsia" w:eastAsia="宋体"/>
                      <w:color w:val="auto"/>
                      <w:lang w:eastAsia="zh-CN"/>
                    </w:rPr>
                    <w:t>皂脚</w:t>
                  </w:r>
                </w:p>
              </w:tc>
              <w:tc>
                <w:tcPr>
                  <w:tcW w:w="905" w:type="pct"/>
                  <w:vMerge w:val="restart"/>
                  <w:noWrap w:val="0"/>
                  <w:vAlign w:val="center"/>
                </w:tcPr>
                <w:p w14:paraId="5250C2C0">
                  <w:pPr>
                    <w:pStyle w:val="3"/>
                    <w:bidi w:val="0"/>
                    <w:rPr>
                      <w:rFonts w:hint="default"/>
                      <w:color w:val="auto"/>
                      <w:lang w:eastAsia="zh-CN"/>
                    </w:rPr>
                  </w:pPr>
                  <w:r>
                    <w:rPr>
                      <w:rFonts w:hint="default"/>
                      <w:color w:val="auto"/>
                    </w:rPr>
                    <w:t>一般工业</w:t>
                  </w:r>
                  <w:r>
                    <w:rPr>
                      <w:rFonts w:hint="default"/>
                      <w:color w:val="auto"/>
                      <w:lang w:eastAsia="zh-CN"/>
                    </w:rPr>
                    <w:t>固废</w:t>
                  </w:r>
                </w:p>
              </w:tc>
              <w:tc>
                <w:tcPr>
                  <w:tcW w:w="732" w:type="pct"/>
                  <w:noWrap w:val="0"/>
                  <w:vAlign w:val="center"/>
                </w:tcPr>
                <w:p w14:paraId="4410FDA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19231</w:t>
                  </w:r>
                </w:p>
              </w:tc>
              <w:tc>
                <w:tcPr>
                  <w:tcW w:w="1952" w:type="pct"/>
                  <w:vMerge w:val="restart"/>
                  <w:noWrap w:val="0"/>
                  <w:vAlign w:val="center"/>
                </w:tcPr>
                <w:p w14:paraId="09A75E98">
                  <w:pPr>
                    <w:pStyle w:val="3"/>
                    <w:bidi w:val="0"/>
                    <w:rPr>
                      <w:rFonts w:hint="default"/>
                      <w:color w:val="auto"/>
                    </w:rPr>
                  </w:pPr>
                  <w:r>
                    <w:rPr>
                      <w:rFonts w:hint="eastAsia"/>
                      <w:color w:val="auto"/>
                      <w:lang w:val="en-US" w:eastAsia="zh-CN"/>
                    </w:rPr>
                    <w:t>交湖北福泽欣油脂环保科技有限公司处置</w:t>
                  </w:r>
                </w:p>
              </w:tc>
            </w:tr>
            <w:tr w14:paraId="4AEEA34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1410" w:type="pct"/>
                  <w:noWrap w:val="0"/>
                  <w:vAlign w:val="center"/>
                </w:tcPr>
                <w:p w14:paraId="6A0D026C">
                  <w:pPr>
                    <w:pStyle w:val="3"/>
                    <w:bidi w:val="0"/>
                    <w:rPr>
                      <w:rFonts w:hint="eastAsia" w:eastAsia="宋体"/>
                      <w:color w:val="auto"/>
                      <w:lang w:eastAsia="zh-CN"/>
                    </w:rPr>
                  </w:pPr>
                  <w:r>
                    <w:rPr>
                      <w:rFonts w:hint="eastAsia" w:eastAsia="宋体"/>
                      <w:color w:val="auto"/>
                      <w:lang w:eastAsia="zh-CN"/>
                    </w:rPr>
                    <w:t>废白土</w:t>
                  </w:r>
                </w:p>
              </w:tc>
              <w:tc>
                <w:tcPr>
                  <w:tcW w:w="905" w:type="pct"/>
                  <w:vMerge w:val="continue"/>
                  <w:noWrap w:val="0"/>
                  <w:vAlign w:val="center"/>
                </w:tcPr>
                <w:p w14:paraId="0E41B79A">
                  <w:pPr>
                    <w:pStyle w:val="3"/>
                    <w:bidi w:val="0"/>
                    <w:rPr>
                      <w:rFonts w:hint="default"/>
                      <w:color w:val="auto"/>
                    </w:rPr>
                  </w:pPr>
                </w:p>
              </w:tc>
              <w:tc>
                <w:tcPr>
                  <w:tcW w:w="732" w:type="pct"/>
                  <w:noWrap w:val="0"/>
                  <w:vAlign w:val="center"/>
                </w:tcPr>
                <w:p w14:paraId="6EB3627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3277</w:t>
                  </w:r>
                </w:p>
              </w:tc>
              <w:tc>
                <w:tcPr>
                  <w:tcW w:w="1952" w:type="pct"/>
                  <w:vMerge w:val="continue"/>
                  <w:noWrap w:val="0"/>
                  <w:vAlign w:val="center"/>
                </w:tcPr>
                <w:p w14:paraId="35B4FD2A">
                  <w:pPr>
                    <w:pStyle w:val="3"/>
                    <w:bidi w:val="0"/>
                    <w:rPr>
                      <w:rFonts w:hint="eastAsia"/>
                      <w:color w:val="auto"/>
                      <w:lang w:val="en-US" w:eastAsia="zh-CN"/>
                    </w:rPr>
                  </w:pPr>
                </w:p>
              </w:tc>
            </w:tr>
            <w:tr w14:paraId="12384D4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0" w:hRule="atLeast"/>
                <w:jc w:val="center"/>
              </w:trPr>
              <w:tc>
                <w:tcPr>
                  <w:tcW w:w="1410" w:type="pct"/>
                  <w:noWrap w:val="0"/>
                  <w:vAlign w:val="center"/>
                </w:tcPr>
                <w:p w14:paraId="400195C7">
                  <w:pPr>
                    <w:pStyle w:val="3"/>
                    <w:bidi w:val="0"/>
                    <w:rPr>
                      <w:rFonts w:hint="eastAsia" w:eastAsia="宋体"/>
                      <w:color w:val="auto"/>
                      <w:lang w:eastAsia="zh-CN"/>
                    </w:rPr>
                  </w:pPr>
                  <w:r>
                    <w:rPr>
                      <w:rFonts w:hint="eastAsia" w:eastAsia="宋体"/>
                      <w:color w:val="auto"/>
                      <w:lang w:eastAsia="zh-CN"/>
                    </w:rPr>
                    <w:t>脂肪酸</w:t>
                  </w:r>
                </w:p>
              </w:tc>
              <w:tc>
                <w:tcPr>
                  <w:tcW w:w="905" w:type="pct"/>
                  <w:vMerge w:val="continue"/>
                  <w:noWrap w:val="0"/>
                  <w:vAlign w:val="center"/>
                </w:tcPr>
                <w:p w14:paraId="1639CAEE">
                  <w:pPr>
                    <w:pStyle w:val="3"/>
                    <w:bidi w:val="0"/>
                    <w:rPr>
                      <w:rFonts w:hint="default"/>
                      <w:color w:val="auto"/>
                    </w:rPr>
                  </w:pPr>
                </w:p>
              </w:tc>
              <w:tc>
                <w:tcPr>
                  <w:tcW w:w="732" w:type="pct"/>
                  <w:noWrap w:val="0"/>
                  <w:vAlign w:val="center"/>
                </w:tcPr>
                <w:p w14:paraId="381D782F">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655</w:t>
                  </w:r>
                </w:p>
              </w:tc>
              <w:tc>
                <w:tcPr>
                  <w:tcW w:w="1952" w:type="pct"/>
                  <w:noWrap w:val="0"/>
                  <w:vAlign w:val="center"/>
                </w:tcPr>
                <w:p w14:paraId="3D74B9A2">
                  <w:pPr>
                    <w:pStyle w:val="3"/>
                    <w:bidi w:val="0"/>
                    <w:rPr>
                      <w:rFonts w:hint="eastAsia" w:eastAsia="宋体"/>
                      <w:color w:val="auto"/>
                      <w:lang w:eastAsia="zh-CN"/>
                    </w:rPr>
                  </w:pPr>
                  <w:r>
                    <w:rPr>
                      <w:rFonts w:hint="eastAsia"/>
                      <w:color w:val="auto"/>
                      <w:lang w:eastAsia="zh-CN"/>
                    </w:rPr>
                    <w:t>交</w:t>
                  </w:r>
                  <w:r>
                    <w:rPr>
                      <w:rFonts w:hint="eastAsia"/>
                      <w:color w:val="auto"/>
                      <w:lang w:val="en-US" w:eastAsia="zh-CN"/>
                    </w:rPr>
                    <w:t>中粮天科生物工程（天津）有限公司处置</w:t>
                  </w:r>
                </w:p>
              </w:tc>
            </w:tr>
            <w:tr w14:paraId="7938730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28D3ADC0">
                  <w:pPr>
                    <w:pStyle w:val="3"/>
                    <w:bidi w:val="0"/>
                    <w:rPr>
                      <w:rFonts w:hint="default"/>
                      <w:color w:val="auto"/>
                      <w:lang w:eastAsia="zh-CN"/>
                    </w:rPr>
                  </w:pPr>
                  <w:r>
                    <w:rPr>
                      <w:rFonts w:hint="default"/>
                      <w:color w:val="auto"/>
                      <w:lang w:eastAsia="zh-CN"/>
                    </w:rPr>
                    <w:t>废杂质</w:t>
                  </w:r>
                </w:p>
              </w:tc>
              <w:tc>
                <w:tcPr>
                  <w:tcW w:w="905" w:type="pct"/>
                  <w:vMerge w:val="continue"/>
                  <w:noWrap w:val="0"/>
                  <w:vAlign w:val="center"/>
                </w:tcPr>
                <w:p w14:paraId="55643BCA">
                  <w:pPr>
                    <w:pStyle w:val="3"/>
                    <w:bidi w:val="0"/>
                    <w:rPr>
                      <w:rFonts w:hint="default"/>
                      <w:color w:val="auto"/>
                      <w:lang w:eastAsia="zh-CN"/>
                    </w:rPr>
                  </w:pPr>
                </w:p>
              </w:tc>
              <w:tc>
                <w:tcPr>
                  <w:tcW w:w="732" w:type="pct"/>
                  <w:noWrap w:val="0"/>
                  <w:vAlign w:val="center"/>
                </w:tcPr>
                <w:p w14:paraId="19DA04B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38016</w:t>
                  </w:r>
                </w:p>
              </w:tc>
              <w:tc>
                <w:tcPr>
                  <w:tcW w:w="1952" w:type="pct"/>
                  <w:vMerge w:val="restart"/>
                  <w:noWrap w:val="0"/>
                  <w:vAlign w:val="center"/>
                </w:tcPr>
                <w:p w14:paraId="6ADC3E42">
                  <w:pPr>
                    <w:pStyle w:val="3"/>
                    <w:bidi w:val="0"/>
                    <w:rPr>
                      <w:rFonts w:hint="default"/>
                      <w:color w:val="auto"/>
                    </w:rPr>
                  </w:pPr>
                  <w:r>
                    <w:rPr>
                      <w:rFonts w:hint="default"/>
                      <w:color w:val="auto"/>
                    </w:rPr>
                    <w:t>分类收集后，</w:t>
                  </w:r>
                </w:p>
                <w:p w14:paraId="3F2EA013">
                  <w:pPr>
                    <w:pStyle w:val="3"/>
                    <w:bidi w:val="0"/>
                    <w:rPr>
                      <w:rFonts w:hint="default"/>
                      <w:color w:val="auto"/>
                      <w:lang w:eastAsia="zh-CN"/>
                    </w:rPr>
                  </w:pPr>
                  <w:r>
                    <w:rPr>
                      <w:rFonts w:hint="default"/>
                      <w:color w:val="auto"/>
                      <w:lang w:eastAsia="zh-CN"/>
                    </w:rPr>
                    <w:t>交废品回收公司处置</w:t>
                  </w:r>
                </w:p>
              </w:tc>
            </w:tr>
            <w:tr w14:paraId="43F6391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266344E3">
                  <w:pPr>
                    <w:pStyle w:val="3"/>
                    <w:bidi w:val="0"/>
                    <w:rPr>
                      <w:rFonts w:hint="default"/>
                      <w:color w:val="auto"/>
                      <w:lang w:eastAsia="zh-CN"/>
                    </w:rPr>
                  </w:pPr>
                  <w:r>
                    <w:rPr>
                      <w:rFonts w:hint="default"/>
                      <w:color w:val="auto"/>
                      <w:lang w:eastAsia="zh-CN"/>
                    </w:rPr>
                    <w:t>废包装</w:t>
                  </w:r>
                </w:p>
              </w:tc>
              <w:tc>
                <w:tcPr>
                  <w:tcW w:w="905" w:type="pct"/>
                  <w:vMerge w:val="continue"/>
                  <w:noWrap w:val="0"/>
                  <w:vAlign w:val="center"/>
                </w:tcPr>
                <w:p w14:paraId="681218D1">
                  <w:pPr>
                    <w:pStyle w:val="3"/>
                    <w:bidi w:val="0"/>
                    <w:rPr>
                      <w:rFonts w:hint="default"/>
                      <w:color w:val="auto"/>
                    </w:rPr>
                  </w:pPr>
                </w:p>
              </w:tc>
              <w:tc>
                <w:tcPr>
                  <w:tcW w:w="732" w:type="pct"/>
                  <w:noWrap w:val="0"/>
                  <w:vAlign w:val="center"/>
                </w:tcPr>
                <w:p w14:paraId="686A29B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35</w:t>
                  </w:r>
                </w:p>
              </w:tc>
              <w:tc>
                <w:tcPr>
                  <w:tcW w:w="1952" w:type="pct"/>
                  <w:vMerge w:val="continue"/>
                  <w:noWrap w:val="0"/>
                  <w:vAlign w:val="center"/>
                </w:tcPr>
                <w:p w14:paraId="04B32482">
                  <w:pPr>
                    <w:pStyle w:val="3"/>
                    <w:bidi w:val="0"/>
                    <w:rPr>
                      <w:rFonts w:hint="default"/>
                      <w:color w:val="auto"/>
                    </w:rPr>
                  </w:pPr>
                </w:p>
              </w:tc>
            </w:tr>
            <w:tr w14:paraId="6A27AA8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1470FABB">
                  <w:pPr>
                    <w:pStyle w:val="3"/>
                    <w:bidi w:val="0"/>
                    <w:rPr>
                      <w:rFonts w:hint="default"/>
                      <w:color w:val="auto"/>
                      <w:highlight w:val="none"/>
                      <w:lang w:eastAsia="zh-CN"/>
                    </w:rPr>
                  </w:pPr>
                  <w:r>
                    <w:rPr>
                      <w:rFonts w:hint="eastAsia"/>
                      <w:color w:val="auto"/>
                      <w:highlight w:val="none"/>
                      <w:lang w:eastAsia="zh-CN"/>
                    </w:rPr>
                    <w:t>废滤袋</w:t>
                  </w:r>
                </w:p>
              </w:tc>
              <w:tc>
                <w:tcPr>
                  <w:tcW w:w="905" w:type="pct"/>
                  <w:vMerge w:val="continue"/>
                  <w:noWrap w:val="0"/>
                  <w:vAlign w:val="center"/>
                </w:tcPr>
                <w:p w14:paraId="1E84400F">
                  <w:pPr>
                    <w:pStyle w:val="3"/>
                    <w:bidi w:val="0"/>
                    <w:rPr>
                      <w:rFonts w:hint="default"/>
                      <w:color w:val="auto"/>
                      <w:highlight w:val="none"/>
                    </w:rPr>
                  </w:pPr>
                </w:p>
              </w:tc>
              <w:tc>
                <w:tcPr>
                  <w:tcW w:w="732" w:type="pct"/>
                  <w:noWrap w:val="0"/>
                  <w:vAlign w:val="center"/>
                </w:tcPr>
                <w:p w14:paraId="168889BA">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0.02</w:t>
                  </w:r>
                </w:p>
              </w:tc>
              <w:tc>
                <w:tcPr>
                  <w:tcW w:w="1952" w:type="pct"/>
                  <w:vMerge w:val="continue"/>
                  <w:noWrap w:val="0"/>
                  <w:vAlign w:val="center"/>
                </w:tcPr>
                <w:p w14:paraId="355A0E3C">
                  <w:pPr>
                    <w:pStyle w:val="3"/>
                    <w:bidi w:val="0"/>
                    <w:rPr>
                      <w:rFonts w:hint="default"/>
                      <w:color w:val="auto"/>
                    </w:rPr>
                  </w:pPr>
                </w:p>
              </w:tc>
            </w:tr>
            <w:tr w14:paraId="3409CBA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14BDA237">
                  <w:pPr>
                    <w:pStyle w:val="3"/>
                    <w:bidi w:val="0"/>
                    <w:rPr>
                      <w:rFonts w:hint="default"/>
                      <w:color w:val="auto"/>
                      <w:highlight w:val="none"/>
                      <w:lang w:eastAsia="zh-CN"/>
                    </w:rPr>
                  </w:pPr>
                  <w:r>
                    <w:rPr>
                      <w:rFonts w:hint="default"/>
                      <w:color w:val="auto"/>
                      <w:highlight w:val="none"/>
                      <w:lang w:eastAsia="zh-CN"/>
                    </w:rPr>
                    <w:t>除尘器收集粉尘</w:t>
                  </w:r>
                </w:p>
              </w:tc>
              <w:tc>
                <w:tcPr>
                  <w:tcW w:w="905" w:type="pct"/>
                  <w:vMerge w:val="continue"/>
                  <w:noWrap w:val="0"/>
                  <w:vAlign w:val="center"/>
                </w:tcPr>
                <w:p w14:paraId="43ED2FC8">
                  <w:pPr>
                    <w:pStyle w:val="3"/>
                    <w:bidi w:val="0"/>
                    <w:rPr>
                      <w:rFonts w:hint="default"/>
                      <w:color w:val="auto"/>
                      <w:highlight w:val="none"/>
                    </w:rPr>
                  </w:pPr>
                </w:p>
              </w:tc>
              <w:tc>
                <w:tcPr>
                  <w:tcW w:w="732" w:type="pct"/>
                  <w:noWrap w:val="0"/>
                  <w:vAlign w:val="center"/>
                </w:tcPr>
                <w:p w14:paraId="540A01A5">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764</w:t>
                  </w:r>
                </w:p>
              </w:tc>
              <w:tc>
                <w:tcPr>
                  <w:tcW w:w="1952" w:type="pct"/>
                  <w:vMerge w:val="continue"/>
                  <w:noWrap w:val="0"/>
                  <w:vAlign w:val="center"/>
                </w:tcPr>
                <w:p w14:paraId="4EB895C4">
                  <w:pPr>
                    <w:pStyle w:val="3"/>
                    <w:bidi w:val="0"/>
                    <w:rPr>
                      <w:rFonts w:hint="default"/>
                      <w:color w:val="auto"/>
                    </w:rPr>
                  </w:pPr>
                </w:p>
              </w:tc>
            </w:tr>
            <w:tr w14:paraId="61BC03E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19C693F1">
                  <w:pPr>
                    <w:pStyle w:val="3"/>
                    <w:bidi w:val="0"/>
                    <w:rPr>
                      <w:rFonts w:hint="default"/>
                      <w:color w:val="auto"/>
                      <w:lang w:eastAsia="zh-CN"/>
                    </w:rPr>
                  </w:pPr>
                  <w:r>
                    <w:rPr>
                      <w:rFonts w:hint="default"/>
                      <w:color w:val="auto"/>
                      <w:lang w:eastAsia="zh-CN"/>
                    </w:rPr>
                    <w:t>废分子筛</w:t>
                  </w:r>
                </w:p>
              </w:tc>
              <w:tc>
                <w:tcPr>
                  <w:tcW w:w="905" w:type="pct"/>
                  <w:vMerge w:val="continue"/>
                  <w:noWrap w:val="0"/>
                  <w:vAlign w:val="center"/>
                </w:tcPr>
                <w:p w14:paraId="5E61E71F">
                  <w:pPr>
                    <w:pStyle w:val="3"/>
                    <w:bidi w:val="0"/>
                    <w:rPr>
                      <w:rFonts w:hint="default"/>
                      <w:color w:val="auto"/>
                    </w:rPr>
                  </w:pPr>
                </w:p>
              </w:tc>
              <w:tc>
                <w:tcPr>
                  <w:tcW w:w="732" w:type="pct"/>
                  <w:noWrap w:val="0"/>
                  <w:vAlign w:val="center"/>
                </w:tcPr>
                <w:p w14:paraId="217717A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w:t>
                  </w:r>
                </w:p>
              </w:tc>
              <w:tc>
                <w:tcPr>
                  <w:tcW w:w="1952" w:type="pct"/>
                  <w:vMerge w:val="continue"/>
                  <w:noWrap w:val="0"/>
                  <w:vAlign w:val="center"/>
                </w:tcPr>
                <w:p w14:paraId="74BFAA47">
                  <w:pPr>
                    <w:pStyle w:val="3"/>
                    <w:bidi w:val="0"/>
                    <w:rPr>
                      <w:rFonts w:hint="default"/>
                      <w:color w:val="auto"/>
                    </w:rPr>
                  </w:pPr>
                </w:p>
              </w:tc>
            </w:tr>
            <w:tr w14:paraId="5BB2FD7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0864786C">
                  <w:pPr>
                    <w:pStyle w:val="3"/>
                    <w:bidi w:val="0"/>
                    <w:rPr>
                      <w:rFonts w:hint="default"/>
                      <w:color w:val="auto"/>
                      <w:lang w:eastAsia="zh-CN"/>
                    </w:rPr>
                  </w:pPr>
                  <w:r>
                    <w:rPr>
                      <w:rFonts w:hint="default"/>
                      <w:color w:val="auto"/>
                      <w:lang w:eastAsia="zh-CN"/>
                    </w:rPr>
                    <w:t>污泥</w:t>
                  </w:r>
                </w:p>
              </w:tc>
              <w:tc>
                <w:tcPr>
                  <w:tcW w:w="905" w:type="pct"/>
                  <w:vMerge w:val="continue"/>
                  <w:noWrap w:val="0"/>
                  <w:vAlign w:val="center"/>
                </w:tcPr>
                <w:p w14:paraId="6A52FB36">
                  <w:pPr>
                    <w:pStyle w:val="3"/>
                    <w:bidi w:val="0"/>
                    <w:rPr>
                      <w:rFonts w:hint="default"/>
                      <w:color w:val="auto"/>
                    </w:rPr>
                  </w:pPr>
                </w:p>
              </w:tc>
              <w:tc>
                <w:tcPr>
                  <w:tcW w:w="732" w:type="pct"/>
                  <w:noWrap w:val="0"/>
                  <w:vAlign w:val="center"/>
                </w:tcPr>
                <w:p w14:paraId="0DC0960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450</w:t>
                  </w:r>
                </w:p>
              </w:tc>
              <w:tc>
                <w:tcPr>
                  <w:tcW w:w="1952" w:type="pct"/>
                  <w:vMerge w:val="continue"/>
                  <w:noWrap w:val="0"/>
                  <w:vAlign w:val="center"/>
                </w:tcPr>
                <w:p w14:paraId="36B8ED53">
                  <w:pPr>
                    <w:pStyle w:val="3"/>
                    <w:bidi w:val="0"/>
                    <w:rPr>
                      <w:rFonts w:hint="default"/>
                      <w:color w:val="auto"/>
                    </w:rPr>
                  </w:pPr>
                </w:p>
              </w:tc>
            </w:tr>
            <w:tr w14:paraId="623DD84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44" w:hRule="atLeast"/>
                <w:jc w:val="center"/>
              </w:trPr>
              <w:tc>
                <w:tcPr>
                  <w:tcW w:w="1410" w:type="pct"/>
                  <w:noWrap w:val="0"/>
                  <w:vAlign w:val="center"/>
                </w:tcPr>
                <w:p w14:paraId="24AF9553">
                  <w:pPr>
                    <w:pStyle w:val="3"/>
                    <w:bidi w:val="0"/>
                    <w:rPr>
                      <w:rFonts w:hint="default"/>
                      <w:color w:val="auto"/>
                      <w:lang w:eastAsia="zh-CN"/>
                    </w:rPr>
                  </w:pPr>
                  <w:r>
                    <w:rPr>
                      <w:rFonts w:hint="default"/>
                      <w:color w:val="auto"/>
                      <w:lang w:eastAsia="zh-CN"/>
                    </w:rPr>
                    <w:t>废油漆桶</w:t>
                  </w:r>
                </w:p>
              </w:tc>
              <w:tc>
                <w:tcPr>
                  <w:tcW w:w="905" w:type="pct"/>
                  <w:vMerge w:val="restart"/>
                  <w:noWrap w:val="0"/>
                  <w:vAlign w:val="center"/>
                </w:tcPr>
                <w:p w14:paraId="0FE44329">
                  <w:pPr>
                    <w:pStyle w:val="3"/>
                    <w:bidi w:val="0"/>
                    <w:rPr>
                      <w:rFonts w:hint="default"/>
                      <w:color w:val="auto"/>
                    </w:rPr>
                  </w:pPr>
                  <w:r>
                    <w:rPr>
                      <w:rFonts w:hint="default"/>
                      <w:color w:val="auto"/>
                    </w:rPr>
                    <w:t>危险废物</w:t>
                  </w:r>
                </w:p>
              </w:tc>
              <w:tc>
                <w:tcPr>
                  <w:tcW w:w="732" w:type="pct"/>
                  <w:noWrap w:val="0"/>
                  <w:vAlign w:val="center"/>
                </w:tcPr>
                <w:p w14:paraId="7E39CCCB">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0.7</w:t>
                  </w:r>
                </w:p>
              </w:tc>
              <w:tc>
                <w:tcPr>
                  <w:tcW w:w="1952" w:type="pct"/>
                  <w:vMerge w:val="restart"/>
                  <w:noWrap w:val="0"/>
                  <w:vAlign w:val="center"/>
                </w:tcPr>
                <w:p w14:paraId="6CF618C8">
                  <w:pPr>
                    <w:pStyle w:val="3"/>
                    <w:bidi w:val="0"/>
                    <w:rPr>
                      <w:rFonts w:hint="default"/>
                      <w:color w:val="auto"/>
                    </w:rPr>
                  </w:pPr>
                  <w:r>
                    <w:rPr>
                      <w:rFonts w:hint="default"/>
                      <w:color w:val="auto"/>
                    </w:rPr>
                    <w:t>暂存于危险废物储存间，</w:t>
                  </w:r>
                </w:p>
                <w:p w14:paraId="1C054AA5">
                  <w:pPr>
                    <w:pStyle w:val="3"/>
                    <w:bidi w:val="0"/>
                    <w:rPr>
                      <w:rFonts w:hint="default"/>
                      <w:color w:val="auto"/>
                    </w:rPr>
                  </w:pPr>
                  <w:r>
                    <w:rPr>
                      <w:rFonts w:hint="default"/>
                      <w:color w:val="auto"/>
                    </w:rPr>
                    <w:t>定期交</w:t>
                  </w:r>
                  <w:r>
                    <w:rPr>
                      <w:rFonts w:hint="default" w:ascii="Times New Roman" w:hAnsi="Times New Roman" w:cs="Times New Roman"/>
                      <w:color w:val="auto"/>
                      <w:sz w:val="21"/>
                      <w:szCs w:val="21"/>
                      <w:highlight w:val="none"/>
                    </w:rPr>
                    <w:t>重庆</w:t>
                  </w:r>
                  <w:r>
                    <w:rPr>
                      <w:rFonts w:hint="eastAsia" w:eastAsia="宋体" w:cs="Times New Roman"/>
                      <w:color w:val="auto"/>
                      <w:sz w:val="21"/>
                      <w:szCs w:val="21"/>
                      <w:highlight w:val="none"/>
                      <w:lang w:eastAsia="zh-CN"/>
                    </w:rPr>
                    <w:t>信维环保</w:t>
                  </w:r>
                  <w:r>
                    <w:rPr>
                      <w:rFonts w:hint="default" w:ascii="Times New Roman" w:hAnsi="Times New Roman" w:cs="Times New Roman"/>
                      <w:color w:val="auto"/>
                      <w:sz w:val="21"/>
                      <w:szCs w:val="21"/>
                      <w:highlight w:val="none"/>
                    </w:rPr>
                    <w:t>有限公司</w:t>
                  </w:r>
                  <w:r>
                    <w:rPr>
                      <w:rFonts w:hint="default"/>
                      <w:color w:val="auto"/>
                    </w:rPr>
                    <w:t>处置</w:t>
                  </w:r>
                </w:p>
              </w:tc>
            </w:tr>
            <w:tr w14:paraId="45BD678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02BCD949">
                  <w:pPr>
                    <w:pStyle w:val="3"/>
                    <w:bidi w:val="0"/>
                    <w:rPr>
                      <w:rFonts w:hint="default"/>
                      <w:color w:val="auto"/>
                      <w:lang w:eastAsia="zh-CN"/>
                    </w:rPr>
                  </w:pPr>
                  <w:r>
                    <w:rPr>
                      <w:rFonts w:hint="default"/>
                      <w:color w:val="auto"/>
                      <w:lang w:eastAsia="zh-CN"/>
                    </w:rPr>
                    <w:t>废化学品瓶</w:t>
                  </w:r>
                </w:p>
              </w:tc>
              <w:tc>
                <w:tcPr>
                  <w:tcW w:w="905" w:type="pct"/>
                  <w:vMerge w:val="continue"/>
                  <w:noWrap w:val="0"/>
                  <w:vAlign w:val="center"/>
                </w:tcPr>
                <w:p w14:paraId="09D1EC84">
                  <w:pPr>
                    <w:pStyle w:val="3"/>
                    <w:bidi w:val="0"/>
                    <w:rPr>
                      <w:rFonts w:hint="default"/>
                      <w:color w:val="auto"/>
                    </w:rPr>
                  </w:pPr>
                </w:p>
              </w:tc>
              <w:tc>
                <w:tcPr>
                  <w:tcW w:w="732" w:type="pct"/>
                  <w:noWrap w:val="0"/>
                  <w:vAlign w:val="center"/>
                </w:tcPr>
                <w:p w14:paraId="157BB7A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p>
              </w:tc>
              <w:tc>
                <w:tcPr>
                  <w:tcW w:w="1952" w:type="pct"/>
                  <w:vMerge w:val="continue"/>
                  <w:noWrap w:val="0"/>
                  <w:vAlign w:val="center"/>
                </w:tcPr>
                <w:p w14:paraId="2D9027D1">
                  <w:pPr>
                    <w:pStyle w:val="3"/>
                    <w:bidi w:val="0"/>
                    <w:rPr>
                      <w:rFonts w:hint="default"/>
                      <w:color w:val="auto"/>
                    </w:rPr>
                  </w:pPr>
                </w:p>
              </w:tc>
            </w:tr>
            <w:tr w14:paraId="437FCE6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68281570">
                  <w:pPr>
                    <w:pStyle w:val="3"/>
                    <w:bidi w:val="0"/>
                    <w:rPr>
                      <w:rFonts w:hint="default"/>
                      <w:color w:val="auto"/>
                      <w:lang w:eastAsia="zh-CN"/>
                    </w:rPr>
                  </w:pPr>
                  <w:r>
                    <w:rPr>
                      <w:rFonts w:hint="default"/>
                      <w:color w:val="auto"/>
                      <w:lang w:eastAsia="zh-CN"/>
                    </w:rPr>
                    <w:t>废蓄电池</w:t>
                  </w:r>
                </w:p>
              </w:tc>
              <w:tc>
                <w:tcPr>
                  <w:tcW w:w="905" w:type="pct"/>
                  <w:vMerge w:val="continue"/>
                  <w:noWrap w:val="0"/>
                  <w:vAlign w:val="center"/>
                </w:tcPr>
                <w:p w14:paraId="2F656CBC">
                  <w:pPr>
                    <w:pStyle w:val="3"/>
                    <w:bidi w:val="0"/>
                    <w:rPr>
                      <w:rFonts w:hint="default"/>
                      <w:color w:val="auto"/>
                    </w:rPr>
                  </w:pPr>
                </w:p>
              </w:tc>
              <w:tc>
                <w:tcPr>
                  <w:tcW w:w="732" w:type="pct"/>
                  <w:noWrap w:val="0"/>
                  <w:vAlign w:val="center"/>
                </w:tcPr>
                <w:p w14:paraId="380C41C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3</w:t>
                  </w:r>
                </w:p>
              </w:tc>
              <w:tc>
                <w:tcPr>
                  <w:tcW w:w="1952" w:type="pct"/>
                  <w:vMerge w:val="continue"/>
                  <w:noWrap w:val="0"/>
                  <w:vAlign w:val="center"/>
                </w:tcPr>
                <w:p w14:paraId="3D1E1244">
                  <w:pPr>
                    <w:pStyle w:val="3"/>
                    <w:bidi w:val="0"/>
                    <w:rPr>
                      <w:rFonts w:hint="default"/>
                      <w:color w:val="auto"/>
                    </w:rPr>
                  </w:pPr>
                </w:p>
              </w:tc>
            </w:tr>
            <w:tr w14:paraId="6107430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03" w:hRule="atLeast"/>
                <w:jc w:val="center"/>
              </w:trPr>
              <w:tc>
                <w:tcPr>
                  <w:tcW w:w="1410" w:type="pct"/>
                  <w:noWrap w:val="0"/>
                  <w:vAlign w:val="center"/>
                </w:tcPr>
                <w:p w14:paraId="6492F0C8">
                  <w:pPr>
                    <w:pStyle w:val="3"/>
                    <w:bidi w:val="0"/>
                    <w:rPr>
                      <w:rFonts w:hint="default"/>
                      <w:color w:val="auto"/>
                      <w:lang w:eastAsia="zh-CN"/>
                    </w:rPr>
                  </w:pPr>
                  <w:r>
                    <w:rPr>
                      <w:rFonts w:hint="default"/>
                      <w:color w:val="auto"/>
                      <w:lang w:eastAsia="zh-CN"/>
                    </w:rPr>
                    <w:t>实验室废液</w:t>
                  </w:r>
                </w:p>
              </w:tc>
              <w:tc>
                <w:tcPr>
                  <w:tcW w:w="905" w:type="pct"/>
                  <w:vMerge w:val="continue"/>
                  <w:noWrap w:val="0"/>
                  <w:vAlign w:val="center"/>
                </w:tcPr>
                <w:p w14:paraId="45E57DBD">
                  <w:pPr>
                    <w:pStyle w:val="3"/>
                    <w:bidi w:val="0"/>
                    <w:rPr>
                      <w:rFonts w:hint="default"/>
                      <w:color w:val="auto"/>
                    </w:rPr>
                  </w:pPr>
                </w:p>
              </w:tc>
              <w:tc>
                <w:tcPr>
                  <w:tcW w:w="732" w:type="pct"/>
                  <w:noWrap w:val="0"/>
                  <w:vAlign w:val="center"/>
                </w:tcPr>
                <w:p w14:paraId="3D3600F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1952" w:type="pct"/>
                  <w:vMerge w:val="continue"/>
                  <w:noWrap w:val="0"/>
                  <w:vAlign w:val="center"/>
                </w:tcPr>
                <w:p w14:paraId="23F52EF2">
                  <w:pPr>
                    <w:pStyle w:val="3"/>
                    <w:bidi w:val="0"/>
                    <w:rPr>
                      <w:rFonts w:hint="default"/>
                      <w:color w:val="auto"/>
                    </w:rPr>
                  </w:pPr>
                </w:p>
              </w:tc>
            </w:tr>
            <w:tr w14:paraId="3CBC6D7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5" w:hRule="atLeast"/>
                <w:jc w:val="center"/>
              </w:trPr>
              <w:tc>
                <w:tcPr>
                  <w:tcW w:w="1410" w:type="pct"/>
                  <w:noWrap w:val="0"/>
                  <w:vAlign w:val="center"/>
                </w:tcPr>
                <w:p w14:paraId="166D9323">
                  <w:pPr>
                    <w:pStyle w:val="3"/>
                    <w:bidi w:val="0"/>
                    <w:rPr>
                      <w:rFonts w:hint="default"/>
                      <w:color w:val="auto"/>
                      <w:lang w:eastAsia="zh-CN"/>
                    </w:rPr>
                  </w:pPr>
                  <w:r>
                    <w:rPr>
                      <w:rFonts w:hint="default"/>
                      <w:color w:val="auto"/>
                      <w:lang w:eastAsia="zh-CN"/>
                    </w:rPr>
                    <w:t>废包装桶</w:t>
                  </w:r>
                </w:p>
              </w:tc>
              <w:tc>
                <w:tcPr>
                  <w:tcW w:w="905" w:type="pct"/>
                  <w:vMerge w:val="continue"/>
                  <w:noWrap w:val="0"/>
                  <w:vAlign w:val="center"/>
                </w:tcPr>
                <w:p w14:paraId="172C3485">
                  <w:pPr>
                    <w:pStyle w:val="3"/>
                    <w:bidi w:val="0"/>
                    <w:rPr>
                      <w:rFonts w:hint="default"/>
                      <w:color w:val="auto"/>
                    </w:rPr>
                  </w:pPr>
                </w:p>
              </w:tc>
              <w:tc>
                <w:tcPr>
                  <w:tcW w:w="732" w:type="pct"/>
                  <w:noWrap w:val="0"/>
                  <w:vAlign w:val="center"/>
                </w:tcPr>
                <w:p w14:paraId="1FFF6CE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0.1</w:t>
                  </w:r>
                </w:p>
              </w:tc>
              <w:tc>
                <w:tcPr>
                  <w:tcW w:w="1952" w:type="pct"/>
                  <w:vMerge w:val="continue"/>
                  <w:noWrap w:val="0"/>
                  <w:vAlign w:val="center"/>
                </w:tcPr>
                <w:p w14:paraId="1F3253AA">
                  <w:pPr>
                    <w:pStyle w:val="3"/>
                    <w:bidi w:val="0"/>
                    <w:rPr>
                      <w:rFonts w:hint="default"/>
                      <w:color w:val="auto"/>
                    </w:rPr>
                  </w:pPr>
                </w:p>
              </w:tc>
            </w:tr>
            <w:tr w14:paraId="3E78694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410" w:type="pct"/>
                  <w:tcBorders>
                    <w:bottom w:val="single" w:color="auto" w:sz="4" w:space="0"/>
                  </w:tcBorders>
                  <w:noWrap w:val="0"/>
                  <w:vAlign w:val="center"/>
                </w:tcPr>
                <w:p w14:paraId="32C67542">
                  <w:pPr>
                    <w:pStyle w:val="3"/>
                    <w:bidi w:val="0"/>
                    <w:rPr>
                      <w:rFonts w:hint="default"/>
                      <w:color w:val="auto"/>
                      <w:lang w:eastAsia="zh-CN"/>
                    </w:rPr>
                  </w:pPr>
                  <w:r>
                    <w:rPr>
                      <w:rFonts w:hint="default"/>
                      <w:color w:val="auto"/>
                      <w:lang w:eastAsia="zh-CN"/>
                    </w:rPr>
                    <w:t>废活性炭</w:t>
                  </w:r>
                </w:p>
              </w:tc>
              <w:tc>
                <w:tcPr>
                  <w:tcW w:w="905" w:type="pct"/>
                  <w:vMerge w:val="continue"/>
                  <w:noWrap w:val="0"/>
                  <w:vAlign w:val="center"/>
                </w:tcPr>
                <w:p w14:paraId="1F09A6A8">
                  <w:pPr>
                    <w:pStyle w:val="3"/>
                    <w:bidi w:val="0"/>
                    <w:rPr>
                      <w:rFonts w:hint="default"/>
                      <w:color w:val="auto"/>
                    </w:rPr>
                  </w:pPr>
                </w:p>
              </w:tc>
              <w:tc>
                <w:tcPr>
                  <w:tcW w:w="732" w:type="pct"/>
                  <w:tcBorders>
                    <w:bottom w:val="single" w:color="auto" w:sz="4" w:space="0"/>
                  </w:tcBorders>
                  <w:noWrap w:val="0"/>
                  <w:vAlign w:val="center"/>
                </w:tcPr>
                <w:p w14:paraId="263387C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0.5</w:t>
                  </w:r>
                </w:p>
              </w:tc>
              <w:tc>
                <w:tcPr>
                  <w:tcW w:w="1952" w:type="pct"/>
                  <w:vMerge w:val="continue"/>
                  <w:noWrap w:val="0"/>
                  <w:vAlign w:val="center"/>
                </w:tcPr>
                <w:p w14:paraId="414CE45A">
                  <w:pPr>
                    <w:pStyle w:val="3"/>
                    <w:bidi w:val="0"/>
                    <w:rPr>
                      <w:rFonts w:hint="default"/>
                      <w:color w:val="auto"/>
                    </w:rPr>
                  </w:pPr>
                </w:p>
              </w:tc>
            </w:tr>
            <w:tr w14:paraId="79685EB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410" w:type="pct"/>
                  <w:tcBorders>
                    <w:bottom w:val="single" w:color="auto" w:sz="4" w:space="0"/>
                  </w:tcBorders>
                  <w:noWrap w:val="0"/>
                  <w:vAlign w:val="center"/>
                </w:tcPr>
                <w:p w14:paraId="5C276753">
                  <w:pPr>
                    <w:pStyle w:val="3"/>
                    <w:bidi w:val="0"/>
                    <w:rPr>
                      <w:rFonts w:hint="default"/>
                      <w:color w:val="auto"/>
                      <w:highlight w:val="none"/>
                      <w:lang w:eastAsia="zh-CN"/>
                    </w:rPr>
                  </w:pPr>
                  <w:r>
                    <w:rPr>
                      <w:rFonts w:hint="eastAsia"/>
                      <w:color w:val="auto"/>
                      <w:highlight w:val="none"/>
                      <w:lang w:eastAsia="zh-CN"/>
                    </w:rPr>
                    <w:t>废润滑油</w:t>
                  </w:r>
                </w:p>
              </w:tc>
              <w:tc>
                <w:tcPr>
                  <w:tcW w:w="905" w:type="pct"/>
                  <w:vMerge w:val="continue"/>
                  <w:noWrap w:val="0"/>
                  <w:vAlign w:val="center"/>
                </w:tcPr>
                <w:p w14:paraId="1ACA26BB">
                  <w:pPr>
                    <w:pStyle w:val="3"/>
                    <w:bidi w:val="0"/>
                    <w:rPr>
                      <w:rFonts w:hint="default"/>
                      <w:color w:val="auto"/>
                      <w:highlight w:val="none"/>
                    </w:rPr>
                  </w:pPr>
                </w:p>
              </w:tc>
              <w:tc>
                <w:tcPr>
                  <w:tcW w:w="732" w:type="pct"/>
                  <w:tcBorders>
                    <w:bottom w:val="single" w:color="auto" w:sz="4" w:space="0"/>
                  </w:tcBorders>
                  <w:noWrap w:val="0"/>
                  <w:vAlign w:val="center"/>
                </w:tcPr>
                <w:p w14:paraId="5BAD22AD">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w:t>
                  </w:r>
                </w:p>
              </w:tc>
              <w:tc>
                <w:tcPr>
                  <w:tcW w:w="1952" w:type="pct"/>
                  <w:vMerge w:val="continue"/>
                  <w:noWrap w:val="0"/>
                  <w:vAlign w:val="center"/>
                </w:tcPr>
                <w:p w14:paraId="062055C3">
                  <w:pPr>
                    <w:pStyle w:val="3"/>
                    <w:bidi w:val="0"/>
                    <w:rPr>
                      <w:rFonts w:hint="default"/>
                      <w:color w:val="auto"/>
                    </w:rPr>
                  </w:pPr>
                </w:p>
              </w:tc>
            </w:tr>
            <w:tr w14:paraId="38281E6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jc w:val="center"/>
              </w:trPr>
              <w:tc>
                <w:tcPr>
                  <w:tcW w:w="1410" w:type="pct"/>
                  <w:tcBorders>
                    <w:bottom w:val="single" w:color="auto" w:sz="4" w:space="0"/>
                  </w:tcBorders>
                  <w:noWrap w:val="0"/>
                  <w:vAlign w:val="center"/>
                </w:tcPr>
                <w:p w14:paraId="412CDA9E">
                  <w:pPr>
                    <w:pStyle w:val="3"/>
                    <w:bidi w:val="0"/>
                    <w:rPr>
                      <w:rFonts w:hint="default"/>
                      <w:color w:val="auto"/>
                      <w:lang w:eastAsia="zh-CN"/>
                    </w:rPr>
                  </w:pPr>
                  <w:r>
                    <w:rPr>
                      <w:rFonts w:hint="default"/>
                      <w:color w:val="auto"/>
                      <w:lang w:eastAsia="zh-CN"/>
                    </w:rPr>
                    <w:t>含油抹布、劳保用品</w:t>
                  </w:r>
                </w:p>
              </w:tc>
              <w:tc>
                <w:tcPr>
                  <w:tcW w:w="905" w:type="pct"/>
                  <w:vMerge w:val="continue"/>
                  <w:tcBorders>
                    <w:bottom w:val="single" w:color="auto" w:sz="4" w:space="0"/>
                  </w:tcBorders>
                  <w:noWrap w:val="0"/>
                  <w:vAlign w:val="center"/>
                </w:tcPr>
                <w:p w14:paraId="0D961C69">
                  <w:pPr>
                    <w:pStyle w:val="3"/>
                    <w:bidi w:val="0"/>
                    <w:rPr>
                      <w:rFonts w:hint="default"/>
                      <w:color w:val="auto"/>
                    </w:rPr>
                  </w:pPr>
                </w:p>
              </w:tc>
              <w:tc>
                <w:tcPr>
                  <w:tcW w:w="732" w:type="pct"/>
                  <w:tcBorders>
                    <w:bottom w:val="single" w:color="auto" w:sz="4" w:space="0"/>
                  </w:tcBorders>
                  <w:noWrap w:val="0"/>
                  <w:vAlign w:val="center"/>
                </w:tcPr>
                <w:p w14:paraId="2A5C0D5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0.3</w:t>
                  </w:r>
                </w:p>
              </w:tc>
              <w:tc>
                <w:tcPr>
                  <w:tcW w:w="1952" w:type="pct"/>
                  <w:vMerge w:val="continue"/>
                  <w:tcBorders>
                    <w:bottom w:val="single" w:color="auto" w:sz="4" w:space="0"/>
                  </w:tcBorders>
                  <w:noWrap w:val="0"/>
                  <w:vAlign w:val="center"/>
                </w:tcPr>
                <w:p w14:paraId="17D208B3">
                  <w:pPr>
                    <w:pStyle w:val="3"/>
                    <w:bidi w:val="0"/>
                    <w:rPr>
                      <w:rFonts w:hint="default"/>
                      <w:color w:val="auto"/>
                    </w:rPr>
                  </w:pPr>
                </w:p>
              </w:tc>
            </w:tr>
            <w:tr w14:paraId="39F58AC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10" w:type="pct"/>
                  <w:noWrap w:val="0"/>
                  <w:vAlign w:val="center"/>
                </w:tcPr>
                <w:p w14:paraId="7E2F520C">
                  <w:pPr>
                    <w:pStyle w:val="3"/>
                    <w:bidi w:val="0"/>
                    <w:rPr>
                      <w:rFonts w:hint="default"/>
                      <w:color w:val="auto"/>
                    </w:rPr>
                  </w:pPr>
                  <w:r>
                    <w:rPr>
                      <w:rFonts w:hint="default"/>
                      <w:color w:val="auto"/>
                    </w:rPr>
                    <w:t>生活垃圾</w:t>
                  </w:r>
                </w:p>
              </w:tc>
              <w:tc>
                <w:tcPr>
                  <w:tcW w:w="905" w:type="pct"/>
                  <w:noWrap w:val="0"/>
                  <w:vAlign w:val="center"/>
                </w:tcPr>
                <w:p w14:paraId="3D8B02A6">
                  <w:pPr>
                    <w:pStyle w:val="3"/>
                    <w:bidi w:val="0"/>
                    <w:rPr>
                      <w:rFonts w:hint="default"/>
                      <w:color w:val="auto"/>
                    </w:rPr>
                  </w:pPr>
                  <w:r>
                    <w:rPr>
                      <w:rFonts w:hint="default"/>
                      <w:color w:val="auto"/>
                    </w:rPr>
                    <w:t>生活垃圾</w:t>
                  </w:r>
                </w:p>
              </w:tc>
              <w:tc>
                <w:tcPr>
                  <w:tcW w:w="732" w:type="pct"/>
                  <w:noWrap w:val="0"/>
                  <w:vAlign w:val="center"/>
                </w:tcPr>
                <w:p w14:paraId="4C8124B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32.7</w:t>
                  </w:r>
                </w:p>
              </w:tc>
              <w:tc>
                <w:tcPr>
                  <w:tcW w:w="1952" w:type="pct"/>
                  <w:tcBorders>
                    <w:top w:val="single" w:color="auto" w:sz="4" w:space="0"/>
                    <w:bottom w:val="single" w:color="auto" w:sz="4" w:space="0"/>
                  </w:tcBorders>
                  <w:noWrap w:val="0"/>
                  <w:vAlign w:val="center"/>
                </w:tcPr>
                <w:p w14:paraId="0F4994D4">
                  <w:pPr>
                    <w:pStyle w:val="3"/>
                    <w:bidi w:val="0"/>
                    <w:rPr>
                      <w:rFonts w:hint="default"/>
                      <w:color w:val="auto"/>
                    </w:rPr>
                  </w:pPr>
                  <w:r>
                    <w:rPr>
                      <w:rFonts w:hint="default"/>
                      <w:color w:val="auto"/>
                    </w:rPr>
                    <w:t>分类收集，交当地环卫部门处置</w:t>
                  </w:r>
                </w:p>
              </w:tc>
            </w:tr>
            <w:tr w14:paraId="3A4DE52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000" w:type="pct"/>
                  <w:gridSpan w:val="4"/>
                  <w:noWrap w:val="0"/>
                  <w:vAlign w:val="center"/>
                </w:tcPr>
                <w:p w14:paraId="386F040D">
                  <w:pPr>
                    <w:pStyle w:val="3"/>
                    <w:bidi w:val="0"/>
                    <w:jc w:val="both"/>
                    <w:rPr>
                      <w:rFonts w:hint="default"/>
                      <w:color w:val="auto"/>
                      <w:lang w:eastAsia="zh-CN"/>
                    </w:rPr>
                  </w:pPr>
                  <w:r>
                    <w:rPr>
                      <w:rFonts w:hint="default"/>
                      <w:color w:val="auto"/>
                      <w:lang w:eastAsia="zh-CN"/>
                    </w:rPr>
                    <w:t>备注：油漆主要用于地面标志涂装及设备防腐需要。</w:t>
                  </w:r>
                </w:p>
              </w:tc>
            </w:tr>
          </w:tbl>
          <w:p w14:paraId="61D909B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lang w:eastAsia="zh-CN"/>
              </w:rPr>
              <w:t>）环境风险</w:t>
            </w:r>
          </w:p>
          <w:p w14:paraId="2F9600D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1</w:t>
            </w:r>
            <w:r>
              <w:rPr>
                <w:rFonts w:hint="default" w:ascii="Times New Roman" w:hAnsi="Times New Roman" w:cs="Times New Roman"/>
                <w:color w:val="auto"/>
                <w:sz w:val="24"/>
              </w:rPr>
              <w:t>#</w:t>
            </w:r>
            <w:r>
              <w:rPr>
                <w:rFonts w:hint="eastAsia" w:eastAsia="宋体" w:cs="Times New Roman"/>
                <w:color w:val="auto"/>
                <w:sz w:val="24"/>
                <w:lang w:eastAsia="zh-CN"/>
              </w:rPr>
              <w:t>罐区</w:t>
            </w:r>
            <w:r>
              <w:rPr>
                <w:rFonts w:hint="default" w:ascii="Times New Roman" w:hAnsi="Times New Roman" w:cs="Times New Roman"/>
                <w:color w:val="auto"/>
                <w:sz w:val="24"/>
              </w:rPr>
              <w:t>位于厂区西南</w:t>
            </w:r>
            <w:r>
              <w:rPr>
                <w:rFonts w:hint="eastAsia" w:eastAsia="宋体" w:cs="Times New Roman"/>
                <w:color w:val="auto"/>
                <w:sz w:val="24"/>
                <w:lang w:eastAsia="zh-CN"/>
              </w:rPr>
              <w:t>部</w:t>
            </w:r>
            <w:r>
              <w:rPr>
                <w:rFonts w:hint="default" w:ascii="Times New Roman" w:hAnsi="Times New Roman" w:cs="Times New Roman"/>
                <w:color w:val="auto"/>
                <w:sz w:val="24"/>
              </w:rPr>
              <w:t>，</w:t>
            </w:r>
            <w:r>
              <w:rPr>
                <w:rFonts w:hint="eastAsia" w:eastAsia="宋体" w:cs="Times New Roman"/>
                <w:color w:val="auto"/>
                <w:sz w:val="24"/>
                <w:lang w:eastAsia="zh-CN"/>
              </w:rPr>
              <w:t>罐区内设有</w:t>
            </w:r>
            <w:r>
              <w:rPr>
                <w:rFonts w:hint="default" w:ascii="Times New Roman" w:hAnsi="Times New Roman" w:cs="Times New Roman"/>
                <w:color w:val="auto"/>
                <w:sz w:val="24"/>
              </w:rPr>
              <w:t>围堰</w:t>
            </w:r>
            <w:r>
              <w:rPr>
                <w:rFonts w:hint="eastAsia" w:eastAsia="宋体" w:cs="Times New Roman"/>
                <w:color w:val="auto"/>
                <w:sz w:val="24"/>
                <w:lang w:eastAsia="zh-CN"/>
              </w:rPr>
              <w:t>，</w:t>
            </w:r>
            <w:r>
              <w:rPr>
                <w:rFonts w:hint="default" w:ascii="Times New Roman" w:hAnsi="Times New Roman" w:cs="Times New Roman"/>
                <w:color w:val="auto"/>
                <w:sz w:val="24"/>
              </w:rPr>
              <w:t>容积</w:t>
            </w:r>
            <w:r>
              <w:rPr>
                <w:rFonts w:hint="eastAsia" w:eastAsia="宋体" w:cs="Times New Roman"/>
                <w:color w:val="auto"/>
                <w:sz w:val="24"/>
                <w:lang w:eastAsia="zh-CN"/>
              </w:rPr>
              <w:t>为</w:t>
            </w:r>
            <w:r>
              <w:rPr>
                <w:rFonts w:hint="eastAsia" w:eastAsia="宋体" w:cs="Times New Roman"/>
                <w:color w:val="auto"/>
                <w:sz w:val="24"/>
                <w:lang w:val="en-US" w:eastAsia="zh-CN"/>
              </w:rPr>
              <w:t>2112</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，围堰内均为立式固定</w:t>
            </w:r>
            <w:r>
              <w:rPr>
                <w:rFonts w:hint="eastAsia" w:eastAsia="宋体" w:cs="Times New Roman"/>
                <w:color w:val="auto"/>
                <w:sz w:val="24"/>
                <w:lang w:eastAsia="zh-CN"/>
              </w:rPr>
              <w:t>大豆</w:t>
            </w:r>
            <w:r>
              <w:rPr>
                <w:rFonts w:hint="default" w:ascii="Times New Roman" w:hAnsi="Times New Roman" w:cs="Times New Roman"/>
                <w:color w:val="auto"/>
                <w:sz w:val="24"/>
              </w:rPr>
              <w:t>油罐，最大储罐</w:t>
            </w:r>
            <w:r>
              <w:rPr>
                <w:rFonts w:hint="eastAsia" w:eastAsia="宋体" w:cs="Times New Roman"/>
                <w:color w:val="auto"/>
                <w:sz w:val="24"/>
                <w:lang w:eastAsia="zh-CN"/>
              </w:rPr>
              <w:t>规格为</w:t>
            </w:r>
            <w:r>
              <w:rPr>
                <w:rFonts w:hint="eastAsia" w:eastAsia="宋体" w:cs="Times New Roman"/>
                <w:color w:val="auto"/>
                <w:sz w:val="24"/>
                <w:lang w:val="en-US" w:eastAsia="zh-CN"/>
              </w:rPr>
              <w:t>3000吨/罐</w:t>
            </w:r>
            <w:r>
              <w:rPr>
                <w:rFonts w:hint="default" w:ascii="Times New Roman" w:hAnsi="Times New Roman" w:cs="Times New Roman"/>
                <w:color w:val="auto"/>
                <w:sz w:val="24"/>
              </w:rPr>
              <w:t>，围堰地面采用防腐防渗措施处理。</w:t>
            </w:r>
          </w:p>
          <w:p w14:paraId="2EC249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2</w:t>
            </w:r>
            <w:r>
              <w:rPr>
                <w:rFonts w:hint="default" w:ascii="Times New Roman" w:hAnsi="Times New Roman" w:cs="Times New Roman"/>
                <w:color w:val="auto"/>
                <w:sz w:val="24"/>
              </w:rPr>
              <w:t>#</w:t>
            </w:r>
            <w:r>
              <w:rPr>
                <w:rFonts w:hint="eastAsia" w:eastAsia="宋体" w:cs="Times New Roman"/>
                <w:color w:val="auto"/>
                <w:sz w:val="24"/>
                <w:lang w:eastAsia="zh-CN"/>
              </w:rPr>
              <w:t>罐区</w:t>
            </w:r>
            <w:r>
              <w:rPr>
                <w:rFonts w:hint="default" w:ascii="Times New Roman" w:hAnsi="Times New Roman" w:cs="Times New Roman"/>
                <w:color w:val="auto"/>
                <w:sz w:val="24"/>
              </w:rPr>
              <w:t>位于精炼车间南侧，</w:t>
            </w:r>
            <w:r>
              <w:rPr>
                <w:rFonts w:hint="eastAsia" w:eastAsia="宋体" w:cs="Times New Roman"/>
                <w:color w:val="auto"/>
                <w:sz w:val="24"/>
                <w:lang w:eastAsia="zh-CN"/>
              </w:rPr>
              <w:t>罐区内设有</w:t>
            </w:r>
            <w:r>
              <w:rPr>
                <w:rFonts w:hint="default" w:ascii="Times New Roman" w:hAnsi="Times New Roman" w:cs="Times New Roman"/>
                <w:color w:val="auto"/>
                <w:sz w:val="24"/>
              </w:rPr>
              <w:t>围堰容积</w:t>
            </w:r>
            <w:r>
              <w:rPr>
                <w:rFonts w:hint="eastAsia" w:eastAsia="宋体" w:cs="Times New Roman"/>
                <w:color w:val="auto"/>
                <w:sz w:val="24"/>
                <w:lang w:val="en-US" w:eastAsia="zh-CN"/>
              </w:rPr>
              <w:t>4728</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，围堰内8个成品</w:t>
            </w:r>
            <w:r>
              <w:rPr>
                <w:rFonts w:hint="eastAsia" w:eastAsia="宋体" w:cs="Times New Roman"/>
                <w:color w:val="auto"/>
                <w:sz w:val="24"/>
                <w:lang w:eastAsia="zh-CN"/>
              </w:rPr>
              <w:t>大豆</w:t>
            </w:r>
            <w:r>
              <w:rPr>
                <w:rFonts w:hint="default" w:ascii="Times New Roman" w:hAnsi="Times New Roman" w:cs="Times New Roman"/>
                <w:color w:val="auto"/>
                <w:sz w:val="24"/>
              </w:rPr>
              <w:t>油罐和1个</w:t>
            </w:r>
            <w:r>
              <w:rPr>
                <w:rFonts w:hint="eastAsia" w:ascii="Times New Roman" w:hAnsi="Times New Roman" w:eastAsia="宋体" w:cs="Times New Roman"/>
                <w:color w:val="auto"/>
                <w:sz w:val="24"/>
                <w:lang w:eastAsia="zh-CN"/>
              </w:rPr>
              <w:t>应急处置罐</w:t>
            </w:r>
            <w:r>
              <w:rPr>
                <w:rFonts w:hint="default" w:ascii="Times New Roman" w:hAnsi="Times New Roman" w:cs="Times New Roman"/>
                <w:color w:val="auto"/>
                <w:sz w:val="24"/>
              </w:rPr>
              <w:t>，均为立式固定油罐，最大储罐</w:t>
            </w:r>
            <w:r>
              <w:rPr>
                <w:rFonts w:hint="eastAsia" w:eastAsia="宋体" w:cs="Times New Roman"/>
                <w:color w:val="auto"/>
                <w:sz w:val="24"/>
                <w:lang w:eastAsia="zh-CN"/>
              </w:rPr>
              <w:t>规格为</w:t>
            </w:r>
            <w:r>
              <w:rPr>
                <w:rFonts w:hint="eastAsia" w:eastAsia="宋体" w:cs="Times New Roman"/>
                <w:color w:val="auto"/>
                <w:sz w:val="24"/>
                <w:lang w:val="en-US" w:eastAsia="zh-CN"/>
              </w:rPr>
              <w:t>220吨/罐</w:t>
            </w:r>
            <w:r>
              <w:rPr>
                <w:rFonts w:hint="default" w:ascii="Times New Roman" w:hAnsi="Times New Roman" w:cs="Times New Roman"/>
                <w:color w:val="auto"/>
                <w:sz w:val="24"/>
              </w:rPr>
              <w:t>，围堰地面采用防腐防渗措施处理。</w:t>
            </w:r>
          </w:p>
          <w:p w14:paraId="4E27984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3</w:t>
            </w:r>
            <w:r>
              <w:rPr>
                <w:rFonts w:hint="default" w:ascii="Times New Roman" w:hAnsi="Times New Roman" w:cs="Times New Roman"/>
                <w:color w:val="auto"/>
                <w:sz w:val="24"/>
              </w:rPr>
              <w:t>#</w:t>
            </w:r>
            <w:r>
              <w:rPr>
                <w:rFonts w:hint="eastAsia" w:eastAsia="宋体" w:cs="Times New Roman"/>
                <w:color w:val="auto"/>
                <w:sz w:val="24"/>
                <w:lang w:eastAsia="zh-CN"/>
              </w:rPr>
              <w:t>罐区</w:t>
            </w:r>
            <w:r>
              <w:rPr>
                <w:rFonts w:hint="default" w:ascii="Times New Roman" w:hAnsi="Times New Roman" w:cs="Times New Roman"/>
                <w:color w:val="auto"/>
                <w:sz w:val="24"/>
              </w:rPr>
              <w:t>位于</w:t>
            </w:r>
            <w:r>
              <w:rPr>
                <w:rFonts w:hint="eastAsia" w:eastAsia="宋体" w:cs="Times New Roman"/>
                <w:color w:val="auto"/>
                <w:sz w:val="24"/>
                <w:lang w:eastAsia="zh-CN"/>
              </w:rPr>
              <w:t>厂区西部</w:t>
            </w:r>
            <w:r>
              <w:rPr>
                <w:rFonts w:hint="default" w:ascii="Times New Roman" w:hAnsi="Times New Roman" w:cs="Times New Roman"/>
                <w:color w:val="auto"/>
                <w:sz w:val="24"/>
              </w:rPr>
              <w:t>，</w:t>
            </w:r>
            <w:r>
              <w:rPr>
                <w:rFonts w:hint="eastAsia" w:eastAsia="宋体" w:cs="Times New Roman"/>
                <w:color w:val="auto"/>
                <w:sz w:val="24"/>
                <w:lang w:eastAsia="zh-CN"/>
              </w:rPr>
              <w:t>罐区内设有</w:t>
            </w:r>
            <w:r>
              <w:rPr>
                <w:rFonts w:hint="default" w:ascii="Times New Roman" w:hAnsi="Times New Roman" w:cs="Times New Roman"/>
                <w:color w:val="auto"/>
                <w:sz w:val="24"/>
              </w:rPr>
              <w:t>围堰容积</w:t>
            </w:r>
            <w:r>
              <w:rPr>
                <w:rFonts w:hint="eastAsia" w:eastAsia="宋体" w:cs="Times New Roman"/>
                <w:color w:val="auto"/>
                <w:sz w:val="24"/>
                <w:lang w:eastAsia="zh-CN"/>
              </w:rPr>
              <w:t>为</w:t>
            </w:r>
            <w:r>
              <w:rPr>
                <w:rFonts w:hint="eastAsia" w:eastAsia="宋体" w:cs="Times New Roman"/>
                <w:color w:val="auto"/>
                <w:sz w:val="24"/>
                <w:lang w:val="en-US" w:eastAsia="zh-CN"/>
              </w:rPr>
              <w:t>3335</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，围堰内</w:t>
            </w:r>
            <w:r>
              <w:rPr>
                <w:rFonts w:hint="eastAsia" w:eastAsia="宋体" w:cs="Times New Roman"/>
                <w:color w:val="auto"/>
                <w:sz w:val="24"/>
                <w:lang w:val="en-US" w:eastAsia="zh-CN"/>
              </w:rPr>
              <w:t>8</w:t>
            </w:r>
            <w:r>
              <w:rPr>
                <w:rFonts w:hint="default" w:ascii="Times New Roman" w:hAnsi="Times New Roman" w:cs="Times New Roman"/>
                <w:color w:val="auto"/>
                <w:sz w:val="24"/>
              </w:rPr>
              <w:t>个</w:t>
            </w:r>
            <w:r>
              <w:rPr>
                <w:rFonts w:hint="eastAsia" w:eastAsia="宋体" w:cs="Times New Roman"/>
                <w:color w:val="auto"/>
                <w:sz w:val="24"/>
                <w:lang w:eastAsia="zh-CN"/>
              </w:rPr>
              <w:t>大豆油储罐</w:t>
            </w:r>
            <w:r>
              <w:rPr>
                <w:rFonts w:hint="default" w:ascii="Times New Roman" w:hAnsi="Times New Roman" w:cs="Times New Roman"/>
                <w:color w:val="auto"/>
                <w:sz w:val="24"/>
              </w:rPr>
              <w:t>，均为立式固定油罐，最大储罐</w:t>
            </w:r>
            <w:r>
              <w:rPr>
                <w:rFonts w:hint="eastAsia" w:eastAsia="宋体" w:cs="Times New Roman"/>
                <w:color w:val="auto"/>
                <w:sz w:val="24"/>
                <w:lang w:eastAsia="zh-CN"/>
              </w:rPr>
              <w:t>规格为</w:t>
            </w:r>
            <w:r>
              <w:rPr>
                <w:rFonts w:hint="eastAsia" w:eastAsia="宋体" w:cs="Times New Roman"/>
                <w:color w:val="auto"/>
                <w:sz w:val="24"/>
                <w:lang w:val="en-US" w:eastAsia="zh-CN"/>
              </w:rPr>
              <w:t>3000吨/罐</w:t>
            </w:r>
            <w:r>
              <w:rPr>
                <w:rFonts w:hint="default" w:ascii="Times New Roman" w:hAnsi="Times New Roman" w:cs="Times New Roman"/>
                <w:color w:val="auto"/>
                <w:sz w:val="24"/>
              </w:rPr>
              <w:t>，围堰地面采用防腐防渗措施处理。</w:t>
            </w:r>
          </w:p>
          <w:p w14:paraId="464C0CD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rPr>
            </w:pPr>
            <w:r>
              <w:rPr>
                <w:rFonts w:hint="eastAsia" w:ascii="Times New Roman" w:hAnsi="Times New Roman" w:eastAsia="宋体" w:cs="Times New Roman"/>
                <w:color w:val="auto"/>
                <w:sz w:val="24"/>
                <w:lang w:val="en-US" w:eastAsia="zh-CN"/>
              </w:rPr>
              <w:t>4</w:t>
            </w:r>
            <w:r>
              <w:rPr>
                <w:rFonts w:hint="default" w:ascii="Times New Roman" w:hAnsi="Times New Roman" w:cs="Times New Roman"/>
                <w:color w:val="auto"/>
                <w:sz w:val="24"/>
              </w:rPr>
              <w:t>#</w:t>
            </w:r>
            <w:r>
              <w:rPr>
                <w:rFonts w:hint="eastAsia" w:eastAsia="宋体" w:cs="Times New Roman"/>
                <w:color w:val="auto"/>
                <w:sz w:val="24"/>
                <w:lang w:eastAsia="zh-CN"/>
              </w:rPr>
              <w:t>罐区</w:t>
            </w:r>
            <w:r>
              <w:rPr>
                <w:rFonts w:hint="default" w:ascii="Times New Roman" w:hAnsi="Times New Roman" w:cs="Times New Roman"/>
                <w:color w:val="auto"/>
                <w:sz w:val="24"/>
              </w:rPr>
              <w:t>位于</w:t>
            </w:r>
            <w:r>
              <w:rPr>
                <w:rFonts w:hint="eastAsia" w:eastAsia="宋体" w:cs="Times New Roman"/>
                <w:color w:val="auto"/>
                <w:sz w:val="24"/>
                <w:lang w:eastAsia="zh-CN"/>
              </w:rPr>
              <w:t>厂区东南部</w:t>
            </w:r>
            <w:r>
              <w:rPr>
                <w:rFonts w:hint="default" w:ascii="Times New Roman" w:hAnsi="Times New Roman" w:cs="Times New Roman"/>
                <w:color w:val="auto"/>
                <w:sz w:val="24"/>
              </w:rPr>
              <w:t>，</w:t>
            </w:r>
            <w:r>
              <w:rPr>
                <w:rFonts w:hint="eastAsia" w:eastAsia="宋体" w:cs="Times New Roman"/>
                <w:color w:val="auto"/>
                <w:sz w:val="24"/>
                <w:lang w:eastAsia="zh-CN"/>
              </w:rPr>
              <w:t>罐区内设有</w:t>
            </w:r>
            <w:r>
              <w:rPr>
                <w:rFonts w:hint="default" w:ascii="Times New Roman" w:hAnsi="Times New Roman" w:cs="Times New Roman"/>
                <w:color w:val="auto"/>
                <w:sz w:val="24"/>
              </w:rPr>
              <w:t>围堰容积</w:t>
            </w:r>
            <w:r>
              <w:rPr>
                <w:rFonts w:hint="eastAsia" w:eastAsia="宋体" w:cs="Times New Roman"/>
                <w:color w:val="auto"/>
                <w:sz w:val="24"/>
                <w:lang w:eastAsia="zh-CN"/>
              </w:rPr>
              <w:t>为</w:t>
            </w:r>
            <w:r>
              <w:rPr>
                <w:rFonts w:hint="eastAsia" w:eastAsia="宋体" w:cs="Times New Roman"/>
                <w:color w:val="auto"/>
                <w:sz w:val="24"/>
                <w:lang w:val="en-US" w:eastAsia="zh-CN"/>
              </w:rPr>
              <w:t>5084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，围堰内</w:t>
            </w:r>
            <w:r>
              <w:rPr>
                <w:rFonts w:hint="eastAsia" w:eastAsia="宋体" w:cs="Times New Roman"/>
                <w:color w:val="auto"/>
                <w:sz w:val="24"/>
                <w:lang w:val="en-US" w:eastAsia="zh-CN"/>
              </w:rPr>
              <w:t>9</w:t>
            </w:r>
            <w:r>
              <w:rPr>
                <w:rFonts w:hint="default" w:ascii="Times New Roman" w:hAnsi="Times New Roman" w:cs="Times New Roman"/>
                <w:color w:val="auto"/>
                <w:sz w:val="24"/>
              </w:rPr>
              <w:t>个</w:t>
            </w:r>
            <w:r>
              <w:rPr>
                <w:rFonts w:hint="eastAsia" w:eastAsia="宋体" w:cs="Times New Roman"/>
                <w:color w:val="auto"/>
                <w:sz w:val="24"/>
                <w:lang w:eastAsia="zh-CN"/>
              </w:rPr>
              <w:t>大豆油储罐</w:t>
            </w:r>
            <w:r>
              <w:rPr>
                <w:rFonts w:hint="default" w:ascii="Times New Roman" w:hAnsi="Times New Roman" w:cs="Times New Roman"/>
                <w:color w:val="auto"/>
                <w:sz w:val="24"/>
              </w:rPr>
              <w:t>，均为立式固定油罐，最大储罐</w:t>
            </w:r>
            <w:r>
              <w:rPr>
                <w:rFonts w:hint="eastAsia" w:eastAsia="宋体" w:cs="Times New Roman"/>
                <w:color w:val="auto"/>
                <w:sz w:val="24"/>
                <w:lang w:eastAsia="zh-CN"/>
              </w:rPr>
              <w:t>规格为</w:t>
            </w:r>
            <w:r>
              <w:rPr>
                <w:rFonts w:hint="eastAsia" w:eastAsia="宋体" w:cs="Times New Roman"/>
                <w:color w:val="auto"/>
                <w:sz w:val="24"/>
                <w:lang w:val="en-US" w:eastAsia="zh-CN"/>
              </w:rPr>
              <w:t>3000吨/罐</w:t>
            </w:r>
            <w:r>
              <w:rPr>
                <w:rFonts w:hint="default" w:ascii="Times New Roman" w:hAnsi="Times New Roman" w:cs="Times New Roman"/>
                <w:color w:val="auto"/>
                <w:sz w:val="24"/>
              </w:rPr>
              <w:t>，围堰地面采用防腐防渗措施处理。</w:t>
            </w:r>
          </w:p>
          <w:p w14:paraId="4E7D877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Times New Roman" w:hAnsi="Times New Roman" w:cs="Times New Roman"/>
                <w:color w:val="auto"/>
                <w:sz w:val="24"/>
                <w:highlight w:val="none"/>
              </w:rPr>
            </w:pPr>
            <w:r>
              <w:rPr>
                <w:rFonts w:hint="eastAsia" w:eastAsia="宋体" w:cs="Times New Roman"/>
                <w:color w:val="auto"/>
                <w:sz w:val="24"/>
                <w:highlight w:val="none"/>
                <w:lang w:val="en-US" w:eastAsia="zh-CN"/>
              </w:rPr>
              <w:t>5</w:t>
            </w:r>
            <w:r>
              <w:rPr>
                <w:rFonts w:hint="default" w:ascii="Times New Roman" w:hAnsi="Times New Roman" w:cs="Times New Roman"/>
                <w:color w:val="auto"/>
                <w:sz w:val="24"/>
                <w:highlight w:val="none"/>
              </w:rPr>
              <w:t>#</w:t>
            </w:r>
            <w:r>
              <w:rPr>
                <w:rFonts w:hint="eastAsia" w:eastAsia="宋体" w:cs="Times New Roman"/>
                <w:color w:val="auto"/>
                <w:sz w:val="24"/>
                <w:highlight w:val="none"/>
                <w:lang w:eastAsia="zh-CN"/>
              </w:rPr>
              <w:t>罐区</w:t>
            </w:r>
            <w:r>
              <w:rPr>
                <w:rFonts w:hint="default" w:ascii="Times New Roman" w:hAnsi="Times New Roman" w:cs="Times New Roman"/>
                <w:color w:val="auto"/>
                <w:sz w:val="24"/>
                <w:highlight w:val="none"/>
              </w:rPr>
              <w:t>位于精炼车间西侧，</w:t>
            </w:r>
            <w:r>
              <w:rPr>
                <w:rFonts w:hint="eastAsia" w:eastAsia="宋体" w:cs="Times New Roman"/>
                <w:color w:val="auto"/>
                <w:sz w:val="24"/>
                <w:highlight w:val="none"/>
                <w:lang w:eastAsia="zh-CN"/>
              </w:rPr>
              <w:t>罐区内设有围堰，</w:t>
            </w:r>
            <w:r>
              <w:rPr>
                <w:rFonts w:hint="default" w:ascii="Times New Roman" w:hAnsi="Times New Roman" w:cs="Times New Roman"/>
                <w:color w:val="auto"/>
                <w:sz w:val="24"/>
                <w:highlight w:val="none"/>
              </w:rPr>
              <w:t>围堰内</w:t>
            </w:r>
            <w:r>
              <w:rPr>
                <w:rFonts w:hint="eastAsia" w:eastAsia="宋体" w:cs="Times New Roman"/>
                <w:color w:val="auto"/>
                <w:sz w:val="24"/>
                <w:highlight w:val="none"/>
                <w:lang w:eastAsia="zh-CN"/>
              </w:rPr>
              <w:t>分隔有</w:t>
            </w:r>
            <w:r>
              <w:rPr>
                <w:rFonts w:hint="default" w:ascii="Times New Roman" w:hAnsi="Times New Roman" w:cs="Times New Roman"/>
                <w:color w:val="auto"/>
                <w:sz w:val="24"/>
                <w:highlight w:val="none"/>
              </w:rPr>
              <w:t>脂肪酸罐围堰容积</w:t>
            </w:r>
            <w:r>
              <w:rPr>
                <w:rFonts w:hint="eastAsia" w:eastAsia="宋体" w:cs="Times New Roman"/>
                <w:color w:val="auto"/>
                <w:sz w:val="24"/>
                <w:highlight w:val="none"/>
                <w:lang w:eastAsia="zh-CN"/>
              </w:rPr>
              <w:t>为</w:t>
            </w:r>
            <w:r>
              <w:rPr>
                <w:rFonts w:hint="default" w:ascii="Times New Roman" w:hAnsi="Times New Roman" w:cs="Times New Roman"/>
                <w:color w:val="auto"/>
                <w:sz w:val="24"/>
                <w:highlight w:val="none"/>
              </w:rPr>
              <w:t>100m</w:t>
            </w:r>
            <w:r>
              <w:rPr>
                <w:rFonts w:hint="default" w:ascii="Times New Roman" w:hAnsi="Times New Roman" w:cs="Times New Roman"/>
                <w:color w:val="auto"/>
                <w:sz w:val="24"/>
                <w:highlight w:val="none"/>
                <w:vertAlign w:val="superscript"/>
              </w:rPr>
              <w:t>3</w:t>
            </w:r>
            <w:r>
              <w:rPr>
                <w:rFonts w:hint="eastAsia" w:eastAsia="宋体" w:cs="Times New Roman"/>
                <w:color w:val="auto"/>
                <w:sz w:val="24"/>
                <w:highlight w:val="none"/>
                <w:lang w:eastAsia="zh-CN"/>
              </w:rPr>
              <w:t>；</w:t>
            </w:r>
            <w:r>
              <w:rPr>
                <w:rFonts w:hint="default" w:ascii="Times New Roman" w:hAnsi="Times New Roman" w:cs="Times New Roman"/>
                <w:color w:val="auto"/>
                <w:sz w:val="24"/>
                <w:highlight w:val="none"/>
              </w:rPr>
              <w:t>液碱罐围堰容积</w:t>
            </w:r>
            <w:r>
              <w:rPr>
                <w:rFonts w:hint="eastAsia" w:eastAsia="宋体" w:cs="Times New Roman"/>
                <w:color w:val="auto"/>
                <w:sz w:val="24"/>
                <w:highlight w:val="none"/>
                <w:lang w:eastAsia="zh-CN"/>
              </w:rPr>
              <w:t>为</w:t>
            </w:r>
            <w:r>
              <w:rPr>
                <w:rFonts w:hint="default" w:ascii="Times New Roman" w:hAnsi="Times New Roman" w:cs="Times New Roman"/>
                <w:color w:val="auto"/>
                <w:sz w:val="24"/>
                <w:highlight w:val="none"/>
              </w:rPr>
              <w:t>1</w:t>
            </w:r>
            <w:r>
              <w:rPr>
                <w:rFonts w:hint="eastAsia" w:eastAsia="宋体" w:cs="Times New Roman"/>
                <w:color w:val="auto"/>
                <w:sz w:val="24"/>
                <w:highlight w:val="none"/>
                <w:lang w:val="en-US" w:eastAsia="zh-CN"/>
              </w:rPr>
              <w:t>50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eastAsia" w:eastAsia="宋体" w:cs="Times New Roman"/>
                <w:color w:val="auto"/>
                <w:sz w:val="24"/>
                <w:highlight w:val="none"/>
                <w:lang w:eastAsia="zh-CN"/>
              </w:rPr>
              <w:t>；</w:t>
            </w:r>
            <w:r>
              <w:rPr>
                <w:rFonts w:hint="default" w:ascii="Times New Roman" w:hAnsi="Times New Roman" w:cs="Times New Roman"/>
                <w:color w:val="auto"/>
                <w:sz w:val="24"/>
                <w:highlight w:val="none"/>
              </w:rPr>
              <w:t>柴油罐围堰容积</w:t>
            </w:r>
            <w:r>
              <w:rPr>
                <w:rFonts w:hint="eastAsia" w:eastAsia="宋体" w:cs="Times New Roman"/>
                <w:color w:val="auto"/>
                <w:sz w:val="24"/>
                <w:highlight w:val="none"/>
                <w:lang w:eastAsia="zh-CN"/>
              </w:rPr>
              <w:t>为</w:t>
            </w:r>
            <w:r>
              <w:rPr>
                <w:rFonts w:hint="default" w:ascii="Times New Roman" w:hAnsi="Times New Roman" w:cs="Times New Roman"/>
                <w:color w:val="auto"/>
                <w:sz w:val="24"/>
                <w:highlight w:val="none"/>
              </w:rPr>
              <w:t>50m</w:t>
            </w:r>
            <w:r>
              <w:rPr>
                <w:rFonts w:hint="default" w:ascii="Times New Roman" w:hAnsi="Times New Roman" w:cs="Times New Roman"/>
                <w:color w:val="auto"/>
                <w:sz w:val="24"/>
                <w:highlight w:val="none"/>
                <w:vertAlign w:val="superscript"/>
              </w:rPr>
              <w:t>3</w:t>
            </w:r>
            <w:r>
              <w:rPr>
                <w:rFonts w:hint="eastAsia" w:eastAsia="宋体" w:cs="Times New Roman"/>
                <w:color w:val="auto"/>
                <w:sz w:val="24"/>
                <w:highlight w:val="none"/>
                <w:lang w:eastAsia="zh-CN"/>
              </w:rPr>
              <w:t>；</w:t>
            </w:r>
            <w:r>
              <w:rPr>
                <w:rFonts w:hint="default" w:ascii="Times New Roman" w:hAnsi="Times New Roman" w:cs="Times New Roman"/>
                <w:color w:val="auto"/>
                <w:sz w:val="24"/>
                <w:highlight w:val="none"/>
              </w:rPr>
              <w:t>磷酸罐围堰容积</w:t>
            </w:r>
            <w:r>
              <w:rPr>
                <w:rFonts w:hint="eastAsia" w:eastAsia="宋体" w:cs="Times New Roman"/>
                <w:color w:val="auto"/>
                <w:sz w:val="24"/>
                <w:highlight w:val="none"/>
                <w:lang w:eastAsia="zh-CN"/>
              </w:rPr>
              <w:t>为</w:t>
            </w:r>
            <w:r>
              <w:rPr>
                <w:rFonts w:hint="default" w:ascii="Times New Roman" w:hAnsi="Times New Roman" w:cs="Times New Roman"/>
                <w:color w:val="auto"/>
                <w:sz w:val="24"/>
                <w:highlight w:val="none"/>
              </w:rPr>
              <w:t>30m</w:t>
            </w:r>
            <w:r>
              <w:rPr>
                <w:rFonts w:hint="default" w:ascii="Times New Roman" w:hAnsi="Times New Roman" w:cs="Times New Roman"/>
                <w:color w:val="auto"/>
                <w:sz w:val="24"/>
                <w:highlight w:val="none"/>
                <w:vertAlign w:val="superscript"/>
              </w:rPr>
              <w:t>3</w:t>
            </w:r>
            <w:r>
              <w:rPr>
                <w:rFonts w:hint="eastAsia" w:eastAsia="宋体" w:cs="Times New Roman"/>
                <w:color w:val="auto"/>
                <w:sz w:val="24"/>
                <w:highlight w:val="none"/>
                <w:lang w:eastAsia="zh-CN"/>
              </w:rPr>
              <w:t>；皂脚罐围堰</w:t>
            </w:r>
            <w:r>
              <w:rPr>
                <w:rFonts w:hint="default" w:ascii="Times New Roman" w:hAnsi="Times New Roman" w:cs="Times New Roman"/>
                <w:color w:val="auto"/>
                <w:sz w:val="24"/>
                <w:highlight w:val="none"/>
              </w:rPr>
              <w:t>容积</w:t>
            </w:r>
            <w:r>
              <w:rPr>
                <w:rFonts w:hint="eastAsia" w:eastAsia="宋体" w:cs="Times New Roman"/>
                <w:color w:val="auto"/>
                <w:sz w:val="24"/>
                <w:highlight w:val="none"/>
                <w:lang w:eastAsia="zh-CN"/>
              </w:rPr>
              <w:t>为</w:t>
            </w:r>
            <w:r>
              <w:rPr>
                <w:rFonts w:hint="eastAsia" w:eastAsia="宋体" w:cs="Times New Roman"/>
                <w:color w:val="auto"/>
                <w:sz w:val="24"/>
                <w:highlight w:val="none"/>
                <w:lang w:val="en-US" w:eastAsia="zh-CN"/>
              </w:rPr>
              <w:t>20</w:t>
            </w:r>
            <w:r>
              <w:rPr>
                <w:rFonts w:hint="default" w:ascii="Times New Roman" w:hAnsi="Times New Roman" w:cs="Times New Roman"/>
                <w:color w:val="auto"/>
                <w:sz w:val="24"/>
                <w:highlight w:val="none"/>
              </w:rPr>
              <w:t>0m</w:t>
            </w:r>
            <w:r>
              <w:rPr>
                <w:rFonts w:hint="default" w:ascii="Times New Roman" w:hAnsi="Times New Roman" w:cs="Times New Roman"/>
                <w:color w:val="auto"/>
                <w:sz w:val="24"/>
                <w:highlight w:val="none"/>
                <w:vertAlign w:val="superscript"/>
              </w:rPr>
              <w:t>3</w:t>
            </w:r>
            <w:r>
              <w:rPr>
                <w:rFonts w:hint="eastAsia" w:eastAsia="宋体" w:cs="Times New Roman"/>
                <w:color w:val="auto"/>
                <w:sz w:val="24"/>
                <w:highlight w:val="none"/>
                <w:lang w:eastAsia="zh-CN"/>
              </w:rPr>
              <w:t>；毛油罐围堰容积为</w:t>
            </w:r>
            <w:r>
              <w:rPr>
                <w:rFonts w:hint="eastAsia" w:eastAsia="宋体" w:cs="Times New Roman"/>
                <w:color w:val="auto"/>
                <w:sz w:val="24"/>
                <w:highlight w:val="none"/>
                <w:lang w:val="en-US" w:eastAsia="zh-CN"/>
              </w:rPr>
              <w:t>20</w:t>
            </w:r>
            <w:r>
              <w:rPr>
                <w:rFonts w:hint="default" w:ascii="Times New Roman" w:hAnsi="Times New Roman" w:cs="Times New Roman"/>
                <w:color w:val="auto"/>
                <w:sz w:val="24"/>
                <w:highlight w:val="none"/>
              </w:rPr>
              <w:t>0m</w:t>
            </w:r>
            <w:r>
              <w:rPr>
                <w:rFonts w:hint="default" w:ascii="Times New Roman" w:hAnsi="Times New Roman" w:cs="Times New Roman"/>
                <w:color w:val="auto"/>
                <w:sz w:val="24"/>
                <w:highlight w:val="none"/>
                <w:vertAlign w:val="superscript"/>
              </w:rPr>
              <w:t>3</w:t>
            </w:r>
            <w:r>
              <w:rPr>
                <w:rFonts w:hint="eastAsia" w:eastAsia="宋体" w:cs="Times New Roman"/>
                <w:color w:val="auto"/>
                <w:sz w:val="24"/>
                <w:highlight w:val="none"/>
                <w:lang w:eastAsia="zh-CN"/>
              </w:rPr>
              <w:t>，</w:t>
            </w:r>
            <w:r>
              <w:rPr>
                <w:rFonts w:hint="default" w:ascii="Times New Roman" w:hAnsi="Times New Roman" w:cs="Times New Roman"/>
                <w:color w:val="auto"/>
                <w:sz w:val="24"/>
                <w:highlight w:val="none"/>
              </w:rPr>
              <w:t>围堰地面采用防腐防渗措施处理。</w:t>
            </w:r>
          </w:p>
          <w:p w14:paraId="63C770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Times New Roman" w:hAnsi="Times New Roman" w:cs="Times New Roman"/>
                <w:color w:val="auto"/>
                <w:sz w:val="24"/>
              </w:rPr>
            </w:pPr>
            <w:r>
              <w:rPr>
                <w:rFonts w:hint="eastAsia" w:eastAsia="宋体" w:cs="Times New Roman"/>
                <w:color w:val="auto"/>
                <w:sz w:val="24"/>
                <w:lang w:val="en-US" w:eastAsia="zh-CN"/>
              </w:rPr>
              <w:t>6#罐区为大豆油中转罐，</w:t>
            </w:r>
            <w:r>
              <w:rPr>
                <w:rFonts w:hint="eastAsia" w:ascii="Times New Roman" w:hAnsi="Times New Roman" w:cs="Times New Roman"/>
                <w:color w:val="auto"/>
                <w:sz w:val="24"/>
                <w:lang w:eastAsia="zh-CN"/>
              </w:rPr>
              <w:t>位于</w:t>
            </w:r>
            <w:r>
              <w:rPr>
                <w:rFonts w:hint="eastAsia" w:cs="Times New Roman"/>
                <w:color w:val="auto"/>
                <w:sz w:val="24"/>
                <w:lang w:eastAsia="zh-CN"/>
              </w:rPr>
              <w:t>包装车间北侧，</w:t>
            </w:r>
            <w:r>
              <w:rPr>
                <w:rFonts w:hint="eastAsia" w:eastAsia="宋体" w:cs="Times New Roman"/>
                <w:color w:val="auto"/>
                <w:sz w:val="24"/>
                <w:lang w:eastAsia="zh-CN"/>
              </w:rPr>
              <w:t>罐区内设有</w:t>
            </w:r>
            <w:r>
              <w:rPr>
                <w:rFonts w:hint="default" w:ascii="Times New Roman" w:hAnsi="Times New Roman" w:cs="Times New Roman"/>
                <w:color w:val="auto"/>
                <w:sz w:val="24"/>
              </w:rPr>
              <w:t>围堰</w:t>
            </w:r>
            <w:r>
              <w:rPr>
                <w:rFonts w:hint="eastAsia" w:eastAsia="宋体" w:cs="Times New Roman"/>
                <w:color w:val="auto"/>
                <w:sz w:val="24"/>
                <w:lang w:eastAsia="zh-CN"/>
              </w:rPr>
              <w:t>，</w:t>
            </w:r>
            <w:r>
              <w:rPr>
                <w:rFonts w:hint="default" w:ascii="Times New Roman" w:hAnsi="Times New Roman" w:cs="Times New Roman"/>
                <w:color w:val="auto"/>
                <w:sz w:val="24"/>
              </w:rPr>
              <w:t>容积</w:t>
            </w:r>
            <w:r>
              <w:rPr>
                <w:rFonts w:hint="eastAsia" w:eastAsia="宋体" w:cs="Times New Roman"/>
                <w:color w:val="auto"/>
                <w:sz w:val="24"/>
                <w:lang w:eastAsia="zh-CN"/>
              </w:rPr>
              <w:t>为</w:t>
            </w:r>
            <w:r>
              <w:rPr>
                <w:rFonts w:hint="eastAsia" w:eastAsia="宋体" w:cs="Times New Roman"/>
                <w:color w:val="auto"/>
                <w:sz w:val="24"/>
                <w:lang w:val="en-US" w:eastAsia="zh-CN"/>
              </w:rPr>
              <w:t>21</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，围堰内</w:t>
            </w:r>
            <w:r>
              <w:rPr>
                <w:rFonts w:hint="eastAsia" w:eastAsia="宋体" w:cs="Times New Roman"/>
                <w:color w:val="auto"/>
                <w:sz w:val="24"/>
                <w:lang w:val="en-US" w:eastAsia="zh-CN"/>
              </w:rPr>
              <w:t>2</w:t>
            </w:r>
            <w:r>
              <w:rPr>
                <w:rFonts w:hint="default" w:ascii="Times New Roman" w:hAnsi="Times New Roman" w:cs="Times New Roman"/>
                <w:color w:val="auto"/>
                <w:sz w:val="24"/>
              </w:rPr>
              <w:t>个</w:t>
            </w:r>
            <w:r>
              <w:rPr>
                <w:rFonts w:hint="eastAsia" w:eastAsia="宋体" w:cs="Times New Roman"/>
                <w:color w:val="auto"/>
                <w:sz w:val="24"/>
                <w:lang w:eastAsia="zh-CN"/>
              </w:rPr>
              <w:t>大豆油中转罐</w:t>
            </w:r>
            <w:r>
              <w:rPr>
                <w:rFonts w:hint="default" w:ascii="Times New Roman" w:hAnsi="Times New Roman" w:cs="Times New Roman"/>
                <w:color w:val="auto"/>
                <w:sz w:val="24"/>
              </w:rPr>
              <w:t>，均为立式固定油罐，最大储罐</w:t>
            </w:r>
            <w:r>
              <w:rPr>
                <w:rFonts w:hint="eastAsia" w:eastAsia="宋体" w:cs="Times New Roman"/>
                <w:color w:val="auto"/>
                <w:sz w:val="24"/>
                <w:lang w:eastAsia="zh-CN"/>
              </w:rPr>
              <w:t>规格为</w:t>
            </w:r>
            <w:r>
              <w:rPr>
                <w:rFonts w:hint="eastAsia" w:eastAsia="宋体" w:cs="Times New Roman"/>
                <w:color w:val="auto"/>
                <w:sz w:val="24"/>
                <w:lang w:val="en-US" w:eastAsia="zh-CN"/>
              </w:rPr>
              <w:t>5吨/罐</w:t>
            </w:r>
            <w:r>
              <w:rPr>
                <w:rFonts w:hint="default" w:ascii="Times New Roman" w:hAnsi="Times New Roman" w:cs="Times New Roman"/>
                <w:color w:val="auto"/>
                <w:sz w:val="24"/>
              </w:rPr>
              <w:t>，围堰地面采用防腐防渗措施处理。</w:t>
            </w:r>
          </w:p>
          <w:p w14:paraId="52D54974">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Times New Roman" w:hAnsi="Times New Roman" w:cs="Times New Roman"/>
                <w:color w:val="auto"/>
                <w:sz w:val="24"/>
              </w:rPr>
            </w:pPr>
            <w:r>
              <w:rPr>
                <w:rFonts w:hint="eastAsia" w:eastAsia="宋体" w:cs="Times New Roman"/>
                <w:color w:val="auto"/>
                <w:sz w:val="24"/>
                <w:lang w:val="en-US" w:eastAsia="zh-CN"/>
              </w:rPr>
              <w:t>7#罐区为大豆油中转罐，</w:t>
            </w:r>
            <w:r>
              <w:rPr>
                <w:rFonts w:hint="eastAsia" w:ascii="Times New Roman" w:hAnsi="Times New Roman" w:cs="Times New Roman"/>
                <w:color w:val="auto"/>
                <w:sz w:val="24"/>
                <w:lang w:eastAsia="zh-CN"/>
              </w:rPr>
              <w:t>位于</w:t>
            </w:r>
            <w:r>
              <w:rPr>
                <w:rFonts w:hint="eastAsia" w:cs="Times New Roman"/>
                <w:color w:val="auto"/>
                <w:sz w:val="24"/>
                <w:lang w:eastAsia="zh-CN"/>
              </w:rPr>
              <w:t>综合楼北侧，</w:t>
            </w:r>
            <w:r>
              <w:rPr>
                <w:rFonts w:hint="eastAsia" w:eastAsia="宋体" w:cs="Times New Roman"/>
                <w:color w:val="auto"/>
                <w:sz w:val="24"/>
                <w:lang w:eastAsia="zh-CN"/>
              </w:rPr>
              <w:t>罐区内设有</w:t>
            </w:r>
            <w:r>
              <w:rPr>
                <w:rFonts w:hint="default" w:ascii="Times New Roman" w:hAnsi="Times New Roman" w:cs="Times New Roman"/>
                <w:color w:val="auto"/>
                <w:sz w:val="24"/>
              </w:rPr>
              <w:t>围堰容积</w:t>
            </w:r>
            <w:r>
              <w:rPr>
                <w:rFonts w:hint="eastAsia" w:eastAsia="宋体" w:cs="Times New Roman"/>
                <w:color w:val="auto"/>
                <w:sz w:val="24"/>
                <w:lang w:eastAsia="zh-CN"/>
              </w:rPr>
              <w:t>为</w:t>
            </w:r>
            <w:r>
              <w:rPr>
                <w:rFonts w:hint="eastAsia" w:eastAsia="宋体" w:cs="Times New Roman"/>
                <w:color w:val="auto"/>
                <w:sz w:val="24"/>
                <w:lang w:val="en-US" w:eastAsia="zh-CN"/>
              </w:rPr>
              <w:t>53</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，围堰内</w:t>
            </w:r>
            <w:r>
              <w:rPr>
                <w:rFonts w:hint="eastAsia" w:eastAsia="宋体" w:cs="Times New Roman"/>
                <w:color w:val="auto"/>
                <w:sz w:val="24"/>
                <w:lang w:val="en-US" w:eastAsia="zh-CN"/>
              </w:rPr>
              <w:t>3</w:t>
            </w:r>
            <w:r>
              <w:rPr>
                <w:rFonts w:hint="default" w:ascii="Times New Roman" w:hAnsi="Times New Roman" w:cs="Times New Roman"/>
                <w:color w:val="auto"/>
                <w:sz w:val="24"/>
              </w:rPr>
              <w:t>个</w:t>
            </w:r>
            <w:r>
              <w:rPr>
                <w:rFonts w:hint="eastAsia" w:eastAsia="宋体" w:cs="Times New Roman"/>
                <w:color w:val="auto"/>
                <w:sz w:val="24"/>
                <w:lang w:eastAsia="zh-CN"/>
              </w:rPr>
              <w:t>大豆油中转罐</w:t>
            </w:r>
            <w:r>
              <w:rPr>
                <w:rFonts w:hint="default" w:ascii="Times New Roman" w:hAnsi="Times New Roman" w:cs="Times New Roman"/>
                <w:color w:val="auto"/>
                <w:sz w:val="24"/>
              </w:rPr>
              <w:t>，均为立式固定油罐，最大储罐</w:t>
            </w:r>
            <w:r>
              <w:rPr>
                <w:rFonts w:hint="eastAsia" w:eastAsia="宋体" w:cs="Times New Roman"/>
                <w:color w:val="auto"/>
                <w:sz w:val="24"/>
                <w:lang w:eastAsia="zh-CN"/>
              </w:rPr>
              <w:t>规格</w:t>
            </w:r>
            <w:r>
              <w:rPr>
                <w:rFonts w:hint="eastAsia" w:eastAsia="宋体" w:cs="Times New Roman"/>
                <w:color w:val="auto"/>
                <w:sz w:val="24"/>
                <w:lang w:val="en-US" w:eastAsia="zh-CN"/>
              </w:rPr>
              <w:t>10吨/罐</w:t>
            </w:r>
            <w:r>
              <w:rPr>
                <w:rFonts w:hint="default" w:ascii="Times New Roman" w:hAnsi="Times New Roman" w:cs="Times New Roman"/>
                <w:color w:val="auto"/>
                <w:sz w:val="24"/>
              </w:rPr>
              <w:t>，围堰地面采用防腐防渗措施处理。</w:t>
            </w:r>
          </w:p>
          <w:p w14:paraId="0E955E5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eastAsia="宋体" w:cs="Times New Roman"/>
                <w:color w:val="auto"/>
                <w:sz w:val="24"/>
                <w:highlight w:val="yellow"/>
                <w:lang w:eastAsia="zh-CN"/>
              </w:rPr>
            </w:pPr>
            <w:r>
              <w:rPr>
                <w:rFonts w:hint="eastAsia" w:eastAsia="宋体" w:cs="Times New Roman"/>
                <w:color w:val="auto"/>
                <w:sz w:val="24"/>
                <w:highlight w:val="none"/>
                <w:lang w:val="en-US" w:eastAsia="zh-CN"/>
              </w:rPr>
              <w:t>8</w:t>
            </w:r>
            <w:r>
              <w:rPr>
                <w:rFonts w:hint="default" w:ascii="Times New Roman" w:hAnsi="Times New Roman" w:cs="Times New Roman"/>
                <w:color w:val="auto"/>
                <w:sz w:val="24"/>
                <w:highlight w:val="none"/>
              </w:rPr>
              <w:t>#</w:t>
            </w:r>
            <w:r>
              <w:rPr>
                <w:rFonts w:hint="eastAsia" w:eastAsia="宋体" w:cs="Times New Roman"/>
                <w:color w:val="auto"/>
                <w:sz w:val="24"/>
                <w:highlight w:val="none"/>
                <w:lang w:eastAsia="zh-CN"/>
              </w:rPr>
              <w:t>罐区</w:t>
            </w:r>
            <w:r>
              <w:rPr>
                <w:rFonts w:hint="default" w:ascii="Times New Roman" w:hAnsi="Times New Roman" w:cs="Times New Roman"/>
                <w:color w:val="auto"/>
                <w:sz w:val="24"/>
                <w:highlight w:val="none"/>
              </w:rPr>
              <w:t>位于浸出车间东南</w:t>
            </w:r>
            <w:r>
              <w:rPr>
                <w:rFonts w:hint="eastAsia" w:eastAsia="宋体" w:cs="Times New Roman"/>
                <w:color w:val="auto"/>
                <w:sz w:val="24"/>
                <w:highlight w:val="none"/>
                <w:lang w:eastAsia="zh-CN"/>
              </w:rPr>
              <w:t>侧</w:t>
            </w:r>
            <w:r>
              <w:rPr>
                <w:rFonts w:hint="default" w:ascii="Times New Roman" w:hAnsi="Times New Roman" w:cs="Times New Roman"/>
                <w:color w:val="auto"/>
                <w:sz w:val="24"/>
                <w:highlight w:val="none"/>
              </w:rPr>
              <w:t>，</w:t>
            </w:r>
            <w:r>
              <w:rPr>
                <w:rFonts w:hint="eastAsia" w:eastAsia="宋体" w:cs="Times New Roman"/>
                <w:color w:val="auto"/>
                <w:sz w:val="24"/>
                <w:highlight w:val="none"/>
                <w:lang w:eastAsia="zh-CN"/>
              </w:rPr>
              <w:t>罐区设有围堰，</w:t>
            </w:r>
            <w:r>
              <w:rPr>
                <w:rFonts w:hint="default" w:ascii="Times New Roman" w:hAnsi="Times New Roman" w:cs="Times New Roman"/>
                <w:color w:val="auto"/>
                <w:sz w:val="24"/>
                <w:highlight w:val="none"/>
              </w:rPr>
              <w:t>有效容积</w:t>
            </w:r>
            <w:r>
              <w:rPr>
                <w:rFonts w:hint="eastAsia" w:eastAsia="宋体" w:cs="Times New Roman"/>
                <w:color w:val="auto"/>
                <w:sz w:val="24"/>
                <w:highlight w:val="none"/>
                <w:lang w:eastAsia="zh-CN"/>
              </w:rPr>
              <w:t>为</w:t>
            </w:r>
            <w:r>
              <w:rPr>
                <w:rFonts w:hint="default" w:ascii="Times New Roman" w:hAnsi="Times New Roman" w:cs="Times New Roman"/>
                <w:color w:val="auto"/>
                <w:sz w:val="24"/>
                <w:highlight w:val="none"/>
              </w:rPr>
              <w:t>810m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，围堰内</w:t>
            </w:r>
            <w:r>
              <w:rPr>
                <w:rFonts w:hint="eastAsia" w:eastAsia="宋体" w:cs="Times New Roman"/>
                <w:color w:val="auto"/>
                <w:sz w:val="24"/>
                <w:highlight w:val="none"/>
                <w:lang w:eastAsia="zh-CN"/>
              </w:rPr>
              <w:t>设有</w:t>
            </w:r>
            <w:r>
              <w:rPr>
                <w:rFonts w:hint="default" w:ascii="Times New Roman" w:hAnsi="Times New Roman" w:cs="Times New Roman"/>
                <w:color w:val="auto"/>
                <w:sz w:val="24"/>
                <w:highlight w:val="none"/>
              </w:rPr>
              <w:t>1个毛油</w:t>
            </w:r>
            <w:r>
              <w:rPr>
                <w:rFonts w:hint="eastAsia" w:eastAsia="宋体" w:cs="Times New Roman"/>
                <w:color w:val="auto"/>
                <w:sz w:val="24"/>
                <w:highlight w:val="none"/>
                <w:lang w:eastAsia="zh-CN"/>
              </w:rPr>
              <w:t>储</w:t>
            </w:r>
            <w:r>
              <w:rPr>
                <w:rFonts w:hint="default" w:ascii="Times New Roman" w:hAnsi="Times New Roman" w:cs="Times New Roman"/>
                <w:color w:val="auto"/>
                <w:sz w:val="24"/>
                <w:highlight w:val="none"/>
              </w:rPr>
              <w:t>罐，</w:t>
            </w:r>
            <w:r>
              <w:rPr>
                <w:rFonts w:hint="eastAsia" w:eastAsia="宋体" w:cs="Times New Roman"/>
                <w:color w:val="auto"/>
                <w:sz w:val="24"/>
                <w:highlight w:val="none"/>
                <w:lang w:eastAsia="zh-CN"/>
              </w:rPr>
              <w:t>毛油储罐规格为</w:t>
            </w:r>
            <w:r>
              <w:rPr>
                <w:rFonts w:hint="eastAsia" w:eastAsia="宋体" w:cs="Times New Roman"/>
                <w:color w:val="auto"/>
                <w:sz w:val="24"/>
                <w:highlight w:val="none"/>
                <w:lang w:val="en-US" w:eastAsia="zh-CN"/>
              </w:rPr>
              <w:t>800吨/罐</w:t>
            </w:r>
            <w:r>
              <w:rPr>
                <w:rFonts w:hint="default" w:ascii="Times New Roman" w:hAnsi="Times New Roman" w:cs="Times New Roman"/>
                <w:color w:val="auto"/>
                <w:sz w:val="24"/>
                <w:highlight w:val="none"/>
              </w:rPr>
              <w:t>，围堰地面采用防腐防渗措施处理</w:t>
            </w:r>
            <w:r>
              <w:rPr>
                <w:rFonts w:hint="eastAsia" w:eastAsia="宋体" w:cs="Times New Roman"/>
                <w:color w:val="auto"/>
                <w:sz w:val="24"/>
                <w:highlight w:val="none"/>
                <w:lang w:eastAsia="zh-CN"/>
              </w:rPr>
              <w:t>。</w:t>
            </w:r>
          </w:p>
          <w:p w14:paraId="3526E24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eastAsia" w:ascii="Times New Roman" w:hAnsi="Times New Roman" w:cs="Times New Roman"/>
                <w:color w:val="auto"/>
                <w:sz w:val="24"/>
                <w:lang w:eastAsia="zh-CN"/>
              </w:rPr>
            </w:pPr>
            <w:r>
              <w:rPr>
                <w:rFonts w:hint="eastAsia" w:eastAsia="宋体" w:cs="Times New Roman"/>
                <w:color w:val="auto"/>
                <w:sz w:val="24"/>
                <w:lang w:eastAsia="zh-CN"/>
              </w:rPr>
              <w:t>浓硫酸储存在</w:t>
            </w:r>
            <w:r>
              <w:rPr>
                <w:rFonts w:hint="eastAsia" w:ascii="Times New Roman" w:hAnsi="Times New Roman" w:cs="Times New Roman"/>
                <w:color w:val="auto"/>
                <w:sz w:val="24"/>
                <w:lang w:eastAsia="zh-CN"/>
              </w:rPr>
              <w:t>污水处理站硫酸储存室，</w:t>
            </w:r>
            <w:r>
              <w:rPr>
                <w:rFonts w:hint="eastAsia" w:ascii="Times New Roman" w:hAnsi="Times New Roman" w:cs="Times New Roman"/>
                <w:color w:val="auto"/>
                <w:sz w:val="24"/>
                <w:highlight w:val="none"/>
                <w:lang w:eastAsia="zh-CN"/>
              </w:rPr>
              <w:t>围堰容积</w:t>
            </w:r>
            <w:r>
              <w:rPr>
                <w:rFonts w:hint="eastAsia" w:ascii="Times New Roman" w:hAnsi="Times New Roman" w:cs="Times New Roman"/>
                <w:color w:val="auto"/>
                <w:sz w:val="24"/>
                <w:highlight w:val="none"/>
                <w:lang w:val="en-US" w:eastAsia="zh-CN"/>
              </w:rPr>
              <w:t>1m</w:t>
            </w:r>
            <w:r>
              <w:rPr>
                <w:rFonts w:hint="eastAsia" w:ascii="Times New Roman" w:hAnsi="Times New Roman" w:cs="Times New Roman"/>
                <w:color w:val="auto"/>
                <w:sz w:val="24"/>
                <w:highlight w:val="none"/>
                <w:vertAlign w:val="superscript"/>
                <w:lang w:val="en-US" w:eastAsia="zh-CN"/>
              </w:rPr>
              <w:t>3</w:t>
            </w:r>
            <w:r>
              <w:rPr>
                <w:rFonts w:hint="eastAsia" w:ascii="Times New Roman" w:hAnsi="Times New Roman" w:cs="Times New Roman"/>
                <w:color w:val="auto"/>
                <w:sz w:val="24"/>
                <w:highlight w:val="none"/>
                <w:lang w:val="en-US" w:eastAsia="zh-CN"/>
              </w:rPr>
              <w:t>，</w:t>
            </w:r>
            <w:r>
              <w:rPr>
                <w:rFonts w:hint="eastAsia" w:ascii="Times New Roman" w:hAnsi="Times New Roman" w:cs="Times New Roman"/>
                <w:color w:val="auto"/>
                <w:sz w:val="24"/>
                <w:lang w:val="en-US" w:eastAsia="zh-CN"/>
              </w:rPr>
              <w:t>围堰内有硫酸储罐，</w:t>
            </w:r>
            <w:r>
              <w:rPr>
                <w:rFonts w:hint="default" w:ascii="Times New Roman" w:hAnsi="Times New Roman" w:cs="Times New Roman"/>
                <w:color w:val="auto"/>
                <w:sz w:val="24"/>
              </w:rPr>
              <w:t>围堰地面采用防腐防渗措施处理</w:t>
            </w:r>
            <w:r>
              <w:rPr>
                <w:rFonts w:hint="eastAsia" w:ascii="Times New Roman" w:hAnsi="Times New Roman" w:cs="Times New Roman"/>
                <w:color w:val="auto"/>
                <w:sz w:val="24"/>
                <w:lang w:eastAsia="zh-CN"/>
              </w:rPr>
              <w:t>。</w:t>
            </w:r>
          </w:p>
          <w:p w14:paraId="4347CC7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地埋式正己烷储罐的框架结构进行防腐防渗处理，设置报警装置和泡沫灭火装置。</w:t>
            </w:r>
          </w:p>
          <w:p w14:paraId="5E9475F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eastAsia="宋体" w:cs="Times New Roman"/>
                <w:color w:val="auto"/>
                <w:sz w:val="24"/>
                <w:lang w:val="en-US" w:eastAsia="zh-CN"/>
              </w:rPr>
            </w:pPr>
            <w:r>
              <w:rPr>
                <w:rFonts w:hint="eastAsia" w:eastAsia="宋体" w:cs="Times New Roman"/>
                <w:color w:val="auto"/>
                <w:sz w:val="24"/>
                <w:lang w:val="en-US" w:eastAsia="zh-CN"/>
              </w:rPr>
              <w:t>2#罐区内</w:t>
            </w:r>
            <w:r>
              <w:rPr>
                <w:rFonts w:hint="eastAsia" w:eastAsia="宋体" w:cs="Times New Roman"/>
                <w:color w:val="auto"/>
                <w:sz w:val="24"/>
                <w:lang w:eastAsia="zh-CN"/>
              </w:rPr>
              <w:t>设置</w:t>
            </w:r>
            <w:r>
              <w:rPr>
                <w:rFonts w:hint="eastAsia" w:eastAsia="宋体" w:cs="Times New Roman"/>
                <w:color w:val="auto"/>
                <w:sz w:val="24"/>
                <w:lang w:val="en-US" w:eastAsia="zh-CN"/>
              </w:rPr>
              <w:t>1个容积为700m</w:t>
            </w:r>
            <w:r>
              <w:rPr>
                <w:rFonts w:hint="eastAsia" w:eastAsia="宋体" w:cs="Times New Roman"/>
                <w:color w:val="auto"/>
                <w:sz w:val="24"/>
                <w:vertAlign w:val="superscript"/>
                <w:lang w:val="en-US" w:eastAsia="zh-CN"/>
              </w:rPr>
              <w:t>3</w:t>
            </w:r>
            <w:r>
              <w:rPr>
                <w:rFonts w:hint="eastAsia" w:eastAsia="宋体" w:cs="Times New Roman"/>
                <w:color w:val="auto"/>
                <w:sz w:val="24"/>
                <w:lang w:val="en-US" w:eastAsia="zh-CN"/>
              </w:rPr>
              <w:t>的应急事故罐，风险物质发生泄漏后废液、事故废水进入厂区污水处理站，最后进入应急事故罐内暂存。</w:t>
            </w:r>
          </w:p>
          <w:p w14:paraId="37B20EF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color w:val="auto"/>
                <w:lang w:eastAsia="zh-CN"/>
              </w:rPr>
            </w:pPr>
            <w:r>
              <w:rPr>
                <w:rFonts w:hint="eastAsia" w:ascii="Times New Roman" w:hAnsi="Times New Roman" w:cs="Times New Roman"/>
                <w:color w:val="auto"/>
                <w:sz w:val="24"/>
                <w:vertAlign w:val="baseline"/>
                <w:lang w:eastAsia="zh-CN"/>
              </w:rPr>
              <w:t>精炼车间、预处理车间、浸出车间、包装车间、</w:t>
            </w:r>
            <w:r>
              <w:rPr>
                <w:rFonts w:hint="eastAsia" w:cs="Times New Roman"/>
                <w:color w:val="auto"/>
                <w:sz w:val="24"/>
                <w:vertAlign w:val="baseline"/>
                <w:lang w:eastAsia="zh-CN"/>
              </w:rPr>
              <w:t>危险废物贮存库</w:t>
            </w:r>
            <w:r>
              <w:rPr>
                <w:rFonts w:hint="eastAsia" w:ascii="Times New Roman" w:hAnsi="Times New Roman" w:cs="Times New Roman"/>
                <w:color w:val="auto"/>
                <w:sz w:val="24"/>
                <w:vertAlign w:val="baseline"/>
                <w:lang w:eastAsia="zh-CN"/>
              </w:rPr>
              <w:t>地面均采用高密度聚乙烯防渗膜铺设，未发生</w:t>
            </w:r>
            <w:r>
              <w:rPr>
                <w:rFonts w:hint="eastAsia" w:cs="Times New Roman"/>
                <w:color w:val="auto"/>
                <w:sz w:val="24"/>
                <w:vertAlign w:val="baseline"/>
                <w:lang w:eastAsia="zh-CN"/>
              </w:rPr>
              <w:t>泄漏</w:t>
            </w:r>
            <w:r>
              <w:rPr>
                <w:rFonts w:hint="eastAsia" w:ascii="Times New Roman" w:hAnsi="Times New Roman" w:cs="Times New Roman"/>
                <w:color w:val="auto"/>
                <w:sz w:val="24"/>
                <w:vertAlign w:val="baseline"/>
                <w:lang w:eastAsia="zh-CN"/>
              </w:rPr>
              <w:t>情况，满足防腐防渗要求。</w:t>
            </w:r>
          </w:p>
          <w:p w14:paraId="33B1DE61">
            <w:pPr>
              <w:spacing w:line="360" w:lineRule="auto"/>
              <w:ind w:firstLine="480" w:firstLineChars="200"/>
              <w:rPr>
                <w:rFonts w:hint="eastAsia" w:eastAsia="宋体"/>
                <w:bCs/>
                <w:color w:val="auto"/>
                <w:sz w:val="24"/>
                <w:szCs w:val="24"/>
                <w:highlight w:val="yellow"/>
                <w:lang w:eastAsia="zh-CN"/>
              </w:rPr>
            </w:pPr>
            <w:r>
              <w:rPr>
                <w:rFonts w:hint="eastAsia"/>
                <w:color w:val="auto"/>
                <w:sz w:val="24"/>
                <w:szCs w:val="24"/>
                <w:lang w:eastAsia="zh-CN"/>
              </w:rPr>
              <w:t>（</w:t>
            </w:r>
            <w:r>
              <w:rPr>
                <w:rFonts w:hint="eastAsia"/>
                <w:color w:val="auto"/>
                <w:sz w:val="24"/>
                <w:szCs w:val="24"/>
                <w:lang w:val="en-US" w:eastAsia="zh-CN"/>
              </w:rPr>
              <w:t>6</w:t>
            </w:r>
            <w:r>
              <w:rPr>
                <w:rFonts w:hint="eastAsia"/>
                <w:color w:val="auto"/>
                <w:sz w:val="24"/>
                <w:szCs w:val="24"/>
                <w:lang w:eastAsia="zh-CN"/>
              </w:rPr>
              <w:t>）现有</w:t>
            </w:r>
            <w:r>
              <w:rPr>
                <w:bCs/>
                <w:color w:val="auto"/>
                <w:sz w:val="24"/>
                <w:szCs w:val="24"/>
              </w:rPr>
              <w:t>工程三废污染物产生量及排放量汇总</w:t>
            </w:r>
            <w:r>
              <w:rPr>
                <w:rFonts w:hint="eastAsia" w:eastAsia="宋体"/>
                <w:bCs/>
                <w:color w:val="auto"/>
                <w:sz w:val="24"/>
                <w:szCs w:val="24"/>
                <w:lang w:eastAsia="zh-CN"/>
              </w:rPr>
              <w:t>。</w:t>
            </w:r>
          </w:p>
          <w:p w14:paraId="66ADEEBD">
            <w:pPr>
              <w:pStyle w:val="3"/>
              <w:bidi w:val="0"/>
              <w:rPr>
                <w:rFonts w:hint="default" w:ascii="Times New Roman" w:hAnsi="Times New Roman" w:cs="Times New Roman"/>
                <w:color w:val="auto"/>
              </w:rPr>
            </w:pPr>
          </w:p>
          <w:p w14:paraId="5722F609">
            <w:pPr>
              <w:pStyle w:val="3"/>
              <w:bidi w:val="0"/>
              <w:rPr>
                <w:rFonts w:hint="default" w:ascii="Times New Roman" w:hAnsi="Times New Roman" w:cs="Times New Roman"/>
                <w:color w:val="auto"/>
              </w:rPr>
            </w:pPr>
            <w:r>
              <w:rPr>
                <w:rFonts w:hint="default" w:ascii="Times New Roman" w:hAnsi="Times New Roman" w:cs="Times New Roman"/>
                <w:color w:val="auto"/>
              </w:rPr>
              <w:t>表2.</w:t>
            </w:r>
            <w:r>
              <w:rPr>
                <w:rFonts w:hint="default" w:ascii="Times New Roman" w:hAnsi="Times New Roman" w:cs="Times New Roman"/>
                <w:color w:val="auto"/>
                <w:lang w:val="en-US" w:eastAsia="zh-CN"/>
              </w:rPr>
              <w:t>7-16</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现有</w:t>
            </w:r>
            <w:r>
              <w:rPr>
                <w:rFonts w:hint="default" w:ascii="Times New Roman" w:hAnsi="Times New Roman" w:cs="Times New Roman"/>
                <w:color w:val="auto"/>
              </w:rPr>
              <w:t>工程三废污染物产生量及排放量汇总</w:t>
            </w:r>
          </w:p>
          <w:tbl>
            <w:tblPr>
              <w:tblStyle w:val="17"/>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2157"/>
              <w:gridCol w:w="3107"/>
              <w:gridCol w:w="3107"/>
            </w:tblGrid>
            <w:tr w14:paraId="21B7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tcBorders>
                    <w:top w:val="single" w:color="auto" w:sz="4" w:space="0"/>
                    <w:left w:val="nil"/>
                    <w:bottom w:val="single" w:color="auto" w:sz="4" w:space="0"/>
                    <w:right w:val="single" w:color="auto" w:sz="4" w:space="0"/>
                    <w:tl2br w:val="single" w:color="auto" w:sz="4" w:space="0"/>
                  </w:tcBorders>
                  <w:noWrap w:val="0"/>
                  <w:vAlign w:val="center"/>
                </w:tcPr>
                <w:p w14:paraId="300BD710">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   </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cs="Times New Roman"/>
                      <w:color w:val="auto"/>
                      <w:sz w:val="21"/>
                      <w:szCs w:val="21"/>
                    </w:rPr>
                    <w:t>内容</w:t>
                  </w:r>
                </w:p>
                <w:p w14:paraId="47437C0B">
                  <w:pPr>
                    <w:pStyle w:val="3"/>
                    <w:bidi w:val="0"/>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79FF86FA">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74CFBDA7">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排放量（t/a）</w:t>
                  </w:r>
                </w:p>
              </w:tc>
            </w:tr>
            <w:tr w14:paraId="35BB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vMerge w:val="restart"/>
                  <w:tcBorders>
                    <w:top w:val="single" w:color="auto" w:sz="4" w:space="0"/>
                    <w:left w:val="nil"/>
                    <w:right w:val="single" w:color="auto" w:sz="4" w:space="0"/>
                  </w:tcBorders>
                  <w:noWrap w:val="0"/>
                  <w:vAlign w:val="center"/>
                </w:tcPr>
                <w:p w14:paraId="1EA5F3DA">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2CBB0822">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333347EA">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5.06</w:t>
                  </w:r>
                </w:p>
              </w:tc>
            </w:tr>
            <w:tr w14:paraId="570C0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85" w:hRule="atLeast"/>
                <w:jc w:val="center"/>
              </w:trPr>
              <w:tc>
                <w:tcPr>
                  <w:tcW w:w="1288" w:type="pct"/>
                  <w:vMerge w:val="continue"/>
                  <w:tcBorders>
                    <w:left w:val="nil"/>
                    <w:right w:val="single" w:color="auto" w:sz="4" w:space="0"/>
                  </w:tcBorders>
                  <w:noWrap w:val="0"/>
                  <w:vAlign w:val="center"/>
                </w:tcPr>
                <w:p w14:paraId="61C1179B">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724E7484">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4A0ADD9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1.29</w:t>
                  </w:r>
                </w:p>
              </w:tc>
            </w:tr>
            <w:tr w14:paraId="44B4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vMerge w:val="continue"/>
                  <w:tcBorders>
                    <w:left w:val="nil"/>
                    <w:right w:val="single" w:color="auto" w:sz="4" w:space="0"/>
                  </w:tcBorders>
                  <w:noWrap w:val="0"/>
                  <w:vAlign w:val="center"/>
                </w:tcPr>
                <w:p w14:paraId="3A2CA09E">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400C0E41">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4C267C2E">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4</w:t>
                  </w:r>
                </w:p>
              </w:tc>
            </w:tr>
            <w:tr w14:paraId="1232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vMerge w:val="continue"/>
                  <w:tcBorders>
                    <w:left w:val="nil"/>
                    <w:right w:val="single" w:color="auto" w:sz="4" w:space="0"/>
                  </w:tcBorders>
                  <w:noWrap w:val="0"/>
                  <w:vAlign w:val="center"/>
                </w:tcPr>
                <w:p w14:paraId="6EF2F706">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right w:val="single" w:color="auto" w:sz="4" w:space="0"/>
                  </w:tcBorders>
                  <w:noWrap w:val="0"/>
                  <w:vAlign w:val="center"/>
                </w:tcPr>
                <w:p w14:paraId="1DF23712">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tc>
              <w:tc>
                <w:tcPr>
                  <w:tcW w:w="1855" w:type="pct"/>
                  <w:tcBorders>
                    <w:top w:val="single" w:color="auto" w:sz="4" w:space="0"/>
                    <w:left w:val="single" w:color="auto" w:sz="4" w:space="0"/>
                    <w:right w:val="single" w:color="auto" w:sz="4" w:space="0"/>
                  </w:tcBorders>
                  <w:noWrap w:val="0"/>
                  <w:vAlign w:val="center"/>
                </w:tcPr>
                <w:p w14:paraId="57068C3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0.279</w:t>
                  </w:r>
                </w:p>
              </w:tc>
            </w:tr>
            <w:tr w14:paraId="093C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28" w:hRule="atLeast"/>
                <w:jc w:val="center"/>
              </w:trPr>
              <w:tc>
                <w:tcPr>
                  <w:tcW w:w="1288" w:type="pct"/>
                  <w:vMerge w:val="continue"/>
                  <w:tcBorders>
                    <w:left w:val="nil"/>
                    <w:right w:val="single" w:color="auto" w:sz="4" w:space="0"/>
                  </w:tcBorders>
                  <w:noWrap w:val="0"/>
                  <w:vAlign w:val="center"/>
                </w:tcPr>
                <w:p w14:paraId="22A261E9">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right w:val="single" w:color="auto" w:sz="4" w:space="0"/>
                  </w:tcBorders>
                  <w:noWrap w:val="0"/>
                  <w:vAlign w:val="center"/>
                </w:tcPr>
                <w:p w14:paraId="4ED0E621">
                  <w:pPr>
                    <w:pStyle w:val="3"/>
                    <w:bidi w:val="0"/>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总氮</w:t>
                  </w:r>
                </w:p>
              </w:tc>
              <w:tc>
                <w:tcPr>
                  <w:tcW w:w="1855" w:type="pct"/>
                  <w:tcBorders>
                    <w:top w:val="single" w:color="auto" w:sz="4" w:space="0"/>
                    <w:left w:val="single" w:color="auto" w:sz="4" w:space="0"/>
                    <w:right w:val="single" w:color="auto" w:sz="4" w:space="0"/>
                  </w:tcBorders>
                  <w:noWrap w:val="0"/>
                  <w:vAlign w:val="center"/>
                </w:tcPr>
                <w:p w14:paraId="3CFEA87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0.558</w:t>
                  </w:r>
                </w:p>
              </w:tc>
            </w:tr>
            <w:tr w14:paraId="60CC1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vMerge w:val="continue"/>
                  <w:tcBorders>
                    <w:left w:val="nil"/>
                    <w:right w:val="single" w:color="auto" w:sz="4" w:space="0"/>
                  </w:tcBorders>
                  <w:noWrap w:val="0"/>
                  <w:vAlign w:val="center"/>
                </w:tcPr>
                <w:p w14:paraId="664EE090">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right w:val="single" w:color="auto" w:sz="4" w:space="0"/>
                  </w:tcBorders>
                  <w:noWrap w:val="0"/>
                  <w:vAlign w:val="center"/>
                </w:tcPr>
                <w:p w14:paraId="2C2232C9">
                  <w:pPr>
                    <w:pStyle w:val="3"/>
                    <w:bidi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总磷</w:t>
                  </w:r>
                </w:p>
              </w:tc>
              <w:tc>
                <w:tcPr>
                  <w:tcW w:w="1855" w:type="pct"/>
                  <w:tcBorders>
                    <w:top w:val="single" w:color="auto" w:sz="4" w:space="0"/>
                    <w:left w:val="single" w:color="auto" w:sz="4" w:space="0"/>
                    <w:right w:val="single" w:color="auto" w:sz="4" w:space="0"/>
                  </w:tcBorders>
                  <w:noWrap w:val="0"/>
                  <w:vAlign w:val="center"/>
                </w:tcPr>
                <w:p w14:paraId="562B326B">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0.004</w:t>
                  </w:r>
                </w:p>
              </w:tc>
            </w:tr>
            <w:tr w14:paraId="09A56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vMerge w:val="continue"/>
                  <w:tcBorders>
                    <w:left w:val="nil"/>
                    <w:bottom w:val="single" w:color="auto" w:sz="4" w:space="0"/>
                    <w:right w:val="single" w:color="auto" w:sz="4" w:space="0"/>
                  </w:tcBorders>
                  <w:noWrap w:val="0"/>
                  <w:vAlign w:val="center"/>
                </w:tcPr>
                <w:p w14:paraId="5FC2E575">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right w:val="single" w:color="auto" w:sz="4" w:space="0"/>
                  </w:tcBorders>
                  <w:noWrap w:val="0"/>
                  <w:vAlign w:val="center"/>
                </w:tcPr>
                <w:p w14:paraId="789E79CA">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动植物油</w:t>
                  </w:r>
                </w:p>
              </w:tc>
              <w:tc>
                <w:tcPr>
                  <w:tcW w:w="1855" w:type="pct"/>
                  <w:tcBorders>
                    <w:top w:val="single" w:color="auto" w:sz="4" w:space="0"/>
                    <w:left w:val="single" w:color="auto" w:sz="4" w:space="0"/>
                    <w:right w:val="single" w:color="auto" w:sz="4" w:space="0"/>
                  </w:tcBorders>
                  <w:noWrap w:val="0"/>
                  <w:vAlign w:val="center"/>
                </w:tcPr>
                <w:p w14:paraId="49AC59D7">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0.052</w:t>
                  </w:r>
                </w:p>
              </w:tc>
            </w:tr>
            <w:tr w14:paraId="1B26B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0" w:hRule="atLeast"/>
                <w:jc w:val="center"/>
              </w:trPr>
              <w:tc>
                <w:tcPr>
                  <w:tcW w:w="1288" w:type="pct"/>
                  <w:vMerge w:val="restart"/>
                  <w:tcBorders>
                    <w:top w:val="single" w:color="auto" w:sz="4" w:space="0"/>
                    <w:left w:val="nil"/>
                    <w:right w:val="single" w:color="auto" w:sz="4" w:space="0"/>
                  </w:tcBorders>
                  <w:noWrap w:val="0"/>
                  <w:vAlign w:val="center"/>
                </w:tcPr>
                <w:p w14:paraId="510EEA21">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1DF03F6C">
                  <w:pPr>
                    <w:pStyle w:val="3"/>
                    <w:bidi w:val="0"/>
                    <w:ind w:firstLine="0" w:firstLineChars="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非甲烷总烃</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1B6129A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9.337</w:t>
                  </w:r>
                </w:p>
              </w:tc>
            </w:tr>
            <w:tr w14:paraId="0F8EF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 w:hRule="atLeast"/>
                <w:jc w:val="center"/>
              </w:trPr>
              <w:tc>
                <w:tcPr>
                  <w:tcW w:w="1288" w:type="pct"/>
                  <w:vMerge w:val="continue"/>
                  <w:tcBorders>
                    <w:left w:val="nil"/>
                    <w:right w:val="single" w:color="auto" w:sz="4" w:space="0"/>
                  </w:tcBorders>
                  <w:noWrap w:val="0"/>
                  <w:vAlign w:val="center"/>
                </w:tcPr>
                <w:p w14:paraId="2F555E2B">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16CB5521">
                  <w:pPr>
                    <w:pStyle w:val="3"/>
                    <w:bidi w:val="0"/>
                    <w:ind w:firstLine="0" w:firstLineChars="0"/>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SO</w:t>
                  </w:r>
                  <w:r>
                    <w:rPr>
                      <w:rFonts w:hint="default" w:ascii="Times New Roman" w:hAnsi="Times New Roman" w:cs="Times New Roman"/>
                      <w:color w:val="auto"/>
                      <w:sz w:val="21"/>
                      <w:szCs w:val="21"/>
                      <w:vertAlign w:val="subscript"/>
                      <w:lang w:val="en-US" w:eastAsia="zh-CN"/>
                    </w:rPr>
                    <w:t>2</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4B927B0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0.168</w:t>
                  </w:r>
                </w:p>
              </w:tc>
            </w:tr>
            <w:tr w14:paraId="568B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 w:hRule="atLeast"/>
                <w:jc w:val="center"/>
              </w:trPr>
              <w:tc>
                <w:tcPr>
                  <w:tcW w:w="1288" w:type="pct"/>
                  <w:vMerge w:val="continue"/>
                  <w:tcBorders>
                    <w:left w:val="nil"/>
                    <w:right w:val="single" w:color="auto" w:sz="4" w:space="0"/>
                  </w:tcBorders>
                  <w:noWrap w:val="0"/>
                  <w:vAlign w:val="center"/>
                </w:tcPr>
                <w:p w14:paraId="617162BE">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6EB3FEB6">
                  <w:pPr>
                    <w:pStyle w:val="3"/>
                    <w:bidi w:val="0"/>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NO</w:t>
                  </w:r>
                  <w:r>
                    <w:rPr>
                      <w:rFonts w:hint="default" w:ascii="Times New Roman" w:hAnsi="Times New Roman" w:cs="Times New Roman"/>
                      <w:color w:val="auto"/>
                      <w:sz w:val="21"/>
                      <w:szCs w:val="21"/>
                      <w:vertAlign w:val="subscript"/>
                      <w:lang w:val="en-US" w:eastAsia="zh-CN"/>
                    </w:rPr>
                    <w:t>X</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3C9459E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0.315</w:t>
                  </w:r>
                </w:p>
              </w:tc>
            </w:tr>
            <w:tr w14:paraId="2F873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 w:hRule="atLeast"/>
                <w:jc w:val="center"/>
              </w:trPr>
              <w:tc>
                <w:tcPr>
                  <w:tcW w:w="1288" w:type="pct"/>
                  <w:vMerge w:val="continue"/>
                  <w:tcBorders>
                    <w:left w:val="nil"/>
                    <w:right w:val="single" w:color="auto" w:sz="4" w:space="0"/>
                  </w:tcBorders>
                  <w:noWrap w:val="0"/>
                  <w:vAlign w:val="center"/>
                </w:tcPr>
                <w:p w14:paraId="072DF823">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496A9B22">
                  <w:pPr>
                    <w:pStyle w:val="3"/>
                    <w:bidi w:val="0"/>
                    <w:ind w:firstLine="0" w:firstLineChars="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颗粒物</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774F4F7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40.203</w:t>
                  </w:r>
                </w:p>
              </w:tc>
            </w:tr>
            <w:tr w14:paraId="10D4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 w:hRule="atLeast"/>
                <w:jc w:val="center"/>
              </w:trPr>
              <w:tc>
                <w:tcPr>
                  <w:tcW w:w="1288" w:type="pct"/>
                  <w:vMerge w:val="continue"/>
                  <w:tcBorders>
                    <w:left w:val="nil"/>
                    <w:right w:val="single" w:color="auto" w:sz="4" w:space="0"/>
                  </w:tcBorders>
                  <w:noWrap w:val="0"/>
                  <w:vAlign w:val="center"/>
                </w:tcPr>
                <w:p w14:paraId="680246EA">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3A40D63C">
                  <w:pPr>
                    <w:pStyle w:val="3"/>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硫酸雾</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67394BB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0.004</w:t>
                  </w:r>
                </w:p>
              </w:tc>
            </w:tr>
            <w:tr w14:paraId="12EA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 w:hRule="atLeast"/>
                <w:jc w:val="center"/>
              </w:trPr>
              <w:tc>
                <w:tcPr>
                  <w:tcW w:w="1288" w:type="pct"/>
                  <w:vMerge w:val="continue"/>
                  <w:tcBorders>
                    <w:left w:val="nil"/>
                    <w:right w:val="single" w:color="auto" w:sz="4" w:space="0"/>
                  </w:tcBorders>
                  <w:noWrap w:val="0"/>
                  <w:vAlign w:val="center"/>
                </w:tcPr>
                <w:p w14:paraId="2DF434F1">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1B93B989">
                  <w:pPr>
                    <w:pStyle w:val="3"/>
                    <w:bidi w:val="0"/>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氯化氢</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4B3EC50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0.001</w:t>
                  </w:r>
                </w:p>
              </w:tc>
            </w:tr>
            <w:tr w14:paraId="68D2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0" w:hRule="atLeast"/>
                <w:jc w:val="center"/>
              </w:trPr>
              <w:tc>
                <w:tcPr>
                  <w:tcW w:w="1288" w:type="pct"/>
                  <w:vMerge w:val="continue"/>
                  <w:tcBorders>
                    <w:left w:val="nil"/>
                    <w:bottom w:val="single" w:color="auto" w:sz="4" w:space="0"/>
                    <w:right w:val="single" w:color="auto" w:sz="4" w:space="0"/>
                  </w:tcBorders>
                  <w:noWrap w:val="0"/>
                  <w:vAlign w:val="center"/>
                </w:tcPr>
                <w:p w14:paraId="4ABC776E">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7D6F039D">
                  <w:pPr>
                    <w:pStyle w:val="3"/>
                    <w:bidi w:val="0"/>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氨气</w:t>
                  </w:r>
                </w:p>
              </w:tc>
              <w:tc>
                <w:tcPr>
                  <w:tcW w:w="3107" w:type="dxa"/>
                  <w:tcBorders>
                    <w:top w:val="single" w:color="auto" w:sz="4" w:space="0"/>
                    <w:left w:val="single" w:color="auto" w:sz="4" w:space="0"/>
                    <w:bottom w:val="single" w:color="auto" w:sz="4" w:space="0"/>
                    <w:right w:val="single" w:color="auto" w:sz="4" w:space="0"/>
                  </w:tcBorders>
                  <w:noWrap w:val="0"/>
                  <w:vAlign w:val="center"/>
                </w:tcPr>
                <w:p w14:paraId="4BCAC33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w:t>
                  </w:r>
                  <w:r>
                    <w:rPr>
                      <w:rFonts w:hint="eastAsia" w:ascii="Times New Roman" w:hAnsi="Times New Roman" w:cs="Times New Roman"/>
                      <w:color w:val="auto"/>
                      <w:lang w:val="en-US" w:eastAsia="zh-CN"/>
                    </w:rPr>
                    <w:t>0</w:t>
                  </w: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4</w:t>
                  </w:r>
                </w:p>
              </w:tc>
            </w:tr>
            <w:tr w14:paraId="3153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0" w:hRule="atLeast"/>
                <w:jc w:val="center"/>
              </w:trPr>
              <w:tc>
                <w:tcPr>
                  <w:tcW w:w="1288" w:type="pct"/>
                  <w:vMerge w:val="restart"/>
                  <w:tcBorders>
                    <w:top w:val="single" w:color="auto" w:sz="4" w:space="0"/>
                    <w:left w:val="nil"/>
                    <w:right w:val="single" w:color="auto" w:sz="4" w:space="0"/>
                  </w:tcBorders>
                  <w:noWrap w:val="0"/>
                  <w:vAlign w:val="center"/>
                </w:tcPr>
                <w:p w14:paraId="3DD87737">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1855" w:type="pct"/>
                  <w:tcBorders>
                    <w:top w:val="single" w:color="auto" w:sz="4" w:space="0"/>
                    <w:left w:val="single" w:color="auto" w:sz="4" w:space="0"/>
                    <w:right w:val="single" w:color="auto" w:sz="4" w:space="0"/>
                  </w:tcBorders>
                  <w:noWrap w:val="0"/>
                  <w:vAlign w:val="center"/>
                </w:tcPr>
                <w:p w14:paraId="3955A2E4">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391DA239">
                  <w:pPr>
                    <w:pStyle w:val="3"/>
                    <w:bidi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2.58</w:t>
                  </w:r>
                </w:p>
              </w:tc>
            </w:tr>
            <w:tr w14:paraId="5AFC1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 w:hRule="atLeast"/>
                <w:jc w:val="center"/>
              </w:trPr>
              <w:tc>
                <w:tcPr>
                  <w:tcW w:w="1288" w:type="pct"/>
                  <w:vMerge w:val="continue"/>
                  <w:tcBorders>
                    <w:left w:val="nil"/>
                    <w:right w:val="single" w:color="auto" w:sz="4" w:space="0"/>
                  </w:tcBorders>
                  <w:noWrap w:val="0"/>
                  <w:vAlign w:val="center"/>
                </w:tcPr>
                <w:p w14:paraId="18221408">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bottom w:val="single" w:color="auto" w:sz="4" w:space="0"/>
                    <w:right w:val="single" w:color="auto" w:sz="4" w:space="0"/>
                  </w:tcBorders>
                  <w:noWrap w:val="0"/>
                  <w:vAlign w:val="center"/>
                </w:tcPr>
                <w:p w14:paraId="0728FBD1">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一般工业固废</w:t>
                  </w:r>
                </w:p>
              </w:tc>
              <w:tc>
                <w:tcPr>
                  <w:tcW w:w="1855" w:type="pct"/>
                  <w:tcBorders>
                    <w:top w:val="single" w:color="auto" w:sz="4" w:space="0"/>
                    <w:left w:val="single" w:color="auto" w:sz="4" w:space="0"/>
                    <w:bottom w:val="single" w:color="auto" w:sz="4" w:space="0"/>
                    <w:right w:val="single" w:color="auto" w:sz="4" w:space="0"/>
                  </w:tcBorders>
                  <w:noWrap w:val="0"/>
                  <w:vAlign w:val="center"/>
                </w:tcPr>
                <w:p w14:paraId="171213A3">
                  <w:pPr>
                    <w:pStyle w:val="3"/>
                    <w:bidi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62002</w:t>
                  </w:r>
                </w:p>
              </w:tc>
            </w:tr>
            <w:tr w14:paraId="5227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 w:hRule="atLeast"/>
                <w:jc w:val="center"/>
              </w:trPr>
              <w:tc>
                <w:tcPr>
                  <w:tcW w:w="1288" w:type="pct"/>
                  <w:vMerge w:val="continue"/>
                  <w:tcBorders>
                    <w:left w:val="nil"/>
                    <w:bottom w:val="single" w:color="auto" w:sz="4" w:space="0"/>
                    <w:right w:val="single" w:color="auto" w:sz="4" w:space="0"/>
                  </w:tcBorders>
                  <w:noWrap w:val="0"/>
                  <w:vAlign w:val="center"/>
                </w:tcPr>
                <w:p w14:paraId="6793968A">
                  <w:pPr>
                    <w:pStyle w:val="3"/>
                    <w:bidi w:val="0"/>
                    <w:rPr>
                      <w:rFonts w:hint="default" w:ascii="Times New Roman" w:hAnsi="Times New Roman" w:cs="Times New Roman"/>
                      <w:color w:val="auto"/>
                      <w:sz w:val="21"/>
                      <w:szCs w:val="21"/>
                    </w:rPr>
                  </w:pPr>
                </w:p>
              </w:tc>
              <w:tc>
                <w:tcPr>
                  <w:tcW w:w="1855" w:type="pct"/>
                  <w:tcBorders>
                    <w:top w:val="single" w:color="auto" w:sz="4" w:space="0"/>
                    <w:left w:val="single" w:color="auto" w:sz="4" w:space="0"/>
                    <w:right w:val="single" w:color="auto" w:sz="4" w:space="0"/>
                  </w:tcBorders>
                  <w:noWrap w:val="0"/>
                  <w:vAlign w:val="center"/>
                </w:tcPr>
                <w:p w14:paraId="42217780">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w:t>
                  </w:r>
                </w:p>
              </w:tc>
              <w:tc>
                <w:tcPr>
                  <w:tcW w:w="1855" w:type="pct"/>
                  <w:tcBorders>
                    <w:top w:val="single" w:color="auto" w:sz="4" w:space="0"/>
                    <w:left w:val="single" w:color="auto" w:sz="4" w:space="0"/>
                    <w:right w:val="single" w:color="auto" w:sz="4" w:space="0"/>
                  </w:tcBorders>
                  <w:noWrap w:val="0"/>
                  <w:vAlign w:val="center"/>
                </w:tcPr>
                <w:p w14:paraId="1E03A532">
                  <w:pPr>
                    <w:pStyle w:val="3"/>
                    <w:bidi w:val="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32.7</w:t>
                  </w:r>
                </w:p>
              </w:tc>
            </w:tr>
          </w:tbl>
          <w:p w14:paraId="43169D4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both"/>
              <w:textAlignment w:val="auto"/>
              <w:rPr>
                <w:rFonts w:hint="eastAsia" w:ascii="宋体" w:hAnsi="宋体" w:eastAsia="宋体" w:cs="宋体"/>
                <w:b/>
                <w:bCs/>
                <w:color w:val="auto"/>
                <w:sz w:val="24"/>
                <w:szCs w:val="24"/>
                <w:lang w:eastAsia="zh-CN"/>
              </w:rPr>
            </w:pPr>
            <w:r>
              <w:rPr>
                <w:rFonts w:hint="eastAsia"/>
                <w:b/>
                <w:bCs/>
                <w:color w:val="auto"/>
                <w:sz w:val="24"/>
                <w:szCs w:val="24"/>
                <w:lang w:val="en-US" w:eastAsia="zh-CN"/>
              </w:rPr>
              <w:t>7.5</w:t>
            </w:r>
            <w:r>
              <w:rPr>
                <w:rFonts w:hint="eastAsia"/>
                <w:b/>
                <w:bCs/>
                <w:color w:val="auto"/>
                <w:sz w:val="24"/>
                <w:szCs w:val="24"/>
                <w:lang w:eastAsia="zh-CN"/>
              </w:rPr>
              <w:t>现有工程存在的主要环境问题</w:t>
            </w:r>
          </w:p>
          <w:p w14:paraId="4CA4FC2A">
            <w:pPr>
              <w:adjustRightInd w:val="0"/>
              <w:snapToGrid w:val="0"/>
              <w:spacing w:line="360" w:lineRule="auto"/>
              <w:ind w:firstLine="480" w:firstLineChars="200"/>
              <w:rPr>
                <w:rFonts w:hint="eastAsia" w:ascii="宋体" w:hAnsi="宋体" w:eastAsia="宋体"/>
                <w:bCs/>
                <w:color w:val="auto"/>
                <w:szCs w:val="21"/>
                <w:lang w:eastAsia="zh-CN"/>
              </w:rPr>
            </w:pPr>
            <w:r>
              <w:rPr>
                <w:rFonts w:hint="default" w:ascii="Times New Roman" w:hAnsi="Times New Roman" w:cs="Times New Roman"/>
                <w:color w:val="auto"/>
                <w:sz w:val="24"/>
                <w:szCs w:val="24"/>
              </w:rPr>
              <w:t>通过调查，</w:t>
            </w:r>
            <w:r>
              <w:rPr>
                <w:rFonts w:hint="default" w:ascii="Times New Roman" w:hAnsi="Times New Roman" w:cs="Times New Roman"/>
                <w:color w:val="auto"/>
                <w:sz w:val="24"/>
                <w:szCs w:val="24"/>
                <w:lang w:eastAsia="zh-CN"/>
              </w:rPr>
              <w:t>现有</w:t>
            </w:r>
            <w:r>
              <w:rPr>
                <w:rFonts w:hint="default" w:ascii="Times New Roman" w:hAnsi="Times New Roman" w:cs="Times New Roman"/>
                <w:color w:val="auto"/>
                <w:sz w:val="24"/>
                <w:szCs w:val="24"/>
              </w:rPr>
              <w:t>工程环保手续齐全，于</w:t>
            </w:r>
            <w:r>
              <w:rPr>
                <w:rFonts w:hint="default" w:ascii="Times New Roman" w:hAnsi="Times New Roman" w:cs="Times New Roman"/>
                <w:color w:val="auto"/>
                <w:sz w:val="24"/>
                <w:szCs w:val="24"/>
                <w:lang w:val="en-US" w:eastAsia="zh-CN"/>
              </w:rPr>
              <w:t>2021</w:t>
            </w:r>
            <w:r>
              <w:rPr>
                <w:rFonts w:hint="default" w:ascii="Times New Roman" w:hAnsi="Times New Roman" w:cs="Times New Roman"/>
                <w:color w:val="auto"/>
                <w:sz w:val="24"/>
                <w:szCs w:val="24"/>
              </w:rPr>
              <w:t>年</w:t>
            </w:r>
            <w:r>
              <w:rPr>
                <w:rFonts w:hint="default" w:ascii="Times New Roman" w:hAnsi="Times New Roman" w:cs="Times New Roman"/>
                <w:color w:val="auto"/>
                <w:sz w:val="24"/>
                <w:szCs w:val="24"/>
                <w:lang w:val="en-US" w:eastAsia="zh-CN"/>
              </w:rPr>
              <w:t>10</w:t>
            </w:r>
            <w:r>
              <w:rPr>
                <w:rFonts w:hint="default" w:ascii="Times New Roman" w:hAnsi="Times New Roman" w:cs="Times New Roman"/>
                <w:color w:val="auto"/>
                <w:sz w:val="24"/>
                <w:szCs w:val="24"/>
              </w:rPr>
              <w:t>月通过了竣工环境保护验收，</w:t>
            </w:r>
            <w:r>
              <w:rPr>
                <w:rFonts w:hint="default" w:ascii="Times New Roman" w:hAnsi="Times New Roman" w:cs="Times New Roman"/>
                <w:color w:val="auto"/>
                <w:sz w:val="24"/>
                <w:szCs w:val="24"/>
                <w:lang w:eastAsia="zh-CN"/>
              </w:rPr>
              <w:t>不存在</w:t>
            </w:r>
            <w:r>
              <w:rPr>
                <w:rFonts w:hint="default" w:ascii="Times New Roman" w:hAnsi="Times New Roman" w:cs="Times New Roman"/>
                <w:color w:val="auto"/>
                <w:sz w:val="24"/>
                <w:szCs w:val="24"/>
              </w:rPr>
              <w:t>遗留相关环境问题。</w:t>
            </w:r>
          </w:p>
        </w:tc>
      </w:tr>
    </w:tbl>
    <w:p w14:paraId="0444DAA7">
      <w:pPr>
        <w:pStyle w:val="16"/>
        <w:ind w:left="0" w:leftChars="0" w:firstLine="0" w:firstLineChars="0"/>
        <w:jc w:val="both"/>
        <w:rPr>
          <w:rFonts w:ascii="黑体" w:hAnsi="黑体" w:eastAsia="黑体"/>
          <w:snapToGrid w:val="0"/>
          <w:color w:val="auto"/>
          <w:sz w:val="36"/>
          <w:szCs w:val="36"/>
        </w:rPr>
        <w:sectPr>
          <w:pgSz w:w="11906" w:h="16838"/>
          <w:pgMar w:top="1701" w:right="1531" w:bottom="1701" w:left="1531" w:header="851" w:footer="850" w:gutter="0"/>
          <w:pgBorders>
            <w:top w:val="none" w:sz="0" w:space="0"/>
            <w:left w:val="none" w:sz="0" w:space="0"/>
            <w:bottom w:val="none" w:sz="0" w:space="0"/>
            <w:right w:val="none" w:sz="0" w:space="0"/>
          </w:pgBorders>
          <w:cols w:space="0" w:num="1"/>
          <w:rtlGutter w:val="0"/>
          <w:docGrid w:linePitch="312" w:charSpace="0"/>
        </w:sectPr>
      </w:pPr>
    </w:p>
    <w:p w14:paraId="52F3C39F">
      <w:pPr>
        <w:pStyle w:val="16"/>
        <w:ind w:left="0" w:leftChars="0" w:firstLine="0" w:firstLineChars="0"/>
        <w:jc w:val="center"/>
        <w:outlineLvl w:val="0"/>
        <w:rPr>
          <w:rFonts w:ascii="黑体" w:hAnsi="黑体" w:eastAsia="黑体"/>
          <w:snapToGrid w:val="0"/>
          <w:color w:val="auto"/>
          <w:sz w:val="30"/>
          <w:szCs w:val="30"/>
        </w:rPr>
      </w:pPr>
      <w:r>
        <w:rPr>
          <w:rFonts w:hint="eastAsia" w:ascii="黑体" w:hAnsi="黑体" w:eastAsia="黑体"/>
          <w:snapToGrid w:val="0"/>
          <w:color w:val="auto"/>
          <w:sz w:val="30"/>
          <w:szCs w:val="30"/>
        </w:rPr>
        <w:t>三、区域环境质量现状、环境保护目标及评价标准</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8190"/>
      </w:tblGrid>
      <w:tr w14:paraId="7BBADD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00" w:type="dxa"/>
            <w:vAlign w:val="center"/>
          </w:tcPr>
          <w:p w14:paraId="4A7FF23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区域</w:t>
            </w:r>
          </w:p>
          <w:p w14:paraId="1106430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环境</w:t>
            </w:r>
          </w:p>
          <w:p w14:paraId="556F8D07">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质量</w:t>
            </w:r>
          </w:p>
          <w:p w14:paraId="294C919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color w:val="auto"/>
              </w:rPr>
              <w:t>现状</w:t>
            </w:r>
          </w:p>
        </w:tc>
        <w:tc>
          <w:tcPr>
            <w:tcW w:w="8190" w:type="dxa"/>
          </w:tcPr>
          <w:p w14:paraId="6BA17B87">
            <w:pPr>
              <w:adjustRightInd w:val="0"/>
              <w:snapToGrid w:val="0"/>
              <w:spacing w:line="360" w:lineRule="auto"/>
              <w:ind w:left="0" w:leftChars="0" w:firstLine="0" w:firstLineChars="0"/>
              <w:rPr>
                <w:b/>
                <w:bCs/>
                <w:color w:val="auto"/>
                <w:sz w:val="24"/>
                <w:szCs w:val="24"/>
              </w:rPr>
            </w:pPr>
            <w:r>
              <w:rPr>
                <w:rFonts w:hint="eastAsia"/>
                <w:b/>
                <w:bCs/>
                <w:color w:val="auto"/>
                <w:sz w:val="24"/>
                <w:szCs w:val="24"/>
                <w:lang w:val="en-US" w:eastAsia="zh-CN"/>
              </w:rPr>
              <w:t>1.</w:t>
            </w:r>
            <w:r>
              <w:rPr>
                <w:rFonts w:hint="eastAsia"/>
                <w:b/>
                <w:bCs/>
                <w:color w:val="auto"/>
                <w:sz w:val="24"/>
                <w:szCs w:val="24"/>
              </w:rPr>
              <w:t>环境空气质量现状</w:t>
            </w:r>
          </w:p>
          <w:p w14:paraId="27EC6706">
            <w:pPr>
              <w:adjustRightInd w:val="0"/>
              <w:snapToGrid w:val="0"/>
              <w:spacing w:line="360" w:lineRule="auto"/>
              <w:ind w:firstLine="480"/>
              <w:rPr>
                <w:color w:val="auto"/>
                <w:sz w:val="24"/>
                <w:szCs w:val="24"/>
              </w:rPr>
            </w:pPr>
            <w:r>
              <w:rPr>
                <w:color w:val="auto"/>
                <w:sz w:val="24"/>
                <w:szCs w:val="24"/>
              </w:rPr>
              <w:t>根据《重庆市环境空气质量功能区划分规定》（渝府发[2016]19）的相关规定，本项目所在地环境空气功能区划为二类区。</w:t>
            </w:r>
          </w:p>
          <w:p w14:paraId="03F8D8CB">
            <w:pPr>
              <w:ind w:firstLine="480"/>
              <w:rPr>
                <w:color w:val="auto"/>
                <w:kern w:val="0"/>
              </w:rPr>
            </w:pPr>
            <w:r>
              <w:rPr>
                <w:color w:val="auto"/>
                <w:kern w:val="0"/>
              </w:rPr>
              <w:t>（1）区域达标</w:t>
            </w:r>
          </w:p>
          <w:p w14:paraId="3EAFD49E">
            <w:pPr>
              <w:ind w:firstLine="480"/>
              <w:rPr>
                <w:color w:val="auto"/>
                <w:kern w:val="0"/>
              </w:rPr>
            </w:pPr>
            <w:r>
              <w:rPr>
                <w:color w:val="auto"/>
                <w:kern w:val="0"/>
              </w:rPr>
              <w:t>本评价引用《202</w:t>
            </w:r>
            <w:r>
              <w:rPr>
                <w:rFonts w:hint="eastAsia" w:eastAsia="宋体"/>
                <w:color w:val="auto"/>
                <w:kern w:val="0"/>
                <w:lang w:val="en-US" w:eastAsia="zh-CN"/>
              </w:rPr>
              <w:t>3</w:t>
            </w:r>
            <w:r>
              <w:rPr>
                <w:color w:val="auto"/>
                <w:kern w:val="0"/>
              </w:rPr>
              <w:t>年重庆市生态环境状况公报》中</w:t>
            </w:r>
            <w:r>
              <w:rPr>
                <w:rFonts w:hint="eastAsia" w:eastAsia="宋体"/>
                <w:color w:val="auto"/>
                <w:kern w:val="0"/>
                <w:lang w:eastAsia="zh-CN"/>
              </w:rPr>
              <w:t>大足区</w:t>
            </w:r>
            <w:r>
              <w:rPr>
                <w:color w:val="auto"/>
                <w:kern w:val="0"/>
              </w:rPr>
              <w:t>环境空气质量现状数据，区域环境质量现状见表3.1</w:t>
            </w:r>
            <w:r>
              <w:rPr>
                <w:rFonts w:hint="eastAsia" w:eastAsia="宋体"/>
                <w:color w:val="auto"/>
                <w:kern w:val="0"/>
                <w:lang w:val="en-US" w:eastAsia="zh-CN"/>
              </w:rPr>
              <w:t>-1</w:t>
            </w:r>
            <w:r>
              <w:rPr>
                <w:color w:val="auto"/>
                <w:kern w:val="0"/>
              </w:rPr>
              <w:t>。</w:t>
            </w:r>
          </w:p>
          <w:p w14:paraId="4F3E3EE9">
            <w:pPr>
              <w:pStyle w:val="3"/>
              <w:bidi w:val="0"/>
              <w:rPr>
                <w:rFonts w:hint="default" w:ascii="Times New Roman" w:hAnsi="Times New Roman" w:cs="Times New Roman"/>
                <w:color w:val="auto"/>
              </w:rPr>
            </w:pPr>
            <w:r>
              <w:rPr>
                <w:rFonts w:hint="default" w:ascii="Times New Roman" w:hAnsi="Times New Roman" w:cs="Times New Roman"/>
                <w:color w:val="auto"/>
              </w:rPr>
              <w:t>表3.1</w:t>
            </w:r>
            <w:r>
              <w:rPr>
                <w:rFonts w:hint="default" w:ascii="Times New Roman" w:hAnsi="Times New Roman" w:cs="Times New Roman"/>
                <w:color w:val="auto"/>
                <w:lang w:val="en-US" w:eastAsia="zh-CN"/>
              </w:rPr>
              <w:t>-1</w:t>
            </w:r>
            <w:r>
              <w:rPr>
                <w:rFonts w:hint="default" w:ascii="Times New Roman" w:hAnsi="Times New Roman" w:cs="Times New Roman"/>
                <w:color w:val="auto"/>
              </w:rPr>
              <w:t xml:space="preserve"> 区划环境质量现状</w:t>
            </w:r>
          </w:p>
          <w:tbl>
            <w:tblPr>
              <w:tblStyle w:val="18"/>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3287"/>
              <w:gridCol w:w="1136"/>
              <w:gridCol w:w="1136"/>
              <w:gridCol w:w="852"/>
              <w:gridCol w:w="829"/>
            </w:tblGrid>
            <w:tr w14:paraId="3498CD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vAlign w:val="center"/>
                </w:tcPr>
                <w:p w14:paraId="78A36181">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污染物</w:t>
                  </w:r>
                </w:p>
              </w:tc>
              <w:tc>
                <w:tcPr>
                  <w:tcW w:w="2076" w:type="pct"/>
                  <w:tcBorders>
                    <w:tl2br w:val="nil"/>
                    <w:tr2bl w:val="nil"/>
                  </w:tcBorders>
                  <w:vAlign w:val="center"/>
                </w:tcPr>
                <w:p w14:paraId="2E403CBB">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年评价指标</w:t>
                  </w:r>
                </w:p>
              </w:tc>
              <w:tc>
                <w:tcPr>
                  <w:tcW w:w="694" w:type="pct"/>
                  <w:tcBorders>
                    <w:tl2br w:val="nil"/>
                    <w:tr2bl w:val="nil"/>
                  </w:tcBorders>
                  <w:vAlign w:val="center"/>
                </w:tcPr>
                <w:p w14:paraId="5E5A2748">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现状浓度</w:t>
                  </w:r>
                </w:p>
                <w:p w14:paraId="58977468">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（ug/m</w:t>
                  </w:r>
                  <w:r>
                    <w:rPr>
                      <w:rFonts w:hint="default" w:ascii="Times New Roman" w:hAnsi="Times New Roman" w:cs="Times New Roman"/>
                      <w:color w:val="auto"/>
                      <w:kern w:val="0"/>
                      <w:vertAlign w:val="superscript"/>
                    </w:rPr>
                    <w:t>3</w:t>
                  </w:r>
                  <w:r>
                    <w:rPr>
                      <w:rFonts w:hint="default" w:ascii="Times New Roman" w:hAnsi="Times New Roman" w:cs="Times New Roman"/>
                      <w:color w:val="auto"/>
                      <w:kern w:val="0"/>
                    </w:rPr>
                    <w:t>）</w:t>
                  </w:r>
                </w:p>
              </w:tc>
              <w:tc>
                <w:tcPr>
                  <w:tcW w:w="665" w:type="pct"/>
                  <w:tcBorders>
                    <w:tl2br w:val="nil"/>
                    <w:tr2bl w:val="nil"/>
                  </w:tcBorders>
                  <w:vAlign w:val="center"/>
                </w:tcPr>
                <w:p w14:paraId="0B17009A">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标准值</w:t>
                  </w:r>
                </w:p>
                <w:p w14:paraId="44730399">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（ug/m</w:t>
                  </w:r>
                  <w:r>
                    <w:rPr>
                      <w:rFonts w:hint="default" w:ascii="Times New Roman" w:hAnsi="Times New Roman" w:cs="Times New Roman"/>
                      <w:color w:val="auto"/>
                      <w:kern w:val="0"/>
                      <w:vertAlign w:val="superscript"/>
                    </w:rPr>
                    <w:t>3</w:t>
                  </w:r>
                  <w:r>
                    <w:rPr>
                      <w:rFonts w:hint="default" w:ascii="Times New Roman" w:hAnsi="Times New Roman" w:cs="Times New Roman"/>
                      <w:color w:val="auto"/>
                      <w:kern w:val="0"/>
                    </w:rPr>
                    <w:t>）</w:t>
                  </w:r>
                </w:p>
              </w:tc>
              <w:tc>
                <w:tcPr>
                  <w:tcW w:w="550" w:type="pct"/>
                  <w:tcBorders>
                    <w:tl2br w:val="nil"/>
                    <w:tr2bl w:val="nil"/>
                  </w:tcBorders>
                  <w:vAlign w:val="center"/>
                </w:tcPr>
                <w:p w14:paraId="0C98F0F6">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占标率</w:t>
                  </w:r>
                </w:p>
                <w:p w14:paraId="0129C43E">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w:t>
                  </w:r>
                </w:p>
              </w:tc>
              <w:tc>
                <w:tcPr>
                  <w:tcW w:w="536" w:type="pct"/>
                  <w:tcBorders>
                    <w:tl2br w:val="nil"/>
                    <w:tr2bl w:val="nil"/>
                  </w:tcBorders>
                  <w:vAlign w:val="center"/>
                </w:tcPr>
                <w:p w14:paraId="439FF318">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达标</w:t>
                  </w:r>
                </w:p>
                <w:p w14:paraId="293398EB">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情况</w:t>
                  </w:r>
                </w:p>
              </w:tc>
            </w:tr>
            <w:tr w14:paraId="388A9B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pct"/>
                  <w:tcBorders>
                    <w:tl2br w:val="nil"/>
                    <w:tr2bl w:val="nil"/>
                  </w:tcBorders>
                  <w:vAlign w:val="center"/>
                </w:tcPr>
                <w:p w14:paraId="1642031E">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SO</w:t>
                  </w:r>
                  <w:r>
                    <w:rPr>
                      <w:rFonts w:hint="default" w:ascii="Times New Roman" w:hAnsi="Times New Roman" w:cs="Times New Roman"/>
                      <w:color w:val="auto"/>
                      <w:kern w:val="0"/>
                      <w:vertAlign w:val="subscript"/>
                    </w:rPr>
                    <w:t>2</w:t>
                  </w:r>
                </w:p>
              </w:tc>
              <w:tc>
                <w:tcPr>
                  <w:tcW w:w="2076" w:type="pct"/>
                  <w:vMerge w:val="restart"/>
                  <w:tcBorders>
                    <w:tl2br w:val="nil"/>
                    <w:tr2bl w:val="nil"/>
                  </w:tcBorders>
                  <w:vAlign w:val="center"/>
                </w:tcPr>
                <w:p w14:paraId="79751864">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年评价质量浓度</w:t>
                  </w:r>
                </w:p>
              </w:tc>
              <w:tc>
                <w:tcPr>
                  <w:tcW w:w="694" w:type="pct"/>
                  <w:tcBorders>
                    <w:tl2br w:val="nil"/>
                    <w:tr2bl w:val="nil"/>
                  </w:tcBorders>
                  <w:vAlign w:val="center"/>
                </w:tcPr>
                <w:p w14:paraId="663F50CD">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10</w:t>
                  </w:r>
                </w:p>
              </w:tc>
              <w:tc>
                <w:tcPr>
                  <w:tcW w:w="665" w:type="pct"/>
                  <w:tcBorders>
                    <w:tl2br w:val="nil"/>
                    <w:tr2bl w:val="nil"/>
                  </w:tcBorders>
                  <w:vAlign w:val="center"/>
                </w:tcPr>
                <w:p w14:paraId="1EAEE902">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60</w:t>
                  </w:r>
                </w:p>
              </w:tc>
              <w:tc>
                <w:tcPr>
                  <w:tcW w:w="550" w:type="pct"/>
                  <w:tcBorders>
                    <w:tl2br w:val="nil"/>
                    <w:tr2bl w:val="nil"/>
                  </w:tcBorders>
                  <w:vAlign w:val="center"/>
                </w:tcPr>
                <w:p w14:paraId="147BEA62">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16.7</w:t>
                  </w:r>
                </w:p>
              </w:tc>
              <w:tc>
                <w:tcPr>
                  <w:tcW w:w="536" w:type="pct"/>
                  <w:tcBorders>
                    <w:tl2br w:val="nil"/>
                    <w:tr2bl w:val="nil"/>
                  </w:tcBorders>
                  <w:vAlign w:val="center"/>
                </w:tcPr>
                <w:p w14:paraId="5C3AD209">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达标</w:t>
                  </w:r>
                </w:p>
              </w:tc>
            </w:tr>
            <w:tr w14:paraId="7AC779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6" w:type="pct"/>
                  <w:tcBorders>
                    <w:tl2br w:val="nil"/>
                    <w:tr2bl w:val="nil"/>
                  </w:tcBorders>
                  <w:vAlign w:val="center"/>
                </w:tcPr>
                <w:p w14:paraId="49289F22">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NO</w:t>
                  </w:r>
                  <w:r>
                    <w:rPr>
                      <w:rFonts w:hint="default" w:ascii="Times New Roman" w:hAnsi="Times New Roman" w:cs="Times New Roman"/>
                      <w:color w:val="auto"/>
                      <w:kern w:val="0"/>
                      <w:vertAlign w:val="subscript"/>
                    </w:rPr>
                    <w:t>2</w:t>
                  </w:r>
                </w:p>
              </w:tc>
              <w:tc>
                <w:tcPr>
                  <w:tcW w:w="2076" w:type="pct"/>
                  <w:vMerge w:val="continue"/>
                  <w:tcBorders>
                    <w:tl2br w:val="nil"/>
                    <w:tr2bl w:val="nil"/>
                  </w:tcBorders>
                  <w:vAlign w:val="center"/>
                </w:tcPr>
                <w:p w14:paraId="1C6962B4">
                  <w:pPr>
                    <w:pStyle w:val="3"/>
                    <w:outlineLvl w:val="0"/>
                    <w:rPr>
                      <w:rFonts w:hint="default" w:ascii="Times New Roman" w:hAnsi="Times New Roman" w:cs="Times New Roman"/>
                      <w:color w:val="auto"/>
                      <w:kern w:val="0"/>
                    </w:rPr>
                  </w:pPr>
                </w:p>
              </w:tc>
              <w:tc>
                <w:tcPr>
                  <w:tcW w:w="694" w:type="pct"/>
                  <w:tcBorders>
                    <w:tl2br w:val="nil"/>
                    <w:tr2bl w:val="nil"/>
                  </w:tcBorders>
                  <w:vAlign w:val="center"/>
                </w:tcPr>
                <w:p w14:paraId="02DA214F">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30</w:t>
                  </w:r>
                </w:p>
              </w:tc>
              <w:tc>
                <w:tcPr>
                  <w:tcW w:w="665" w:type="pct"/>
                  <w:tcBorders>
                    <w:tl2br w:val="nil"/>
                    <w:tr2bl w:val="nil"/>
                  </w:tcBorders>
                  <w:vAlign w:val="center"/>
                </w:tcPr>
                <w:p w14:paraId="41AA0313">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40</w:t>
                  </w:r>
                </w:p>
              </w:tc>
              <w:tc>
                <w:tcPr>
                  <w:tcW w:w="550" w:type="pct"/>
                  <w:tcBorders>
                    <w:tl2br w:val="nil"/>
                    <w:tr2bl w:val="nil"/>
                  </w:tcBorders>
                  <w:vAlign w:val="center"/>
                </w:tcPr>
                <w:p w14:paraId="09258DFD">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75.0</w:t>
                  </w:r>
                </w:p>
              </w:tc>
              <w:tc>
                <w:tcPr>
                  <w:tcW w:w="536" w:type="pct"/>
                  <w:tcBorders>
                    <w:tl2br w:val="nil"/>
                    <w:tr2bl w:val="nil"/>
                  </w:tcBorders>
                  <w:vAlign w:val="center"/>
                </w:tcPr>
                <w:p w14:paraId="6B1551D9">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达标</w:t>
                  </w:r>
                </w:p>
              </w:tc>
            </w:tr>
            <w:tr w14:paraId="67E7A3E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vAlign w:val="center"/>
                </w:tcPr>
                <w:p w14:paraId="10502EBB">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PM</w:t>
                  </w:r>
                  <w:r>
                    <w:rPr>
                      <w:rFonts w:hint="default" w:ascii="Times New Roman" w:hAnsi="Times New Roman" w:cs="Times New Roman"/>
                      <w:color w:val="auto"/>
                      <w:kern w:val="0"/>
                      <w:vertAlign w:val="subscript"/>
                    </w:rPr>
                    <w:t>10</w:t>
                  </w:r>
                </w:p>
              </w:tc>
              <w:tc>
                <w:tcPr>
                  <w:tcW w:w="2076" w:type="pct"/>
                  <w:vMerge w:val="continue"/>
                  <w:tcBorders>
                    <w:tl2br w:val="nil"/>
                    <w:tr2bl w:val="nil"/>
                  </w:tcBorders>
                  <w:vAlign w:val="center"/>
                </w:tcPr>
                <w:p w14:paraId="7ED28221">
                  <w:pPr>
                    <w:pStyle w:val="3"/>
                    <w:outlineLvl w:val="0"/>
                    <w:rPr>
                      <w:rFonts w:hint="default" w:ascii="Times New Roman" w:hAnsi="Times New Roman" w:cs="Times New Roman"/>
                      <w:color w:val="auto"/>
                      <w:kern w:val="0"/>
                    </w:rPr>
                  </w:pPr>
                </w:p>
              </w:tc>
              <w:tc>
                <w:tcPr>
                  <w:tcW w:w="694" w:type="pct"/>
                  <w:tcBorders>
                    <w:tl2br w:val="nil"/>
                    <w:tr2bl w:val="nil"/>
                  </w:tcBorders>
                  <w:vAlign w:val="center"/>
                </w:tcPr>
                <w:p w14:paraId="55AAA7F7">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51</w:t>
                  </w:r>
                </w:p>
              </w:tc>
              <w:tc>
                <w:tcPr>
                  <w:tcW w:w="665" w:type="pct"/>
                  <w:tcBorders>
                    <w:tl2br w:val="nil"/>
                    <w:tr2bl w:val="nil"/>
                  </w:tcBorders>
                  <w:vAlign w:val="center"/>
                </w:tcPr>
                <w:p w14:paraId="7E655970">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70</w:t>
                  </w:r>
                </w:p>
              </w:tc>
              <w:tc>
                <w:tcPr>
                  <w:tcW w:w="550" w:type="pct"/>
                  <w:tcBorders>
                    <w:tl2br w:val="nil"/>
                    <w:tr2bl w:val="nil"/>
                  </w:tcBorders>
                  <w:vAlign w:val="center"/>
                </w:tcPr>
                <w:p w14:paraId="12F84B09">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72.9</w:t>
                  </w:r>
                </w:p>
              </w:tc>
              <w:tc>
                <w:tcPr>
                  <w:tcW w:w="536" w:type="pct"/>
                  <w:tcBorders>
                    <w:tl2br w:val="nil"/>
                    <w:tr2bl w:val="nil"/>
                  </w:tcBorders>
                  <w:vAlign w:val="center"/>
                </w:tcPr>
                <w:p w14:paraId="58BE6E34">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达标</w:t>
                  </w:r>
                </w:p>
              </w:tc>
            </w:tr>
            <w:tr w14:paraId="663764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vAlign w:val="center"/>
                </w:tcPr>
                <w:p w14:paraId="7BFE3B32">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PM</w:t>
                  </w:r>
                  <w:r>
                    <w:rPr>
                      <w:rFonts w:hint="default" w:ascii="Times New Roman" w:hAnsi="Times New Roman" w:cs="Times New Roman"/>
                      <w:color w:val="auto"/>
                      <w:kern w:val="0"/>
                      <w:vertAlign w:val="subscript"/>
                    </w:rPr>
                    <w:t>2.5</w:t>
                  </w:r>
                </w:p>
              </w:tc>
              <w:tc>
                <w:tcPr>
                  <w:tcW w:w="2076" w:type="pct"/>
                  <w:vMerge w:val="continue"/>
                  <w:tcBorders>
                    <w:tl2br w:val="nil"/>
                    <w:tr2bl w:val="nil"/>
                  </w:tcBorders>
                  <w:vAlign w:val="center"/>
                </w:tcPr>
                <w:p w14:paraId="15E2387A">
                  <w:pPr>
                    <w:pStyle w:val="3"/>
                    <w:outlineLvl w:val="0"/>
                    <w:rPr>
                      <w:rFonts w:hint="default" w:ascii="Times New Roman" w:hAnsi="Times New Roman" w:cs="Times New Roman"/>
                      <w:color w:val="auto"/>
                      <w:kern w:val="0"/>
                    </w:rPr>
                  </w:pPr>
                </w:p>
              </w:tc>
              <w:tc>
                <w:tcPr>
                  <w:tcW w:w="694" w:type="pct"/>
                  <w:tcBorders>
                    <w:tl2br w:val="nil"/>
                    <w:tr2bl w:val="nil"/>
                  </w:tcBorders>
                  <w:vAlign w:val="center"/>
                </w:tcPr>
                <w:p w14:paraId="3827BD7F">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41</w:t>
                  </w:r>
                </w:p>
              </w:tc>
              <w:tc>
                <w:tcPr>
                  <w:tcW w:w="665" w:type="pct"/>
                  <w:tcBorders>
                    <w:tl2br w:val="nil"/>
                    <w:tr2bl w:val="nil"/>
                  </w:tcBorders>
                  <w:vAlign w:val="center"/>
                </w:tcPr>
                <w:p w14:paraId="364263CE">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35</w:t>
                  </w:r>
                </w:p>
              </w:tc>
              <w:tc>
                <w:tcPr>
                  <w:tcW w:w="550" w:type="pct"/>
                  <w:tcBorders>
                    <w:tl2br w:val="nil"/>
                    <w:tr2bl w:val="nil"/>
                  </w:tcBorders>
                  <w:vAlign w:val="center"/>
                </w:tcPr>
                <w:p w14:paraId="3135ABA7">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117.1</w:t>
                  </w:r>
                </w:p>
              </w:tc>
              <w:tc>
                <w:tcPr>
                  <w:tcW w:w="536" w:type="pct"/>
                  <w:tcBorders>
                    <w:tl2br w:val="nil"/>
                    <w:tr2bl w:val="nil"/>
                  </w:tcBorders>
                  <w:vAlign w:val="center"/>
                </w:tcPr>
                <w:p w14:paraId="03704738">
                  <w:pPr>
                    <w:pStyle w:val="3"/>
                    <w:outlineLvl w:val="0"/>
                    <w:rPr>
                      <w:rFonts w:hint="default" w:ascii="Times New Roman" w:hAnsi="Times New Roman" w:cs="Times New Roman"/>
                      <w:color w:val="auto"/>
                      <w:kern w:val="0"/>
                    </w:rPr>
                  </w:pPr>
                  <w:r>
                    <w:rPr>
                      <w:rFonts w:hint="default" w:ascii="Times New Roman" w:hAnsi="Times New Roman" w:eastAsia="宋体" w:cs="Times New Roman"/>
                      <w:color w:val="auto"/>
                      <w:kern w:val="0"/>
                      <w:lang w:eastAsia="zh-CN"/>
                    </w:rPr>
                    <w:t>超标</w:t>
                  </w:r>
                </w:p>
              </w:tc>
            </w:tr>
            <w:tr w14:paraId="45D625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vAlign w:val="center"/>
                </w:tcPr>
                <w:p w14:paraId="24A1851F">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CO</w:t>
                  </w:r>
                </w:p>
              </w:tc>
              <w:tc>
                <w:tcPr>
                  <w:tcW w:w="2076" w:type="pct"/>
                  <w:tcBorders>
                    <w:tl2br w:val="nil"/>
                    <w:tr2bl w:val="nil"/>
                  </w:tcBorders>
                  <w:vAlign w:val="center"/>
                </w:tcPr>
                <w:p w14:paraId="564E6760">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第95百分位24小时平均质量浓度</w:t>
                  </w:r>
                </w:p>
              </w:tc>
              <w:tc>
                <w:tcPr>
                  <w:tcW w:w="694" w:type="pct"/>
                  <w:tcBorders>
                    <w:tl2br w:val="nil"/>
                    <w:tr2bl w:val="nil"/>
                  </w:tcBorders>
                  <w:vAlign w:val="center"/>
                </w:tcPr>
                <w:p w14:paraId="2D3C735B">
                  <w:pPr>
                    <w:pStyle w:val="3"/>
                    <w:outlineLvl w:val="0"/>
                    <w:rPr>
                      <w:rFonts w:hint="default" w:ascii="Times New Roman" w:hAnsi="Times New Roman" w:cs="Times New Roman"/>
                      <w:color w:val="auto"/>
                      <w:kern w:val="0"/>
                    </w:rPr>
                  </w:pPr>
                  <w:r>
                    <w:rPr>
                      <w:rFonts w:hint="default" w:ascii="Times New Roman" w:hAnsi="Times New Roman" w:eastAsia="宋体" w:cs="Times New Roman"/>
                      <w:color w:val="auto"/>
                      <w:kern w:val="0"/>
                      <w:lang w:val="en-US" w:eastAsia="zh-CN"/>
                    </w:rPr>
                    <w:t>1.</w:t>
                  </w:r>
                  <w:r>
                    <w:rPr>
                      <w:rFonts w:hint="eastAsia" w:ascii="Times New Roman" w:hAnsi="Times New Roman" w:eastAsia="宋体" w:cs="Times New Roman"/>
                      <w:color w:val="auto"/>
                      <w:kern w:val="0"/>
                      <w:lang w:val="en-US" w:eastAsia="zh-CN"/>
                    </w:rPr>
                    <w:t>0</w:t>
                  </w:r>
                  <w:r>
                    <w:rPr>
                      <w:rFonts w:hint="default" w:ascii="Times New Roman" w:hAnsi="Times New Roman" w:cs="Times New Roman"/>
                      <w:color w:val="auto"/>
                      <w:kern w:val="0"/>
                    </w:rPr>
                    <w:t>mg/m</w:t>
                  </w:r>
                  <w:r>
                    <w:rPr>
                      <w:rFonts w:hint="default" w:ascii="Times New Roman" w:hAnsi="Times New Roman" w:cs="Times New Roman"/>
                      <w:color w:val="auto"/>
                      <w:kern w:val="0"/>
                      <w:vertAlign w:val="superscript"/>
                    </w:rPr>
                    <w:t>3</w:t>
                  </w:r>
                </w:p>
              </w:tc>
              <w:tc>
                <w:tcPr>
                  <w:tcW w:w="665" w:type="pct"/>
                  <w:tcBorders>
                    <w:tl2br w:val="nil"/>
                    <w:tr2bl w:val="nil"/>
                  </w:tcBorders>
                  <w:vAlign w:val="center"/>
                </w:tcPr>
                <w:p w14:paraId="38C550B9">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4mg/m</w:t>
                  </w:r>
                  <w:r>
                    <w:rPr>
                      <w:rFonts w:hint="default" w:ascii="Times New Roman" w:hAnsi="Times New Roman" w:cs="Times New Roman"/>
                      <w:color w:val="auto"/>
                      <w:kern w:val="0"/>
                      <w:vertAlign w:val="superscript"/>
                    </w:rPr>
                    <w:t>3</w:t>
                  </w:r>
                </w:p>
              </w:tc>
              <w:tc>
                <w:tcPr>
                  <w:tcW w:w="550" w:type="pct"/>
                  <w:tcBorders>
                    <w:tl2br w:val="nil"/>
                    <w:tr2bl w:val="nil"/>
                  </w:tcBorders>
                  <w:vAlign w:val="center"/>
                </w:tcPr>
                <w:p w14:paraId="32A19367">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25.0</w:t>
                  </w:r>
                </w:p>
              </w:tc>
              <w:tc>
                <w:tcPr>
                  <w:tcW w:w="536" w:type="pct"/>
                  <w:tcBorders>
                    <w:tl2br w:val="nil"/>
                    <w:tr2bl w:val="nil"/>
                  </w:tcBorders>
                  <w:vAlign w:val="center"/>
                </w:tcPr>
                <w:p w14:paraId="771BBA9B">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达标</w:t>
                  </w:r>
                </w:p>
              </w:tc>
            </w:tr>
            <w:tr w14:paraId="27DA9E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6" w:type="pct"/>
                  <w:tcBorders>
                    <w:tl2br w:val="nil"/>
                    <w:tr2bl w:val="nil"/>
                  </w:tcBorders>
                  <w:vAlign w:val="center"/>
                </w:tcPr>
                <w:p w14:paraId="1C5208C9">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O</w:t>
                  </w:r>
                  <w:r>
                    <w:rPr>
                      <w:rFonts w:hint="default" w:ascii="Times New Roman" w:hAnsi="Times New Roman" w:cs="Times New Roman"/>
                      <w:color w:val="auto"/>
                      <w:kern w:val="0"/>
                      <w:vertAlign w:val="subscript"/>
                    </w:rPr>
                    <w:t>3</w:t>
                  </w:r>
                </w:p>
              </w:tc>
              <w:tc>
                <w:tcPr>
                  <w:tcW w:w="2076" w:type="pct"/>
                  <w:tcBorders>
                    <w:tl2br w:val="nil"/>
                    <w:tr2bl w:val="nil"/>
                  </w:tcBorders>
                  <w:vAlign w:val="center"/>
                </w:tcPr>
                <w:p w14:paraId="700DBA91">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第95百分位最大8小时平均质量浓度</w:t>
                  </w:r>
                </w:p>
              </w:tc>
              <w:tc>
                <w:tcPr>
                  <w:tcW w:w="694" w:type="pct"/>
                  <w:tcBorders>
                    <w:tl2br w:val="nil"/>
                    <w:tr2bl w:val="nil"/>
                  </w:tcBorders>
                  <w:vAlign w:val="center"/>
                </w:tcPr>
                <w:p w14:paraId="2C1AD840">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143</w:t>
                  </w:r>
                </w:p>
              </w:tc>
              <w:tc>
                <w:tcPr>
                  <w:tcW w:w="665" w:type="pct"/>
                  <w:tcBorders>
                    <w:tl2br w:val="nil"/>
                    <w:tr2bl w:val="nil"/>
                  </w:tcBorders>
                  <w:vAlign w:val="center"/>
                </w:tcPr>
                <w:p w14:paraId="4C29E2A9">
                  <w:pPr>
                    <w:pStyle w:val="3"/>
                    <w:outlineLvl w:val="0"/>
                    <w:rPr>
                      <w:rFonts w:hint="default" w:ascii="Times New Roman" w:hAnsi="Times New Roman" w:cs="Times New Roman"/>
                      <w:color w:val="auto"/>
                      <w:kern w:val="0"/>
                    </w:rPr>
                  </w:pPr>
                  <w:r>
                    <w:rPr>
                      <w:rFonts w:hint="default" w:ascii="Times New Roman" w:hAnsi="Times New Roman" w:cs="Times New Roman"/>
                      <w:color w:val="auto"/>
                      <w:kern w:val="0"/>
                    </w:rPr>
                    <w:t>160</w:t>
                  </w:r>
                </w:p>
              </w:tc>
              <w:tc>
                <w:tcPr>
                  <w:tcW w:w="550" w:type="pct"/>
                  <w:tcBorders>
                    <w:tl2br w:val="nil"/>
                    <w:tr2bl w:val="nil"/>
                  </w:tcBorders>
                  <w:vAlign w:val="center"/>
                </w:tcPr>
                <w:p w14:paraId="46F5337F">
                  <w:pPr>
                    <w:pStyle w:val="3"/>
                    <w:outlineLvl w:val="0"/>
                    <w:rPr>
                      <w:rFonts w:hint="default" w:ascii="Times New Roman" w:hAnsi="Times New Roman" w:eastAsia="宋体" w:cs="Times New Roman"/>
                      <w:color w:val="auto"/>
                      <w:kern w:val="0"/>
                      <w:lang w:val="en-US" w:eastAsia="zh-CN"/>
                    </w:rPr>
                  </w:pPr>
                  <w:r>
                    <w:rPr>
                      <w:rFonts w:hint="eastAsia" w:ascii="Times New Roman" w:hAnsi="Times New Roman" w:eastAsia="宋体" w:cs="Times New Roman"/>
                      <w:color w:val="auto"/>
                      <w:kern w:val="0"/>
                      <w:lang w:val="en-US" w:eastAsia="zh-CN"/>
                    </w:rPr>
                    <w:t>89.4</w:t>
                  </w:r>
                </w:p>
              </w:tc>
              <w:tc>
                <w:tcPr>
                  <w:tcW w:w="536" w:type="pct"/>
                  <w:tcBorders>
                    <w:tl2br w:val="nil"/>
                    <w:tr2bl w:val="nil"/>
                  </w:tcBorders>
                  <w:vAlign w:val="center"/>
                </w:tcPr>
                <w:p w14:paraId="56D9E601">
                  <w:pPr>
                    <w:pStyle w:val="3"/>
                    <w:outlineLvl w:val="0"/>
                    <w:rPr>
                      <w:rFonts w:hint="default" w:ascii="Times New Roman" w:hAnsi="Times New Roman" w:eastAsia="宋体" w:cs="Times New Roman"/>
                      <w:color w:val="auto"/>
                      <w:kern w:val="0"/>
                      <w:lang w:eastAsia="zh-CN"/>
                    </w:rPr>
                  </w:pPr>
                  <w:r>
                    <w:rPr>
                      <w:rFonts w:hint="default" w:ascii="Times New Roman" w:hAnsi="Times New Roman" w:cs="Times New Roman"/>
                      <w:color w:val="auto"/>
                      <w:kern w:val="0"/>
                    </w:rPr>
                    <w:t>达标</w:t>
                  </w:r>
                </w:p>
              </w:tc>
            </w:tr>
          </w:tbl>
          <w:p w14:paraId="7B003361">
            <w:pPr>
              <w:bidi w:val="0"/>
              <w:rPr>
                <w:rFonts w:hint="default"/>
                <w:color w:val="auto"/>
              </w:rPr>
            </w:pPr>
            <w:r>
              <w:rPr>
                <w:rFonts w:hint="default" w:ascii="Times New Roman" w:hAnsi="Times New Roman" w:cs="Times New Roman"/>
                <w:color w:val="auto"/>
              </w:rPr>
              <w:t>由表3.1</w:t>
            </w:r>
            <w:r>
              <w:rPr>
                <w:rFonts w:hint="eastAsia" w:eastAsia="宋体" w:cs="Times New Roman"/>
                <w:color w:val="auto"/>
                <w:lang w:val="en-US" w:eastAsia="zh-CN"/>
              </w:rPr>
              <w:t>-1</w:t>
            </w:r>
            <w:r>
              <w:rPr>
                <w:rFonts w:hint="default" w:ascii="Times New Roman" w:hAnsi="Times New Roman" w:cs="Times New Roman"/>
                <w:color w:val="auto"/>
              </w:rPr>
              <w:t>可知：基本污染物</w:t>
            </w: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、CO</w:t>
            </w:r>
            <w:r>
              <w:rPr>
                <w:rFonts w:hint="default" w:ascii="Times New Roman" w:hAnsi="Times New Roman" w:cs="Times New Roman"/>
                <w:color w:val="auto"/>
              </w:rPr>
              <w:t>年评价质量浓度满足环境空气质量标准，</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超标，</w:t>
            </w:r>
            <w:r>
              <w:rPr>
                <w:rFonts w:hint="default" w:ascii="Times New Roman" w:hAnsi="Times New Roman" w:cs="Times New Roman"/>
                <w:color w:val="auto"/>
              </w:rPr>
              <w:t>区域城市环境空气质量</w:t>
            </w:r>
            <w:r>
              <w:rPr>
                <w:rFonts w:hint="default" w:ascii="Times New Roman" w:hAnsi="Times New Roman" w:cs="Times New Roman"/>
                <w:color w:val="auto"/>
                <w:lang w:eastAsia="zh-CN"/>
              </w:rPr>
              <w:t>不</w:t>
            </w:r>
            <w:r>
              <w:rPr>
                <w:rFonts w:hint="default" w:ascii="Times New Roman" w:hAnsi="Times New Roman" w:cs="Times New Roman"/>
                <w:color w:val="auto"/>
              </w:rPr>
              <w:t>达标，本项目位</w:t>
            </w:r>
            <w:r>
              <w:rPr>
                <w:rFonts w:hint="default"/>
                <w:color w:val="auto"/>
              </w:rPr>
              <w:t>于</w:t>
            </w:r>
            <w:r>
              <w:rPr>
                <w:rFonts w:hint="default"/>
                <w:color w:val="auto"/>
                <w:lang w:eastAsia="zh-CN"/>
              </w:rPr>
              <w:t>不</w:t>
            </w:r>
            <w:r>
              <w:rPr>
                <w:rFonts w:hint="default"/>
                <w:color w:val="auto"/>
              </w:rPr>
              <w:t>达标区。</w:t>
            </w:r>
          </w:p>
          <w:p w14:paraId="4A2F717D">
            <w:pPr>
              <w:bidi w:val="0"/>
              <w:rPr>
                <w:rFonts w:hint="eastAsia" w:eastAsia="宋体"/>
                <w:color w:val="auto"/>
                <w:lang w:eastAsia="zh-CN"/>
              </w:rPr>
            </w:pPr>
            <w:r>
              <w:rPr>
                <w:color w:val="auto"/>
              </w:rPr>
              <w:t>根据</w:t>
            </w:r>
            <w:r>
              <w:rPr>
                <w:color w:val="auto"/>
                <w:spacing w:val="-1"/>
              </w:rPr>
              <w:t>《涪陵区环境空气质量限期达标规划（</w:t>
            </w:r>
            <w:r>
              <w:rPr>
                <w:rFonts w:ascii="Times New Roman" w:hAnsi="Times New Roman" w:eastAsia="Times New Roman" w:cs="Times New Roman"/>
                <w:color w:val="auto"/>
                <w:spacing w:val="-1"/>
              </w:rPr>
              <w:t>2018-2025</w:t>
            </w:r>
            <w:r>
              <w:rPr>
                <w:color w:val="auto"/>
                <w:spacing w:val="-1"/>
              </w:rPr>
              <w:t>）》</w:t>
            </w:r>
            <w:r>
              <w:rPr>
                <w:rFonts w:hint="eastAsia" w:eastAsia="宋体"/>
                <w:color w:val="auto"/>
                <w:spacing w:val="-1"/>
                <w:lang w:eastAsia="zh-CN"/>
              </w:rPr>
              <w:t>，</w:t>
            </w:r>
            <w:r>
              <w:rPr>
                <w:color w:val="auto"/>
              </w:rPr>
              <w:t>涪陵区将通过火电机组减排、燃煤锅炉企业清洁化改造、淘汰燃煤锅炉、企业环保搬迁、砖瓦企业和水泥企业错峰生产、交通源减排、农业源减排等措施，至2025年，减排细颗粒物（PM</w:t>
            </w:r>
            <w:r>
              <w:rPr>
                <w:rFonts w:hint="eastAsia" w:eastAsia="宋体"/>
                <w:color w:val="auto"/>
                <w:vertAlign w:val="subscript"/>
                <w:lang w:val="en-US" w:eastAsia="zh-CN"/>
              </w:rPr>
              <w:t>2.5</w:t>
            </w:r>
            <w:r>
              <w:rPr>
                <w:color w:val="auto"/>
              </w:rPr>
              <w:t>）为 68.94t/a</w:t>
            </w:r>
            <w:r>
              <w:rPr>
                <w:rFonts w:hint="eastAsia" w:eastAsia="宋体"/>
                <w:color w:val="auto"/>
                <w:lang w:eastAsia="zh-CN"/>
              </w:rPr>
              <w:t>，</w:t>
            </w:r>
            <w:r>
              <w:rPr>
                <w:color w:val="auto"/>
              </w:rPr>
              <w:t>全区环境空气质量稳定满足《环境空气质量标准 》(GB3095-2012)二级标准。</w:t>
            </w:r>
          </w:p>
          <w:p w14:paraId="2DFC5A4F">
            <w:pPr>
              <w:pStyle w:val="23"/>
              <w:spacing w:line="360" w:lineRule="auto"/>
              <w:ind w:firstLine="480" w:firstLineChars="200"/>
              <w:jc w:val="both"/>
              <w:rPr>
                <w:snapToGrid w:val="0"/>
                <w:color w:val="auto"/>
                <w:kern w:val="0"/>
                <w:sz w:val="24"/>
              </w:rPr>
            </w:pPr>
            <w:r>
              <w:rPr>
                <w:rFonts w:ascii="Times New Roman" w:cs="Times New Roman"/>
                <w:color w:val="auto"/>
              </w:rPr>
              <w:t>（2）</w:t>
            </w:r>
            <w:r>
              <w:rPr>
                <w:rFonts w:hint="eastAsia" w:ascii="Times New Roman" w:cs="Times New Roman"/>
                <w:color w:val="auto"/>
              </w:rPr>
              <w:t>特征污染物环境质量现状评价</w:t>
            </w:r>
          </w:p>
          <w:p w14:paraId="6411104B">
            <w:pPr>
              <w:tabs>
                <w:tab w:val="left" w:pos="7380"/>
              </w:tabs>
              <w:adjustRightInd w:val="0"/>
              <w:snapToGrid w:val="0"/>
              <w:spacing w:line="360" w:lineRule="auto"/>
              <w:ind w:firstLine="480" w:firstLineChars="200"/>
              <w:rPr>
                <w:rFonts w:hint="default" w:eastAsia="宋体"/>
                <w:color w:val="auto"/>
                <w:sz w:val="24"/>
                <w:lang w:val="en-US" w:eastAsia="zh-CN"/>
              </w:rPr>
            </w:pPr>
            <w:r>
              <w:rPr>
                <w:rFonts w:hint="eastAsia" w:eastAsia="宋体"/>
                <w:color w:val="auto"/>
                <w:sz w:val="24"/>
                <w:lang w:eastAsia="zh-CN"/>
              </w:rPr>
              <w:t>根据</w:t>
            </w:r>
            <w:r>
              <w:rPr>
                <w:rFonts w:hint="eastAsia" w:ascii="宋体" w:hAnsi="宋体" w:eastAsia="宋体" w:cs="宋体"/>
                <w:color w:val="auto"/>
                <w:kern w:val="0"/>
                <w:sz w:val="24"/>
                <w:szCs w:val="24"/>
                <w:highlight w:val="none"/>
                <w:lang w:val="en-US" w:eastAsia="zh-CN" w:bidi="ar"/>
              </w:rPr>
              <w:t>《</w:t>
            </w:r>
            <w:r>
              <w:rPr>
                <w:rFonts w:hint="eastAsia"/>
                <w:color w:val="auto"/>
                <w:highlight w:val="none"/>
              </w:rPr>
              <w:t>重庆</w:t>
            </w:r>
            <w:r>
              <w:rPr>
                <w:rFonts w:hint="eastAsia"/>
                <w:color w:val="auto"/>
                <w:highlight w:val="none"/>
                <w:lang w:eastAsia="zh-CN"/>
              </w:rPr>
              <w:t>开元监测有限公司</w:t>
            </w:r>
            <w:r>
              <w:rPr>
                <w:rFonts w:hint="eastAsia" w:eastAsia="宋体"/>
                <w:color w:val="auto"/>
                <w:highlight w:val="none"/>
                <w:lang w:eastAsia="zh-CN"/>
              </w:rPr>
              <w:t>检测报告</w:t>
            </w:r>
            <w:r>
              <w:rPr>
                <w:rFonts w:hint="eastAsia" w:eastAsia="宋体"/>
                <w:color w:val="auto"/>
                <w:sz w:val="24"/>
                <w:highlight w:val="none"/>
                <w:lang w:eastAsia="zh-CN"/>
              </w:rPr>
              <w:t>》</w:t>
            </w:r>
            <w:r>
              <w:rPr>
                <w:rFonts w:hint="eastAsia"/>
                <w:color w:val="auto"/>
                <w:highlight w:val="none"/>
              </w:rPr>
              <w:t>（</w:t>
            </w:r>
            <w:r>
              <w:rPr>
                <w:rFonts w:hint="eastAsia"/>
                <w:color w:val="auto"/>
                <w:highlight w:val="none"/>
                <w:lang w:eastAsia="zh-CN"/>
              </w:rPr>
              <w:t>报告编号：</w:t>
            </w:r>
            <w:r>
              <w:rPr>
                <w:rFonts w:hint="eastAsia"/>
                <w:color w:val="auto"/>
                <w:highlight w:val="none"/>
                <w:lang w:val="en-US" w:eastAsia="zh-CN"/>
              </w:rPr>
              <w:t>20240348</w:t>
            </w:r>
            <w:r>
              <w:rPr>
                <w:rFonts w:hint="eastAsia"/>
                <w:color w:val="auto"/>
                <w:highlight w:val="none"/>
              </w:rPr>
              <w:t>）</w:t>
            </w:r>
            <w:r>
              <w:rPr>
                <w:rFonts w:hint="eastAsia" w:eastAsia="宋体"/>
                <w:color w:val="auto"/>
                <w:highlight w:val="none"/>
                <w:lang w:eastAsia="zh-CN"/>
              </w:rPr>
              <w:t>，</w:t>
            </w:r>
            <w:r>
              <w:rPr>
                <w:rFonts w:hint="eastAsia" w:eastAsia="宋体"/>
                <w:color w:val="auto"/>
                <w:sz w:val="24"/>
                <w:lang w:val="en-US" w:eastAsia="zh-CN"/>
              </w:rPr>
              <w:t>监测点E1设置在项目厂区西侧居民处，监测时间为</w:t>
            </w:r>
            <w:r>
              <w:rPr>
                <w:color w:val="auto"/>
                <w:spacing w:val="-55"/>
              </w:rPr>
              <w:t xml:space="preserve"> </w:t>
            </w:r>
            <w:r>
              <w:rPr>
                <w:rFonts w:ascii="Times New Roman" w:hAnsi="Times New Roman" w:eastAsia="Times New Roman" w:cs="Times New Roman"/>
                <w:color w:val="auto"/>
                <w:spacing w:val="-7"/>
              </w:rPr>
              <w:t>202</w:t>
            </w:r>
            <w:r>
              <w:rPr>
                <w:rFonts w:hint="eastAsia" w:ascii="Times New Roman" w:hAnsi="Times New Roman" w:eastAsia="宋体" w:cs="Times New Roman"/>
                <w:color w:val="auto"/>
                <w:spacing w:val="-7"/>
                <w:lang w:val="en-US" w:eastAsia="zh-CN"/>
              </w:rPr>
              <w:t>4</w:t>
            </w:r>
            <w:r>
              <w:rPr>
                <w:color w:val="auto"/>
                <w:spacing w:val="-7"/>
              </w:rPr>
              <w:t>年</w:t>
            </w:r>
            <w:r>
              <w:rPr>
                <w:rFonts w:hint="eastAsia" w:eastAsia="宋体"/>
                <w:color w:val="auto"/>
                <w:spacing w:val="-32"/>
                <w:lang w:val="en-US" w:eastAsia="zh-CN"/>
              </w:rPr>
              <w:t>11</w:t>
            </w:r>
            <w:r>
              <w:rPr>
                <w:color w:val="auto"/>
                <w:spacing w:val="-7"/>
              </w:rPr>
              <w:t>月</w:t>
            </w:r>
            <w:r>
              <w:rPr>
                <w:color w:val="auto"/>
                <w:spacing w:val="-32"/>
              </w:rPr>
              <w:t xml:space="preserve"> </w:t>
            </w:r>
            <w:r>
              <w:rPr>
                <w:rFonts w:hint="eastAsia" w:ascii="Times New Roman" w:hAnsi="Times New Roman" w:eastAsia="宋体" w:cs="Times New Roman"/>
                <w:color w:val="auto"/>
                <w:spacing w:val="-7"/>
                <w:lang w:val="en-US" w:eastAsia="zh-CN"/>
              </w:rPr>
              <w:t>13</w:t>
            </w:r>
            <w:r>
              <w:rPr>
                <w:color w:val="auto"/>
                <w:spacing w:val="-7"/>
              </w:rPr>
              <w:t>日</w:t>
            </w:r>
            <w:r>
              <w:rPr>
                <w:rFonts w:ascii="Times New Roman" w:hAnsi="Times New Roman" w:eastAsia="Times New Roman" w:cs="Times New Roman"/>
                <w:color w:val="auto"/>
                <w:spacing w:val="-7"/>
              </w:rPr>
              <w:t>~</w:t>
            </w:r>
            <w:r>
              <w:rPr>
                <w:rFonts w:ascii="Times New Roman" w:hAnsi="Times New Roman" w:eastAsia="Times New Roman" w:cs="Times New Roman"/>
                <w:color w:val="auto"/>
                <w:spacing w:val="-35"/>
              </w:rPr>
              <w:t xml:space="preserve"> </w:t>
            </w:r>
            <w:r>
              <w:rPr>
                <w:rFonts w:hint="eastAsia" w:ascii="Times New Roman" w:hAnsi="Times New Roman" w:eastAsia="宋体" w:cs="Times New Roman"/>
                <w:color w:val="auto"/>
                <w:spacing w:val="-7"/>
                <w:lang w:val="en-US" w:eastAsia="zh-CN"/>
              </w:rPr>
              <w:t>11</w:t>
            </w:r>
            <w:r>
              <w:rPr>
                <w:color w:val="auto"/>
                <w:spacing w:val="-7"/>
              </w:rPr>
              <w:t>月</w:t>
            </w:r>
            <w:r>
              <w:rPr>
                <w:rFonts w:hint="eastAsia" w:eastAsia="宋体"/>
                <w:color w:val="auto"/>
                <w:spacing w:val="-55"/>
                <w:lang w:val="en-US" w:eastAsia="zh-CN"/>
              </w:rPr>
              <w:t>15</w:t>
            </w:r>
            <w:r>
              <w:rPr>
                <w:color w:val="auto"/>
                <w:spacing w:val="-7"/>
              </w:rPr>
              <w:t>日</w:t>
            </w:r>
            <w:r>
              <w:rPr>
                <w:rFonts w:hint="eastAsia" w:eastAsia="宋体"/>
                <w:color w:val="auto"/>
                <w:sz w:val="24"/>
                <w:lang w:val="en-US" w:eastAsia="zh-CN"/>
              </w:rPr>
              <w:t>。</w:t>
            </w:r>
          </w:p>
          <w:p w14:paraId="7C6DF1DD">
            <w:pPr>
              <w:tabs>
                <w:tab w:val="left" w:pos="7380"/>
              </w:tabs>
              <w:adjustRightInd w:val="0"/>
              <w:snapToGrid w:val="0"/>
              <w:spacing w:line="360" w:lineRule="auto"/>
              <w:ind w:firstLine="480" w:firstLineChars="200"/>
              <w:rPr>
                <w:color w:val="auto"/>
                <w:sz w:val="24"/>
              </w:rPr>
            </w:pPr>
            <w:r>
              <w:rPr>
                <w:color w:val="auto"/>
                <w:sz w:val="24"/>
              </w:rPr>
              <w:t>①监测资料概况</w:t>
            </w:r>
          </w:p>
          <w:p w14:paraId="0EBA0463">
            <w:pPr>
              <w:adjustRightInd w:val="0"/>
              <w:snapToGrid w:val="0"/>
              <w:spacing w:line="360" w:lineRule="auto"/>
              <w:ind w:firstLine="480" w:firstLineChars="200"/>
              <w:rPr>
                <w:color w:val="auto"/>
                <w:sz w:val="24"/>
              </w:rPr>
            </w:pPr>
            <w:r>
              <w:rPr>
                <w:color w:val="auto"/>
                <w:sz w:val="24"/>
              </w:rPr>
              <w:t>监测点位：</w:t>
            </w:r>
            <w:r>
              <w:rPr>
                <w:rFonts w:hint="eastAsia" w:eastAsia="宋体"/>
                <w:color w:val="auto"/>
                <w:sz w:val="24"/>
                <w:lang w:val="en-US" w:eastAsia="zh-CN"/>
              </w:rPr>
              <w:t>项目厂区西侧居民处</w:t>
            </w:r>
            <w:r>
              <w:rPr>
                <w:color w:val="auto"/>
                <w:sz w:val="24"/>
              </w:rPr>
              <w:t>；</w:t>
            </w:r>
          </w:p>
          <w:p w14:paraId="333DAC23">
            <w:pPr>
              <w:adjustRightInd w:val="0"/>
              <w:snapToGrid w:val="0"/>
              <w:spacing w:line="360" w:lineRule="auto"/>
              <w:ind w:firstLine="480" w:firstLineChars="200"/>
              <w:rPr>
                <w:color w:val="auto"/>
                <w:sz w:val="24"/>
              </w:rPr>
            </w:pPr>
            <w:r>
              <w:rPr>
                <w:color w:val="auto"/>
                <w:sz w:val="24"/>
              </w:rPr>
              <w:t>监测因子：非甲烷总烃；</w:t>
            </w:r>
          </w:p>
          <w:p w14:paraId="62AD9FFA">
            <w:pPr>
              <w:adjustRightInd w:val="0"/>
              <w:snapToGrid w:val="0"/>
              <w:spacing w:line="360" w:lineRule="auto"/>
              <w:ind w:firstLine="480" w:firstLineChars="200"/>
              <w:rPr>
                <w:color w:val="auto"/>
                <w:sz w:val="24"/>
              </w:rPr>
            </w:pPr>
            <w:r>
              <w:rPr>
                <w:color w:val="auto"/>
                <w:sz w:val="24"/>
              </w:rPr>
              <w:t>监测频率：连续监测</w:t>
            </w:r>
            <w:r>
              <w:rPr>
                <w:rFonts w:hint="eastAsia" w:eastAsia="宋体"/>
                <w:color w:val="auto"/>
                <w:sz w:val="24"/>
                <w:lang w:val="en-US" w:eastAsia="zh-CN"/>
              </w:rPr>
              <w:t>3</w:t>
            </w:r>
            <w:r>
              <w:rPr>
                <w:color w:val="auto"/>
                <w:sz w:val="24"/>
              </w:rPr>
              <w:t>天；</w:t>
            </w:r>
          </w:p>
          <w:p w14:paraId="63A04AE9">
            <w:pPr>
              <w:adjustRightInd w:val="0"/>
              <w:snapToGrid w:val="0"/>
              <w:spacing w:line="360" w:lineRule="auto"/>
              <w:ind w:firstLine="480" w:firstLineChars="200"/>
              <w:rPr>
                <w:color w:val="auto"/>
                <w:sz w:val="24"/>
              </w:rPr>
            </w:pPr>
            <w:r>
              <w:rPr>
                <w:color w:val="auto"/>
                <w:sz w:val="24"/>
              </w:rPr>
              <w:t>监测时间：</w:t>
            </w:r>
            <w:r>
              <w:rPr>
                <w:rFonts w:hint="eastAsia" w:eastAsia="宋体"/>
                <w:color w:val="auto"/>
                <w:sz w:val="24"/>
                <w:lang w:val="en-US" w:eastAsia="zh-CN"/>
              </w:rPr>
              <w:t>为</w:t>
            </w:r>
            <w:r>
              <w:rPr>
                <w:color w:val="auto"/>
                <w:spacing w:val="-55"/>
              </w:rPr>
              <w:t xml:space="preserve"> </w:t>
            </w:r>
            <w:r>
              <w:rPr>
                <w:rFonts w:ascii="Times New Roman" w:hAnsi="Times New Roman" w:eastAsia="Times New Roman" w:cs="Times New Roman"/>
                <w:color w:val="auto"/>
                <w:spacing w:val="-7"/>
              </w:rPr>
              <w:t>202</w:t>
            </w:r>
            <w:r>
              <w:rPr>
                <w:rFonts w:hint="eastAsia" w:ascii="Times New Roman" w:hAnsi="Times New Roman" w:eastAsia="宋体" w:cs="Times New Roman"/>
                <w:color w:val="auto"/>
                <w:spacing w:val="-7"/>
                <w:lang w:val="en-US" w:eastAsia="zh-CN"/>
              </w:rPr>
              <w:t>4</w:t>
            </w:r>
            <w:r>
              <w:rPr>
                <w:color w:val="auto"/>
                <w:spacing w:val="-7"/>
              </w:rPr>
              <w:t>年</w:t>
            </w:r>
            <w:r>
              <w:rPr>
                <w:rFonts w:hint="eastAsia" w:eastAsia="宋体"/>
                <w:color w:val="auto"/>
                <w:spacing w:val="-32"/>
                <w:lang w:val="en-US" w:eastAsia="zh-CN"/>
              </w:rPr>
              <w:t>11</w:t>
            </w:r>
            <w:r>
              <w:rPr>
                <w:color w:val="auto"/>
                <w:spacing w:val="-7"/>
              </w:rPr>
              <w:t>月</w:t>
            </w:r>
            <w:r>
              <w:rPr>
                <w:color w:val="auto"/>
                <w:spacing w:val="-32"/>
              </w:rPr>
              <w:t xml:space="preserve"> </w:t>
            </w:r>
            <w:r>
              <w:rPr>
                <w:rFonts w:hint="eastAsia" w:ascii="Times New Roman" w:hAnsi="Times New Roman" w:eastAsia="宋体" w:cs="Times New Roman"/>
                <w:color w:val="auto"/>
                <w:spacing w:val="-7"/>
                <w:lang w:val="en-US" w:eastAsia="zh-CN"/>
              </w:rPr>
              <w:t>13</w:t>
            </w:r>
            <w:r>
              <w:rPr>
                <w:color w:val="auto"/>
                <w:spacing w:val="-7"/>
              </w:rPr>
              <w:t>日</w:t>
            </w:r>
            <w:r>
              <w:rPr>
                <w:rFonts w:ascii="Times New Roman" w:hAnsi="Times New Roman" w:eastAsia="Times New Roman" w:cs="Times New Roman"/>
                <w:color w:val="auto"/>
                <w:spacing w:val="-7"/>
              </w:rPr>
              <w:t>~</w:t>
            </w:r>
            <w:r>
              <w:rPr>
                <w:rFonts w:ascii="Times New Roman" w:hAnsi="Times New Roman" w:eastAsia="Times New Roman" w:cs="Times New Roman"/>
                <w:color w:val="auto"/>
                <w:spacing w:val="-35"/>
              </w:rPr>
              <w:t xml:space="preserve"> </w:t>
            </w:r>
            <w:r>
              <w:rPr>
                <w:rFonts w:hint="eastAsia" w:ascii="Times New Roman" w:hAnsi="Times New Roman" w:eastAsia="宋体" w:cs="Times New Roman"/>
                <w:color w:val="auto"/>
                <w:spacing w:val="-7"/>
                <w:lang w:val="en-US" w:eastAsia="zh-CN"/>
              </w:rPr>
              <w:t>11</w:t>
            </w:r>
            <w:r>
              <w:rPr>
                <w:color w:val="auto"/>
                <w:spacing w:val="-7"/>
              </w:rPr>
              <w:t>月</w:t>
            </w:r>
            <w:r>
              <w:rPr>
                <w:rFonts w:hint="eastAsia" w:eastAsia="宋体"/>
                <w:color w:val="auto"/>
                <w:spacing w:val="-7"/>
                <w:lang w:val="en-US" w:eastAsia="zh-CN"/>
              </w:rPr>
              <w:t>15</w:t>
            </w:r>
            <w:r>
              <w:rPr>
                <w:color w:val="auto"/>
                <w:spacing w:val="-7"/>
              </w:rPr>
              <w:t>日</w:t>
            </w:r>
            <w:r>
              <w:rPr>
                <w:color w:val="auto"/>
                <w:sz w:val="24"/>
              </w:rPr>
              <w:t>；</w:t>
            </w:r>
          </w:p>
          <w:p w14:paraId="4B897E9D">
            <w:pPr>
              <w:adjustRightInd w:val="0"/>
              <w:snapToGrid w:val="0"/>
              <w:spacing w:line="360" w:lineRule="auto"/>
              <w:ind w:firstLine="480" w:firstLineChars="200"/>
              <w:rPr>
                <w:color w:val="auto"/>
                <w:sz w:val="24"/>
              </w:rPr>
            </w:pPr>
            <w:r>
              <w:rPr>
                <w:color w:val="auto"/>
                <w:sz w:val="24"/>
              </w:rPr>
              <w:t>②现状评价方法与标准</w:t>
            </w:r>
          </w:p>
          <w:p w14:paraId="3E503787">
            <w:pPr>
              <w:adjustRightInd w:val="0"/>
              <w:snapToGrid w:val="0"/>
              <w:spacing w:line="360" w:lineRule="auto"/>
              <w:ind w:firstLine="480" w:firstLineChars="200"/>
              <w:rPr>
                <w:color w:val="auto"/>
                <w:sz w:val="24"/>
              </w:rPr>
            </w:pPr>
            <w:r>
              <w:rPr>
                <w:color w:val="auto"/>
                <w:sz w:val="24"/>
              </w:rPr>
              <w:t>评价方法：采用最大浓度值占相应标准浓度限值的百分比（即占标率）</w:t>
            </w:r>
          </w:p>
          <w:p w14:paraId="230BAF9B">
            <w:pPr>
              <w:adjustRightInd w:val="0"/>
              <w:snapToGrid w:val="0"/>
              <w:spacing w:line="360" w:lineRule="auto"/>
              <w:ind w:firstLine="480" w:firstLineChars="200"/>
              <w:rPr>
                <w:color w:val="auto"/>
                <w:sz w:val="24"/>
              </w:rPr>
            </w:pPr>
            <w:r>
              <w:rPr>
                <w:color w:val="auto"/>
                <w:sz w:val="24"/>
              </w:rPr>
              <w:t>评价标准：非甲烷总烃参照执行河北省地方标准《环境空气质量</w:t>
            </w:r>
            <w:r>
              <w:rPr>
                <w:rFonts w:hint="eastAsia"/>
                <w:color w:val="auto"/>
                <w:sz w:val="24"/>
              </w:rPr>
              <w:t>—</w:t>
            </w:r>
            <w:r>
              <w:rPr>
                <w:color w:val="auto"/>
                <w:sz w:val="24"/>
              </w:rPr>
              <w:t>非甲烷总烃限值》（DB13/1577-2012）。</w:t>
            </w:r>
          </w:p>
          <w:p w14:paraId="05036199">
            <w:pPr>
              <w:adjustRightInd w:val="0"/>
              <w:snapToGrid w:val="0"/>
              <w:spacing w:line="360" w:lineRule="auto"/>
              <w:ind w:firstLine="480" w:firstLineChars="200"/>
              <w:rPr>
                <w:color w:val="auto"/>
                <w:sz w:val="24"/>
              </w:rPr>
            </w:pPr>
            <w:r>
              <w:rPr>
                <w:color w:val="auto"/>
                <w:sz w:val="24"/>
              </w:rPr>
              <w:t>③监测及评价结果</w:t>
            </w:r>
          </w:p>
          <w:p w14:paraId="3853FC4E">
            <w:pPr>
              <w:pStyle w:val="3"/>
              <w:bidi w:val="0"/>
              <w:rPr>
                <w:rFonts w:hint="default" w:ascii="Times New Roman" w:hAnsi="Times New Roman" w:cs="Times New Roman"/>
                <w:color w:val="auto"/>
              </w:rPr>
            </w:pPr>
            <w:r>
              <w:rPr>
                <w:rFonts w:hint="default" w:ascii="Times New Roman" w:hAnsi="Times New Roman" w:cs="Times New Roman"/>
                <w:color w:val="auto"/>
              </w:rPr>
              <w:t>表3.</w:t>
            </w:r>
            <w:r>
              <w:rPr>
                <w:rFonts w:hint="default" w:ascii="Times New Roman" w:hAnsi="Times New Roman" w:cs="Times New Roman"/>
                <w:color w:val="auto"/>
                <w:lang w:val="en-US" w:eastAsia="zh-CN"/>
              </w:rPr>
              <w:t>1-</w:t>
            </w:r>
            <w:r>
              <w:rPr>
                <w:rFonts w:hint="default" w:ascii="Times New Roman" w:hAnsi="Times New Roman" w:cs="Times New Roman"/>
                <w:color w:val="auto"/>
              </w:rPr>
              <w:t>2 环境空气质量现状监测及评价结果表</w:t>
            </w:r>
          </w:p>
          <w:tbl>
            <w:tblPr>
              <w:tblStyle w:val="17"/>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033"/>
              <w:gridCol w:w="1375"/>
              <w:gridCol w:w="1823"/>
              <w:gridCol w:w="1196"/>
              <w:gridCol w:w="1681"/>
              <w:gridCol w:w="863"/>
            </w:tblGrid>
            <w:tr w14:paraId="3D5F0B6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648" w:type="pct"/>
                  <w:tcBorders>
                    <w:tl2br w:val="nil"/>
                    <w:tr2bl w:val="nil"/>
                  </w:tcBorders>
                  <w:vAlign w:val="center"/>
                </w:tcPr>
                <w:p w14:paraId="29951D93">
                  <w:pPr>
                    <w:pStyle w:val="3"/>
                    <w:bidi w:val="0"/>
                    <w:rPr>
                      <w:rFonts w:hint="default" w:ascii="Times New Roman" w:hAnsi="Times New Roman" w:cs="Times New Roman"/>
                      <w:color w:val="auto"/>
                    </w:rPr>
                  </w:pPr>
                  <w:r>
                    <w:rPr>
                      <w:rFonts w:hint="default" w:ascii="Times New Roman" w:hAnsi="Times New Roman" w:cs="Times New Roman"/>
                      <w:color w:val="auto"/>
                    </w:rPr>
                    <w:t>监测点</w:t>
                  </w:r>
                </w:p>
              </w:tc>
              <w:tc>
                <w:tcPr>
                  <w:tcW w:w="862" w:type="pct"/>
                  <w:tcBorders>
                    <w:tl2br w:val="nil"/>
                    <w:tr2bl w:val="nil"/>
                  </w:tcBorders>
                  <w:vAlign w:val="center"/>
                </w:tcPr>
                <w:p w14:paraId="060F61F7">
                  <w:pPr>
                    <w:pStyle w:val="3"/>
                    <w:bidi w:val="0"/>
                    <w:rPr>
                      <w:rFonts w:hint="default" w:ascii="Times New Roman" w:hAnsi="Times New Roman" w:cs="Times New Roman"/>
                      <w:color w:val="auto"/>
                    </w:rPr>
                  </w:pPr>
                  <w:r>
                    <w:rPr>
                      <w:rFonts w:hint="default" w:ascii="Times New Roman" w:hAnsi="Times New Roman" w:cs="Times New Roman"/>
                      <w:color w:val="auto"/>
                    </w:rPr>
                    <w:t>监测项目</w:t>
                  </w:r>
                </w:p>
              </w:tc>
              <w:tc>
                <w:tcPr>
                  <w:tcW w:w="1143" w:type="pct"/>
                  <w:tcBorders>
                    <w:tl2br w:val="nil"/>
                    <w:tr2bl w:val="nil"/>
                  </w:tcBorders>
                  <w:vAlign w:val="center"/>
                </w:tcPr>
                <w:p w14:paraId="295522AD">
                  <w:pPr>
                    <w:pStyle w:val="3"/>
                    <w:bidi w:val="0"/>
                    <w:rPr>
                      <w:rFonts w:hint="default" w:ascii="Times New Roman" w:hAnsi="Times New Roman" w:cs="Times New Roman"/>
                      <w:color w:val="auto"/>
                    </w:rPr>
                  </w:pPr>
                  <w:r>
                    <w:rPr>
                      <w:rFonts w:hint="default" w:ascii="Times New Roman" w:hAnsi="Times New Roman" w:cs="Times New Roman"/>
                      <w:color w:val="auto"/>
                    </w:rPr>
                    <w:t>日均值（</w:t>
                  </w:r>
                  <w:r>
                    <w:rPr>
                      <w:rFonts w:hint="default" w:ascii="Times New Roman" w:hAnsi="Times New Roman" w:cs="Times New Roman"/>
                      <w:color w:val="auto"/>
                      <w:lang w:val="en-GB"/>
                    </w:rPr>
                    <w:t>mg/m</w:t>
                  </w:r>
                  <w:r>
                    <w:rPr>
                      <w:rFonts w:hint="default" w:ascii="Times New Roman" w:hAnsi="Times New Roman" w:cs="Times New Roman"/>
                      <w:color w:val="auto"/>
                      <w:vertAlign w:val="superscript"/>
                      <w:lang w:val="en-GB"/>
                    </w:rPr>
                    <w:t>3</w:t>
                  </w:r>
                  <w:r>
                    <w:rPr>
                      <w:rFonts w:hint="default" w:ascii="Times New Roman" w:hAnsi="Times New Roman" w:cs="Times New Roman"/>
                      <w:color w:val="auto"/>
                    </w:rPr>
                    <w:t>）</w:t>
                  </w:r>
                </w:p>
              </w:tc>
              <w:tc>
                <w:tcPr>
                  <w:tcW w:w="750" w:type="pct"/>
                  <w:tcBorders>
                    <w:tl2br w:val="nil"/>
                    <w:tr2bl w:val="nil"/>
                  </w:tcBorders>
                </w:tcPr>
                <w:p w14:paraId="739A4CBE">
                  <w:pPr>
                    <w:pStyle w:val="3"/>
                    <w:bidi w:val="0"/>
                    <w:rPr>
                      <w:rFonts w:hint="default" w:ascii="Times New Roman" w:hAnsi="Times New Roman" w:cs="Times New Roman"/>
                      <w:color w:val="auto"/>
                    </w:rPr>
                  </w:pPr>
                  <w:r>
                    <w:rPr>
                      <w:rFonts w:hint="default" w:ascii="Times New Roman" w:hAnsi="Times New Roman" w:cs="Times New Roman"/>
                      <w:color w:val="auto"/>
                    </w:rPr>
                    <w:t>标准值</w:t>
                  </w:r>
                </w:p>
                <w:p w14:paraId="446F97D1">
                  <w:pPr>
                    <w:pStyle w:val="3"/>
                    <w:bidi w:val="0"/>
                    <w:rPr>
                      <w:rFonts w:hint="default" w:ascii="Times New Roman" w:hAnsi="Times New Roman" w:cs="Times New Roman"/>
                      <w:color w:val="auto"/>
                    </w:rPr>
                  </w:pPr>
                  <w:r>
                    <w:rPr>
                      <w:rFonts w:hint="default" w:ascii="Times New Roman" w:hAnsi="Times New Roman" w:cs="Times New Roman"/>
                      <w:color w:val="auto"/>
                    </w:rPr>
                    <w:t>（mg/m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c>
              <w:tc>
                <w:tcPr>
                  <w:tcW w:w="1054" w:type="pct"/>
                  <w:tcBorders>
                    <w:tl2br w:val="nil"/>
                    <w:tr2bl w:val="nil"/>
                  </w:tcBorders>
                  <w:vAlign w:val="center"/>
                </w:tcPr>
                <w:p w14:paraId="61A74F2B">
                  <w:pPr>
                    <w:pStyle w:val="3"/>
                    <w:bidi w:val="0"/>
                    <w:rPr>
                      <w:rFonts w:hint="default" w:ascii="Times New Roman" w:hAnsi="Times New Roman" w:cs="Times New Roman"/>
                      <w:color w:val="auto"/>
                    </w:rPr>
                  </w:pPr>
                  <w:r>
                    <w:rPr>
                      <w:rFonts w:hint="default" w:ascii="Times New Roman" w:hAnsi="Times New Roman" w:cs="Times New Roman"/>
                      <w:color w:val="auto"/>
                    </w:rPr>
                    <w:t>最大浓度占标率（%）</w:t>
                  </w:r>
                </w:p>
              </w:tc>
              <w:tc>
                <w:tcPr>
                  <w:tcW w:w="541" w:type="pct"/>
                  <w:tcBorders>
                    <w:tl2br w:val="nil"/>
                    <w:tr2bl w:val="nil"/>
                  </w:tcBorders>
                  <w:vAlign w:val="center"/>
                </w:tcPr>
                <w:p w14:paraId="7FDE7A4E">
                  <w:pPr>
                    <w:pStyle w:val="3"/>
                    <w:bidi w:val="0"/>
                    <w:rPr>
                      <w:rFonts w:hint="default" w:ascii="Times New Roman" w:hAnsi="Times New Roman" w:cs="Times New Roman"/>
                      <w:color w:val="auto"/>
                    </w:rPr>
                  </w:pPr>
                  <w:r>
                    <w:rPr>
                      <w:rFonts w:hint="default" w:ascii="Times New Roman" w:hAnsi="Times New Roman" w:cs="Times New Roman"/>
                      <w:color w:val="auto"/>
                    </w:rPr>
                    <w:t>超标率（%）</w:t>
                  </w:r>
                </w:p>
              </w:tc>
            </w:tr>
            <w:tr w14:paraId="1343BF5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48" w:type="pct"/>
                  <w:tcBorders>
                    <w:right w:val="single" w:color="auto" w:sz="4" w:space="0"/>
                    <w:tl2br w:val="nil"/>
                    <w:tr2bl w:val="nil"/>
                  </w:tcBorders>
                  <w:vAlign w:val="center"/>
                </w:tcPr>
                <w:p w14:paraId="51DFF57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E1</w:t>
                  </w:r>
                </w:p>
              </w:tc>
              <w:tc>
                <w:tcPr>
                  <w:tcW w:w="862" w:type="pct"/>
                  <w:tcBorders>
                    <w:left w:val="single" w:color="auto" w:sz="4" w:space="0"/>
                    <w:tl2br w:val="nil"/>
                    <w:tr2bl w:val="nil"/>
                  </w:tcBorders>
                  <w:vAlign w:val="center"/>
                </w:tcPr>
                <w:p w14:paraId="295A82D3">
                  <w:pPr>
                    <w:pStyle w:val="3"/>
                    <w:bidi w:val="0"/>
                    <w:rPr>
                      <w:rFonts w:hint="default" w:ascii="Times New Roman" w:hAnsi="Times New Roman" w:cs="Times New Roman"/>
                      <w:color w:val="auto"/>
                    </w:rPr>
                  </w:pPr>
                  <w:r>
                    <w:rPr>
                      <w:rFonts w:hint="default" w:ascii="Times New Roman" w:hAnsi="Times New Roman" w:cs="Times New Roman"/>
                      <w:color w:val="auto"/>
                    </w:rPr>
                    <w:t>非甲烷总烃</w:t>
                  </w:r>
                </w:p>
              </w:tc>
              <w:tc>
                <w:tcPr>
                  <w:tcW w:w="1143" w:type="pct"/>
                  <w:tcBorders>
                    <w:tl2br w:val="nil"/>
                    <w:tr2bl w:val="nil"/>
                  </w:tcBorders>
                  <w:vAlign w:val="center"/>
                </w:tcPr>
                <w:p w14:paraId="77390C5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0.30</w:t>
                  </w:r>
                  <w:r>
                    <w:rPr>
                      <w:rFonts w:hint="default" w:ascii="Times New Roman" w:hAnsi="Times New Roman" w:cs="Times New Roman"/>
                      <w:color w:val="auto"/>
                      <w:lang w:val="en-GB"/>
                    </w:rPr>
                    <w:t>～</w:t>
                  </w:r>
                  <w:r>
                    <w:rPr>
                      <w:rFonts w:hint="default" w:ascii="Times New Roman" w:hAnsi="Times New Roman" w:cs="Times New Roman"/>
                      <w:color w:val="auto"/>
                      <w:lang w:val="en-US" w:eastAsia="zh-CN"/>
                    </w:rPr>
                    <w:t>0.79</w:t>
                  </w:r>
                </w:p>
              </w:tc>
              <w:tc>
                <w:tcPr>
                  <w:tcW w:w="750" w:type="pct"/>
                  <w:tcBorders>
                    <w:tl2br w:val="nil"/>
                    <w:tr2bl w:val="nil"/>
                  </w:tcBorders>
                  <w:vAlign w:val="center"/>
                </w:tcPr>
                <w:p w14:paraId="198F423E">
                  <w:pPr>
                    <w:pStyle w:val="3"/>
                    <w:bidi w:val="0"/>
                    <w:rPr>
                      <w:rFonts w:hint="default" w:ascii="Times New Roman" w:hAnsi="Times New Roman" w:cs="Times New Roman"/>
                      <w:color w:val="auto"/>
                    </w:rPr>
                  </w:pPr>
                  <w:r>
                    <w:rPr>
                      <w:rFonts w:hint="default" w:ascii="Times New Roman" w:hAnsi="Times New Roman" w:cs="Times New Roman"/>
                      <w:color w:val="auto"/>
                    </w:rPr>
                    <w:t>2.0</w:t>
                  </w:r>
                </w:p>
              </w:tc>
              <w:tc>
                <w:tcPr>
                  <w:tcW w:w="1054" w:type="pct"/>
                  <w:tcBorders>
                    <w:tl2br w:val="nil"/>
                    <w:tr2bl w:val="nil"/>
                  </w:tcBorders>
                  <w:vAlign w:val="center"/>
                </w:tcPr>
                <w:p w14:paraId="40807CC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39.5</w:t>
                  </w:r>
                </w:p>
              </w:tc>
              <w:tc>
                <w:tcPr>
                  <w:tcW w:w="541" w:type="pct"/>
                  <w:tcBorders>
                    <w:tl2br w:val="nil"/>
                    <w:tr2bl w:val="nil"/>
                  </w:tcBorders>
                  <w:vAlign w:val="center"/>
                </w:tcPr>
                <w:p w14:paraId="509F6CB5">
                  <w:pPr>
                    <w:pStyle w:val="3"/>
                    <w:bidi w:val="0"/>
                    <w:rPr>
                      <w:rFonts w:hint="default" w:ascii="Times New Roman" w:hAnsi="Times New Roman" w:cs="Times New Roman"/>
                      <w:color w:val="auto"/>
                    </w:rPr>
                  </w:pPr>
                  <w:r>
                    <w:rPr>
                      <w:rFonts w:hint="default" w:ascii="Times New Roman" w:hAnsi="Times New Roman" w:cs="Times New Roman"/>
                      <w:color w:val="auto"/>
                    </w:rPr>
                    <w:t>0</w:t>
                  </w:r>
                </w:p>
              </w:tc>
            </w:tr>
          </w:tbl>
          <w:p w14:paraId="3C340339">
            <w:pPr>
              <w:adjustRightInd w:val="0"/>
              <w:snapToGrid w:val="0"/>
              <w:spacing w:line="360" w:lineRule="auto"/>
              <w:ind w:firstLine="470" w:firstLineChars="196"/>
              <w:jc w:val="left"/>
              <w:rPr>
                <w:color w:val="auto"/>
                <w:kern w:val="0"/>
                <w:sz w:val="24"/>
              </w:rPr>
            </w:pPr>
            <w:r>
              <w:rPr>
                <w:color w:val="auto"/>
                <w:kern w:val="0"/>
                <w:sz w:val="24"/>
              </w:rPr>
              <w:t>由表3.</w:t>
            </w:r>
            <w:r>
              <w:rPr>
                <w:rFonts w:hint="eastAsia" w:eastAsia="宋体"/>
                <w:color w:val="auto"/>
                <w:kern w:val="0"/>
                <w:sz w:val="24"/>
                <w:lang w:val="en-US" w:eastAsia="zh-CN"/>
              </w:rPr>
              <w:t>1-</w:t>
            </w:r>
            <w:r>
              <w:rPr>
                <w:color w:val="auto"/>
                <w:kern w:val="0"/>
                <w:sz w:val="24"/>
              </w:rPr>
              <w:t>2可知，监测点非甲烷总烃未出现超标现象，占标率均小100%，满足《环境空气质量非甲烷总烃限值》（DB13/1577-2012）</w:t>
            </w:r>
            <w:r>
              <w:rPr>
                <w:rFonts w:hint="eastAsia"/>
                <w:color w:val="auto"/>
                <w:kern w:val="0"/>
                <w:sz w:val="24"/>
              </w:rPr>
              <w:t>的</w:t>
            </w:r>
            <w:r>
              <w:rPr>
                <w:color w:val="auto"/>
                <w:kern w:val="0"/>
                <w:sz w:val="24"/>
              </w:rPr>
              <w:t>要求。</w:t>
            </w:r>
          </w:p>
          <w:p w14:paraId="1E7F599F">
            <w:pPr>
              <w:adjustRightInd w:val="0"/>
              <w:snapToGrid w:val="0"/>
              <w:spacing w:line="360" w:lineRule="auto"/>
              <w:ind w:left="0" w:leftChars="0" w:firstLine="0" w:firstLineChars="0"/>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2.</w:t>
            </w:r>
            <w:r>
              <w:rPr>
                <w:rFonts w:hint="default" w:ascii="Times New Roman" w:hAnsi="Times New Roman" w:cs="Times New Roman"/>
                <w:b/>
                <w:bCs/>
                <w:color w:val="auto"/>
                <w:sz w:val="24"/>
                <w:szCs w:val="24"/>
              </w:rPr>
              <w:t>地表水环境质量现状</w:t>
            </w:r>
          </w:p>
          <w:p w14:paraId="47737A0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cs="Times New Roman"/>
                <w:color w:val="auto"/>
                <w:sz w:val="24"/>
                <w:szCs w:val="24"/>
              </w:rPr>
              <w:t>本项目废水经</w:t>
            </w:r>
            <w:r>
              <w:rPr>
                <w:rFonts w:hint="eastAsia" w:cs="Times New Roman"/>
                <w:color w:val="auto"/>
                <w:sz w:val="24"/>
                <w:szCs w:val="24"/>
                <w:lang w:eastAsia="zh-CN"/>
              </w:rPr>
              <w:t>龙桥</w:t>
            </w:r>
            <w:r>
              <w:rPr>
                <w:rFonts w:hint="default" w:ascii="Times New Roman" w:hAnsi="Times New Roman" w:cs="Times New Roman"/>
                <w:color w:val="auto"/>
                <w:sz w:val="24"/>
                <w:szCs w:val="24"/>
              </w:rPr>
              <w:t>工业园污水处理厂处理后</w:t>
            </w:r>
            <w:r>
              <w:rPr>
                <w:rFonts w:hint="eastAsia" w:cs="Times New Roman"/>
                <w:color w:val="auto"/>
                <w:sz w:val="24"/>
                <w:szCs w:val="24"/>
                <w:lang w:eastAsia="zh-CN"/>
              </w:rPr>
              <w:t>经冉家沟</w:t>
            </w:r>
            <w:r>
              <w:rPr>
                <w:rFonts w:hint="default" w:ascii="Times New Roman" w:hAnsi="Times New Roman" w:cs="Times New Roman"/>
                <w:color w:val="auto"/>
                <w:sz w:val="24"/>
                <w:szCs w:val="24"/>
              </w:rPr>
              <w:t>最终汇入长江。根据《重庆市人民政府批转重庆市地表水环境功能类别调整方案的通知》（渝府发[2012]4号）以及《重庆市环境保护局关于调整部分地表水域功能类别的通</w:t>
            </w:r>
            <w:r>
              <w:rPr>
                <w:rFonts w:hint="default" w:ascii="Times New Roman" w:hAnsi="Times New Roman" w:eastAsia="宋体" w:cs="Times New Roman"/>
                <w:color w:val="auto"/>
                <w:sz w:val="24"/>
                <w:szCs w:val="24"/>
              </w:rPr>
              <w:t>知》（渝环发[2009]110号），</w:t>
            </w:r>
            <w:r>
              <w:rPr>
                <w:rFonts w:hint="default" w:ascii="Times New Roman" w:hAnsi="Times New Roman" w:eastAsia="宋体" w:cs="Times New Roman"/>
                <w:color w:val="auto"/>
                <w:sz w:val="24"/>
              </w:rPr>
              <w:t>涪陵龙桥工业园区</w:t>
            </w:r>
            <w:r>
              <w:rPr>
                <w:rFonts w:hint="default" w:ascii="Times New Roman" w:hAnsi="Times New Roman" w:eastAsia="宋体" w:cs="Times New Roman"/>
                <w:color w:val="auto"/>
                <w:sz w:val="24"/>
                <w:lang w:eastAsia="zh-CN"/>
              </w:rPr>
              <w:t>位于</w:t>
            </w:r>
            <w:r>
              <w:rPr>
                <w:rFonts w:hint="default" w:ascii="Times New Roman" w:hAnsi="Times New Roman" w:eastAsia="宋体" w:cs="Times New Roman"/>
                <w:color w:val="auto"/>
                <w:sz w:val="24"/>
              </w:rPr>
              <w:t>长江“河凤滩-鸭嘴石”段属于Ⅲ类水域，</w:t>
            </w:r>
            <w:r>
              <w:rPr>
                <w:rFonts w:hint="default" w:ascii="Times New Roman" w:hAnsi="Times New Roman" w:eastAsia="宋体" w:cs="Times New Roman"/>
                <w:color w:val="auto"/>
                <w:sz w:val="24"/>
                <w:szCs w:val="24"/>
              </w:rPr>
              <w:t>水环境质量标准执行《地表水环境质量标准》（GB3838-2002）</w:t>
            </w:r>
            <w:r>
              <w:rPr>
                <w:rFonts w:hint="default" w:ascii="Times New Roman" w:hAnsi="Times New Roman" w:eastAsia="宋体" w:cs="Times New Roman"/>
                <w:color w:val="auto"/>
                <w:sz w:val="24"/>
              </w:rPr>
              <w:t>Ⅲ</w:t>
            </w:r>
            <w:r>
              <w:rPr>
                <w:rFonts w:hint="default" w:ascii="Times New Roman" w:hAnsi="Times New Roman" w:eastAsia="宋体" w:cs="Times New Roman"/>
                <w:color w:val="auto"/>
                <w:sz w:val="24"/>
                <w:szCs w:val="24"/>
              </w:rPr>
              <w:t>类水域标准。</w:t>
            </w:r>
          </w:p>
          <w:p w14:paraId="77489434">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本</w:t>
            </w:r>
            <w:r>
              <w:rPr>
                <w:rFonts w:hint="default" w:ascii="Times New Roman" w:hAnsi="Times New Roman" w:eastAsia="宋体" w:cs="Times New Roman"/>
                <w:b w:val="0"/>
                <w:bCs w:val="0"/>
                <w:color w:val="auto"/>
                <w:sz w:val="24"/>
                <w:szCs w:val="24"/>
              </w:rPr>
              <w:t>项目地表水评价等级为三级B，根据《环境影响评价技术导则地表—水环境》(HJ2.3-2018)，只需进行所在区域地表水体达标情况判定，并优先采用国务院生态环境保护主管部门统一发布的水环境状况信息。根据重庆市</w:t>
            </w:r>
            <w:r>
              <w:rPr>
                <w:rFonts w:hint="default" w:ascii="Times New Roman" w:hAnsi="Times New Roman" w:eastAsia="宋体" w:cs="Times New Roman"/>
                <w:b w:val="0"/>
                <w:bCs w:val="0"/>
                <w:color w:val="auto"/>
                <w:sz w:val="24"/>
                <w:szCs w:val="24"/>
                <w:lang w:eastAsia="zh-CN"/>
              </w:rPr>
              <w:t>涪陵区</w:t>
            </w:r>
            <w:r>
              <w:rPr>
                <w:rFonts w:hint="default" w:ascii="Times New Roman" w:hAnsi="Times New Roman" w:eastAsia="宋体" w:cs="Times New Roman"/>
                <w:b w:val="0"/>
                <w:bCs w:val="0"/>
                <w:color w:val="auto"/>
                <w:sz w:val="24"/>
                <w:szCs w:val="24"/>
              </w:rPr>
              <w:t>生态环境局网上公示的“</w:t>
            </w:r>
            <w:r>
              <w:rPr>
                <w:rFonts w:hint="default" w:ascii="Times New Roman" w:hAnsi="Times New Roman" w:eastAsia="宋体" w:cs="Times New Roman"/>
                <w:b w:val="0"/>
                <w:bCs w:val="0"/>
                <w:i w:val="0"/>
                <w:iCs w:val="0"/>
                <w:caps w:val="0"/>
                <w:color w:val="auto"/>
                <w:spacing w:val="0"/>
                <w:sz w:val="24"/>
                <w:szCs w:val="24"/>
                <w:shd w:val="clear" w:fill="FFFFFF"/>
              </w:rPr>
              <w:t>涪陵区202</w:t>
            </w:r>
            <w:r>
              <w:rPr>
                <w:rFonts w:hint="eastAsia" w:eastAsia="宋体" w:cs="Times New Roman"/>
                <w:b w:val="0"/>
                <w:bCs w:val="0"/>
                <w:i w:val="0"/>
                <w:iCs w:val="0"/>
                <w:caps w:val="0"/>
                <w:color w:val="auto"/>
                <w:spacing w:val="0"/>
                <w:sz w:val="24"/>
                <w:szCs w:val="24"/>
                <w:shd w:val="clear" w:fill="FFFFFF"/>
                <w:lang w:val="en-US" w:eastAsia="zh-CN"/>
              </w:rPr>
              <w:t>4</w:t>
            </w:r>
            <w:r>
              <w:rPr>
                <w:rFonts w:hint="default" w:ascii="Times New Roman" w:hAnsi="Times New Roman" w:eastAsia="宋体" w:cs="Times New Roman"/>
                <w:b w:val="0"/>
                <w:bCs w:val="0"/>
                <w:i w:val="0"/>
                <w:iCs w:val="0"/>
                <w:caps w:val="0"/>
                <w:color w:val="auto"/>
                <w:spacing w:val="0"/>
                <w:sz w:val="24"/>
                <w:szCs w:val="24"/>
                <w:shd w:val="clear" w:fill="FFFFFF"/>
              </w:rPr>
              <w:t>年</w:t>
            </w:r>
            <w:r>
              <w:rPr>
                <w:rFonts w:hint="eastAsia" w:eastAsia="宋体" w:cs="Times New Roman"/>
                <w:b w:val="0"/>
                <w:bCs w:val="0"/>
                <w:i w:val="0"/>
                <w:iCs w:val="0"/>
                <w:caps w:val="0"/>
                <w:color w:val="auto"/>
                <w:spacing w:val="0"/>
                <w:sz w:val="24"/>
                <w:szCs w:val="24"/>
                <w:shd w:val="clear" w:fill="FFFFFF"/>
                <w:lang w:val="en-US" w:eastAsia="zh-CN"/>
              </w:rPr>
              <w:t>10</w:t>
            </w:r>
            <w:r>
              <w:rPr>
                <w:rFonts w:hint="default" w:ascii="Times New Roman" w:hAnsi="Times New Roman" w:eastAsia="宋体" w:cs="Times New Roman"/>
                <w:b w:val="0"/>
                <w:bCs w:val="0"/>
                <w:i w:val="0"/>
                <w:iCs w:val="0"/>
                <w:caps w:val="0"/>
                <w:color w:val="auto"/>
                <w:spacing w:val="0"/>
                <w:sz w:val="24"/>
                <w:szCs w:val="24"/>
                <w:shd w:val="clear" w:fill="FFFFFF"/>
              </w:rPr>
              <w:t>月地表水水质状况</w:t>
            </w:r>
            <w:r>
              <w:rPr>
                <w:rFonts w:hint="default" w:ascii="Times New Roman" w:hAnsi="Times New Roman" w:eastAsia="宋体" w:cs="Times New Roman"/>
                <w:b w:val="0"/>
                <w:bCs w:val="0"/>
                <w:color w:val="auto"/>
                <w:sz w:val="24"/>
                <w:szCs w:val="24"/>
              </w:rPr>
              <w:t>”，</w:t>
            </w:r>
            <w:r>
              <w:rPr>
                <w:rFonts w:hint="eastAsia" w:eastAsia="宋体" w:cs="Times New Roman"/>
                <w:i w:val="0"/>
                <w:iCs w:val="0"/>
                <w:caps w:val="0"/>
                <w:color w:val="auto"/>
                <w:spacing w:val="0"/>
                <w:sz w:val="24"/>
                <w:szCs w:val="24"/>
                <w:shd w:val="clear" w:fill="FFFFFF"/>
                <w:lang w:val="en-US" w:eastAsia="zh-CN"/>
              </w:rPr>
              <w:t>10</w:t>
            </w:r>
            <w:r>
              <w:rPr>
                <w:rFonts w:hint="default" w:ascii="Times New Roman" w:hAnsi="Times New Roman" w:eastAsia="宋体" w:cs="Times New Roman"/>
                <w:i w:val="0"/>
                <w:iCs w:val="0"/>
                <w:caps w:val="0"/>
                <w:color w:val="auto"/>
                <w:spacing w:val="0"/>
                <w:sz w:val="24"/>
                <w:szCs w:val="24"/>
                <w:shd w:val="clear" w:fill="FFFFFF"/>
              </w:rPr>
              <w:t>月，涪陵区地表水总体水质为优</w:t>
            </w:r>
            <w:r>
              <w:rPr>
                <w:rFonts w:hint="eastAsia" w:eastAsia="宋体" w:cs="Times New Roman"/>
                <w:i w:val="0"/>
                <w:iCs w:val="0"/>
                <w:caps w:val="0"/>
                <w:color w:val="auto"/>
                <w:spacing w:val="0"/>
                <w:sz w:val="24"/>
                <w:szCs w:val="24"/>
                <w:shd w:val="clear" w:fill="FFFFFF"/>
                <w:lang w:eastAsia="zh-CN"/>
              </w:rPr>
              <w:t>良</w:t>
            </w:r>
            <w:r>
              <w:rPr>
                <w:rFonts w:hint="default" w:ascii="Times New Roman" w:hAnsi="Times New Roman" w:eastAsia="宋体" w:cs="Times New Roman"/>
                <w:i w:val="0"/>
                <w:iCs w:val="0"/>
                <w:caps w:val="0"/>
                <w:color w:val="auto"/>
                <w:spacing w:val="0"/>
                <w:sz w:val="24"/>
                <w:szCs w:val="24"/>
                <w:shd w:val="clear" w:fill="FFFFFF"/>
              </w:rPr>
              <w:t>。监测的1</w:t>
            </w:r>
            <w:r>
              <w:rPr>
                <w:rFonts w:hint="eastAsia" w:eastAsia="宋体" w:cs="Times New Roman"/>
                <w:i w:val="0"/>
                <w:iCs w:val="0"/>
                <w:caps w:val="0"/>
                <w:color w:val="auto"/>
                <w:spacing w:val="0"/>
                <w:sz w:val="24"/>
                <w:szCs w:val="24"/>
                <w:shd w:val="clear" w:fill="FFFFFF"/>
                <w:lang w:val="en-US" w:eastAsia="zh-CN"/>
              </w:rPr>
              <w:t>4</w:t>
            </w:r>
            <w:r>
              <w:rPr>
                <w:rFonts w:hint="default" w:ascii="Times New Roman" w:hAnsi="Times New Roman" w:eastAsia="宋体" w:cs="Times New Roman"/>
                <w:i w:val="0"/>
                <w:iCs w:val="0"/>
                <w:caps w:val="0"/>
                <w:color w:val="auto"/>
                <w:spacing w:val="0"/>
                <w:sz w:val="24"/>
                <w:szCs w:val="24"/>
                <w:shd w:val="clear" w:fill="FFFFFF"/>
              </w:rPr>
              <w:t>个断面中，Ⅰ~Ⅲ类水质断面占100</w:t>
            </w:r>
            <w:r>
              <w:rPr>
                <w:rFonts w:hint="default" w:ascii="Times New Roman" w:hAnsi="Times New Roman" w:eastAsia="宋体" w:cs="Times New Roman"/>
                <w:i w:val="0"/>
                <w:iCs w:val="0"/>
                <w:caps w:val="0"/>
                <w:color w:val="auto"/>
                <w:spacing w:val="0"/>
                <w:sz w:val="24"/>
                <w:szCs w:val="24"/>
                <w:shd w:val="clear" w:fill="FFFFFF"/>
                <w:lang w:val="en-US" w:eastAsia="zh-CN"/>
              </w:rPr>
              <w:t>%，</w:t>
            </w:r>
            <w:r>
              <w:rPr>
                <w:rFonts w:hint="eastAsia" w:eastAsia="宋体" w:cs="Times New Roman"/>
                <w:i w:val="0"/>
                <w:iCs w:val="0"/>
                <w:caps w:val="0"/>
                <w:color w:val="auto"/>
                <w:spacing w:val="0"/>
                <w:sz w:val="24"/>
                <w:szCs w:val="24"/>
                <w:shd w:val="clear" w:fill="FFFFFF"/>
                <w:lang w:val="en-US" w:eastAsia="zh-CN"/>
              </w:rPr>
              <w:t>本项目所在长江流域</w:t>
            </w:r>
            <w:r>
              <w:rPr>
                <w:rFonts w:hint="default" w:ascii="Times New Roman" w:hAnsi="Times New Roman" w:eastAsia="宋体" w:cs="Times New Roman"/>
                <w:color w:val="auto"/>
                <w:sz w:val="24"/>
                <w:szCs w:val="24"/>
              </w:rPr>
              <w:t>满足《地表水环境质量标准》(GB3838-2002)</w:t>
            </w:r>
            <w:r>
              <w:rPr>
                <w:rFonts w:hint="default" w:ascii="Times New Roman" w:hAnsi="Times New Roman" w:eastAsia="宋体" w:cs="Times New Roman"/>
                <w:color w:val="auto"/>
                <w:sz w:val="24"/>
              </w:rPr>
              <w:t>Ⅲ</w:t>
            </w:r>
            <w:r>
              <w:rPr>
                <w:rFonts w:hint="default" w:ascii="Times New Roman" w:hAnsi="Times New Roman" w:eastAsia="宋体" w:cs="Times New Roman"/>
                <w:color w:val="auto"/>
                <w:sz w:val="24"/>
                <w:szCs w:val="24"/>
              </w:rPr>
              <w:t>类水域标准要求，为水环境功能达标区。</w:t>
            </w:r>
          </w:p>
          <w:p w14:paraId="41A4E8DF">
            <w:pPr>
              <w:pStyle w:val="23"/>
              <w:spacing w:line="360" w:lineRule="auto"/>
              <w:ind w:left="0" w:leftChars="0" w:firstLine="0" w:firstLineChars="0"/>
              <w:jc w:val="both"/>
              <w:rPr>
                <w:rFonts w:hint="default" w:ascii="Times New Roman" w:hAnsi="Times New Roman" w:eastAsia="宋体" w:cs="Times New Roman"/>
                <w:b/>
                <w:color w:val="auto"/>
                <w:sz w:val="24"/>
                <w:szCs w:val="24"/>
              </w:rPr>
            </w:pPr>
            <w:r>
              <w:rPr>
                <w:rFonts w:hint="eastAsia" w:ascii="Times New Roman" w:eastAsia="宋体" w:cs="Times New Roman"/>
                <w:b/>
                <w:color w:val="auto"/>
                <w:sz w:val="24"/>
                <w:szCs w:val="24"/>
                <w:lang w:val="en-US" w:eastAsia="zh-CN"/>
              </w:rPr>
              <w:t>3.</w:t>
            </w:r>
            <w:r>
              <w:rPr>
                <w:rFonts w:hint="default" w:ascii="Times New Roman" w:hAnsi="Times New Roman" w:eastAsia="宋体" w:cs="Times New Roman"/>
                <w:b/>
                <w:color w:val="auto"/>
                <w:sz w:val="24"/>
                <w:szCs w:val="24"/>
              </w:rPr>
              <w:t>声环境质量现状</w:t>
            </w:r>
          </w:p>
          <w:p w14:paraId="19BE65BB">
            <w:pPr>
              <w:adjustRightInd w:val="0"/>
              <w:snapToGrid w:val="0"/>
              <w:spacing w:line="360" w:lineRule="auto"/>
              <w:ind w:firstLine="480" w:firstLineChars="200"/>
              <w:rPr>
                <w:rFonts w:hint="default"/>
                <w:color w:val="auto"/>
                <w:kern w:val="0"/>
                <w:sz w:val="24"/>
                <w:szCs w:val="24"/>
                <w:lang w:val="en-US"/>
              </w:rPr>
            </w:pPr>
            <w:r>
              <w:rPr>
                <w:rFonts w:hint="eastAsia" w:eastAsia="宋体"/>
                <w:color w:val="auto"/>
                <w:sz w:val="24"/>
                <w:lang w:eastAsia="zh-CN"/>
              </w:rPr>
              <w:t>根据</w:t>
            </w:r>
            <w:r>
              <w:rPr>
                <w:rFonts w:hint="eastAsia" w:ascii="宋体" w:hAnsi="宋体" w:eastAsia="宋体" w:cs="宋体"/>
                <w:color w:val="auto"/>
                <w:kern w:val="0"/>
                <w:sz w:val="24"/>
                <w:szCs w:val="24"/>
                <w:highlight w:val="none"/>
                <w:lang w:val="en-US" w:eastAsia="zh-CN" w:bidi="ar"/>
              </w:rPr>
              <w:t>《</w:t>
            </w:r>
            <w:r>
              <w:rPr>
                <w:rFonts w:hint="eastAsia"/>
                <w:color w:val="auto"/>
                <w:highlight w:val="none"/>
              </w:rPr>
              <w:t>重庆</w:t>
            </w:r>
            <w:r>
              <w:rPr>
                <w:rFonts w:hint="eastAsia"/>
                <w:color w:val="auto"/>
                <w:highlight w:val="none"/>
                <w:lang w:eastAsia="zh-CN"/>
              </w:rPr>
              <w:t>开元监测有限公司</w:t>
            </w:r>
            <w:r>
              <w:rPr>
                <w:rFonts w:hint="eastAsia" w:eastAsia="宋体"/>
                <w:color w:val="auto"/>
                <w:highlight w:val="none"/>
                <w:lang w:eastAsia="zh-CN"/>
              </w:rPr>
              <w:t>检测报告</w:t>
            </w:r>
            <w:r>
              <w:rPr>
                <w:rFonts w:hint="eastAsia" w:eastAsia="宋体"/>
                <w:color w:val="auto"/>
                <w:sz w:val="24"/>
                <w:highlight w:val="none"/>
                <w:lang w:eastAsia="zh-CN"/>
              </w:rPr>
              <w:t>》</w:t>
            </w:r>
            <w:r>
              <w:rPr>
                <w:rFonts w:hint="eastAsia"/>
                <w:color w:val="auto"/>
                <w:highlight w:val="none"/>
              </w:rPr>
              <w:t>（</w:t>
            </w:r>
            <w:r>
              <w:rPr>
                <w:rFonts w:hint="eastAsia"/>
                <w:color w:val="auto"/>
                <w:highlight w:val="none"/>
                <w:lang w:eastAsia="zh-CN"/>
              </w:rPr>
              <w:t>报告编号：</w:t>
            </w:r>
            <w:r>
              <w:rPr>
                <w:rFonts w:hint="eastAsia"/>
                <w:color w:val="auto"/>
                <w:highlight w:val="none"/>
                <w:lang w:val="en-US" w:eastAsia="zh-CN"/>
              </w:rPr>
              <w:t>20240348</w:t>
            </w:r>
            <w:r>
              <w:rPr>
                <w:rFonts w:hint="eastAsia"/>
                <w:color w:val="auto"/>
                <w:highlight w:val="none"/>
              </w:rPr>
              <w:t>）</w:t>
            </w:r>
            <w:r>
              <w:rPr>
                <w:rFonts w:hint="default" w:ascii="Times New Roman" w:hAnsi="Times New Roman" w:cs="Times New Roman"/>
                <w:color w:val="auto"/>
                <w:kern w:val="0"/>
                <w:sz w:val="24"/>
                <w:szCs w:val="24"/>
              </w:rPr>
              <w:t>中</w:t>
            </w:r>
            <w:r>
              <w:rPr>
                <w:rFonts w:hint="eastAsia" w:cs="Times New Roman"/>
                <w:color w:val="auto"/>
                <w:kern w:val="0"/>
                <w:sz w:val="24"/>
                <w:szCs w:val="24"/>
                <w:lang w:eastAsia="zh-CN"/>
              </w:rPr>
              <w:t>的噪声监测数据</w:t>
            </w:r>
            <w:r>
              <w:rPr>
                <w:color w:val="auto"/>
                <w:kern w:val="0"/>
                <w:sz w:val="24"/>
                <w:szCs w:val="24"/>
              </w:rPr>
              <w:t>，</w:t>
            </w:r>
            <w:r>
              <w:rPr>
                <w:rFonts w:hint="eastAsia"/>
                <w:color w:val="auto"/>
                <w:kern w:val="0"/>
                <w:sz w:val="24"/>
                <w:szCs w:val="24"/>
                <w:lang w:eastAsia="zh-CN"/>
              </w:rPr>
              <w:t>监测时间为</w:t>
            </w:r>
            <w:r>
              <w:rPr>
                <w:rFonts w:hint="eastAsia"/>
                <w:color w:val="auto"/>
                <w:sz w:val="24"/>
                <w:lang w:val="en-US" w:eastAsia="zh-CN"/>
              </w:rPr>
              <w:t>2024</w:t>
            </w:r>
            <w:r>
              <w:rPr>
                <w:color w:val="auto"/>
                <w:sz w:val="24"/>
              </w:rPr>
              <w:t>年</w:t>
            </w:r>
            <w:r>
              <w:rPr>
                <w:rFonts w:hint="eastAsia"/>
                <w:color w:val="auto"/>
                <w:sz w:val="24"/>
                <w:lang w:val="en-US" w:eastAsia="zh-CN"/>
              </w:rPr>
              <w:t>11</w:t>
            </w:r>
            <w:r>
              <w:rPr>
                <w:color w:val="auto"/>
                <w:sz w:val="24"/>
              </w:rPr>
              <w:t>月</w:t>
            </w:r>
            <w:r>
              <w:rPr>
                <w:rFonts w:hint="eastAsia"/>
                <w:color w:val="auto"/>
                <w:sz w:val="24"/>
                <w:lang w:val="en-US" w:eastAsia="zh-CN"/>
              </w:rPr>
              <w:t>14</w:t>
            </w:r>
            <w:r>
              <w:rPr>
                <w:color w:val="auto"/>
                <w:sz w:val="24"/>
              </w:rPr>
              <w:t>日</w:t>
            </w:r>
            <w:r>
              <w:rPr>
                <w:rFonts w:hint="eastAsia" w:cs="Times New Roman"/>
                <w:bCs/>
                <w:color w:val="auto"/>
                <w:sz w:val="24"/>
                <w:szCs w:val="24"/>
                <w:lang w:eastAsia="zh-CN"/>
              </w:rPr>
              <w:t>，</w:t>
            </w:r>
            <w:r>
              <w:rPr>
                <w:rFonts w:hint="eastAsia"/>
                <w:color w:val="auto"/>
                <w:kern w:val="0"/>
                <w:sz w:val="24"/>
                <w:szCs w:val="24"/>
                <w:lang w:eastAsia="zh-CN"/>
              </w:rPr>
              <w:t>监测点设置在厂区西侧居民处</w:t>
            </w:r>
            <w:r>
              <w:rPr>
                <w:rFonts w:hint="eastAsia"/>
                <w:color w:val="auto"/>
                <w:kern w:val="0"/>
                <w:sz w:val="24"/>
                <w:szCs w:val="24"/>
                <w:lang w:val="en-US" w:eastAsia="zh-CN"/>
              </w:rPr>
              <w:t>。</w:t>
            </w:r>
          </w:p>
          <w:p w14:paraId="20FD2380">
            <w:pPr>
              <w:pStyle w:val="23"/>
              <w:spacing w:line="360" w:lineRule="auto"/>
              <w:ind w:firstLine="480" w:firstLineChars="200"/>
              <w:jc w:val="both"/>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（1）监测方案</w:t>
            </w:r>
          </w:p>
          <w:p w14:paraId="56AA51EF">
            <w:pPr>
              <w:adjustRightInd w:val="0"/>
              <w:snapToGrid w:val="0"/>
              <w:spacing w:line="360" w:lineRule="auto"/>
              <w:ind w:firstLine="480" w:firstLineChars="200"/>
              <w:rPr>
                <w:rFonts w:hint="default" w:ascii="Times New Roman" w:hAnsi="Times New Roman" w:eastAsia="宋体" w:cs="Times New Roman"/>
                <w:color w:val="auto"/>
                <w:kern w:val="0"/>
                <w:sz w:val="24"/>
                <w:lang w:eastAsia="zh-CN"/>
              </w:rPr>
            </w:pPr>
            <w:r>
              <w:rPr>
                <w:rFonts w:hint="default" w:ascii="Times New Roman" w:hAnsi="Times New Roman" w:eastAsia="宋体" w:cs="Times New Roman"/>
                <w:color w:val="auto"/>
                <w:kern w:val="0"/>
                <w:sz w:val="24"/>
              </w:rPr>
              <w:t>监测点位：</w:t>
            </w:r>
            <w:r>
              <w:rPr>
                <w:rFonts w:hint="default" w:ascii="Times New Roman" w:hAnsi="Times New Roman" w:eastAsia="宋体" w:cs="Times New Roman"/>
                <w:color w:val="auto"/>
                <w:kern w:val="0"/>
                <w:sz w:val="24"/>
                <w:lang w:val="en-US" w:eastAsia="zh-CN"/>
              </w:rPr>
              <w:t>C1</w:t>
            </w:r>
            <w:r>
              <w:rPr>
                <w:rFonts w:hint="default" w:ascii="Times New Roman" w:hAnsi="Times New Roman" w:eastAsia="宋体" w:cs="Times New Roman"/>
                <w:color w:val="auto"/>
                <w:kern w:val="0"/>
                <w:sz w:val="24"/>
              </w:rPr>
              <w:t>点设置</w:t>
            </w:r>
            <w:r>
              <w:rPr>
                <w:rFonts w:hint="default" w:ascii="Times New Roman" w:hAnsi="Times New Roman" w:eastAsia="宋体" w:cs="Times New Roman"/>
                <w:color w:val="auto"/>
                <w:kern w:val="0"/>
                <w:sz w:val="24"/>
                <w:lang w:eastAsia="zh-CN"/>
              </w:rPr>
              <w:t>厂区西侧居民处</w:t>
            </w:r>
          </w:p>
          <w:p w14:paraId="4F8C1494">
            <w:pPr>
              <w:adjustRightInd w:val="0"/>
              <w:snapToGrid w:val="0"/>
              <w:spacing w:line="360" w:lineRule="auto"/>
              <w:ind w:firstLine="480" w:firstLineChars="200"/>
              <w:rPr>
                <w:rFonts w:hint="default" w:ascii="Times New Roman" w:hAnsi="Times New Roman" w:eastAsia="宋体" w:cs="Times New Roman"/>
                <w:bCs/>
                <w:color w:val="auto"/>
                <w:kern w:val="0"/>
                <w:sz w:val="24"/>
              </w:rPr>
            </w:pPr>
            <w:r>
              <w:rPr>
                <w:rFonts w:hint="default" w:ascii="Times New Roman" w:hAnsi="Times New Roman" w:eastAsia="宋体" w:cs="Times New Roman"/>
                <w:color w:val="auto"/>
                <w:kern w:val="0"/>
                <w:sz w:val="24"/>
              </w:rPr>
              <w:t>监测内容：</w:t>
            </w:r>
            <w:r>
              <w:rPr>
                <w:rFonts w:hint="default" w:ascii="Times New Roman" w:hAnsi="Times New Roman" w:eastAsia="宋体" w:cs="Times New Roman"/>
                <w:color w:val="auto"/>
                <w:kern w:val="0"/>
                <w:sz w:val="24"/>
                <w:lang w:eastAsia="zh-CN"/>
              </w:rPr>
              <w:t>昼间</w:t>
            </w:r>
            <w:r>
              <w:rPr>
                <w:rFonts w:hint="default" w:ascii="Times New Roman" w:hAnsi="Times New Roman" w:eastAsia="宋体" w:cs="Times New Roman"/>
                <w:color w:val="auto"/>
                <w:kern w:val="0"/>
                <w:sz w:val="24"/>
              </w:rPr>
              <w:t>等效连续A声级值。</w:t>
            </w:r>
          </w:p>
          <w:p w14:paraId="4882026E">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监测时间与频率：</w:t>
            </w:r>
            <w:r>
              <w:rPr>
                <w:rFonts w:hint="default" w:ascii="Times New Roman" w:hAnsi="Times New Roman" w:eastAsia="宋体" w:cs="Times New Roman"/>
                <w:color w:val="auto"/>
                <w:sz w:val="24"/>
                <w:lang w:val="en-US" w:eastAsia="zh-CN"/>
              </w:rPr>
              <w:t>2024</w:t>
            </w:r>
            <w:r>
              <w:rPr>
                <w:rFonts w:hint="default" w:ascii="Times New Roman" w:hAnsi="Times New Roman" w:eastAsia="宋体" w:cs="Times New Roman"/>
                <w:color w:val="auto"/>
                <w:sz w:val="24"/>
              </w:rPr>
              <w:t>年</w:t>
            </w:r>
            <w:r>
              <w:rPr>
                <w:rFonts w:hint="default" w:ascii="Times New Roman" w:hAnsi="Times New Roman" w:eastAsia="宋体" w:cs="Times New Roman"/>
                <w:color w:val="auto"/>
                <w:sz w:val="24"/>
                <w:lang w:val="en-US" w:eastAsia="zh-CN"/>
              </w:rPr>
              <w:t>11</w:t>
            </w:r>
            <w:r>
              <w:rPr>
                <w:rFonts w:hint="default" w:ascii="Times New Roman" w:hAnsi="Times New Roman" w:eastAsia="宋体" w:cs="Times New Roman"/>
                <w:color w:val="auto"/>
                <w:sz w:val="24"/>
              </w:rPr>
              <w:t>月</w:t>
            </w:r>
            <w:r>
              <w:rPr>
                <w:rFonts w:hint="default" w:ascii="Times New Roman" w:hAnsi="Times New Roman" w:eastAsia="宋体" w:cs="Times New Roman"/>
                <w:color w:val="auto"/>
                <w:sz w:val="24"/>
                <w:lang w:val="en-US" w:eastAsia="zh-CN"/>
              </w:rPr>
              <w:t>14</w:t>
            </w:r>
            <w:r>
              <w:rPr>
                <w:rFonts w:hint="default" w:ascii="Times New Roman" w:hAnsi="Times New Roman" w:eastAsia="宋体" w:cs="Times New Roman"/>
                <w:color w:val="auto"/>
                <w:sz w:val="24"/>
              </w:rPr>
              <w:t>日</w:t>
            </w:r>
            <w:r>
              <w:rPr>
                <w:rFonts w:hint="default" w:ascii="Times New Roman" w:hAnsi="Times New Roman" w:eastAsia="宋体" w:cs="Times New Roman"/>
                <w:color w:val="auto"/>
                <w:kern w:val="0"/>
                <w:sz w:val="24"/>
              </w:rPr>
              <w:t>，</w:t>
            </w:r>
            <w:r>
              <w:rPr>
                <w:rFonts w:hint="default" w:ascii="Times New Roman" w:hAnsi="Times New Roman" w:eastAsia="宋体" w:cs="Times New Roman"/>
                <w:bCs/>
                <w:color w:val="auto"/>
                <w:kern w:val="0"/>
                <w:sz w:val="24"/>
              </w:rPr>
              <w:t>监测</w:t>
            </w:r>
            <w:r>
              <w:rPr>
                <w:rFonts w:hint="default" w:ascii="Times New Roman" w:hAnsi="Times New Roman" w:eastAsia="宋体" w:cs="Times New Roman"/>
                <w:bCs/>
                <w:color w:val="auto"/>
                <w:kern w:val="0"/>
                <w:sz w:val="24"/>
                <w:lang w:val="en-US" w:eastAsia="zh-CN"/>
              </w:rPr>
              <w:t>1</w:t>
            </w:r>
            <w:r>
              <w:rPr>
                <w:rFonts w:hint="default" w:ascii="Times New Roman" w:hAnsi="Times New Roman" w:eastAsia="宋体" w:cs="Times New Roman"/>
                <w:bCs/>
                <w:color w:val="auto"/>
                <w:kern w:val="0"/>
                <w:sz w:val="24"/>
              </w:rPr>
              <w:t>天，</w:t>
            </w:r>
            <w:r>
              <w:rPr>
                <w:rFonts w:hint="default" w:ascii="Times New Roman" w:hAnsi="Times New Roman" w:eastAsia="宋体" w:cs="Times New Roman"/>
                <w:bCs/>
                <w:color w:val="auto"/>
                <w:kern w:val="0"/>
                <w:sz w:val="24"/>
                <w:lang w:eastAsia="zh-CN"/>
              </w:rPr>
              <w:t>昼间、夜间各监测</w:t>
            </w:r>
            <w:r>
              <w:rPr>
                <w:rFonts w:hint="default" w:ascii="Times New Roman" w:hAnsi="Times New Roman" w:eastAsia="宋体" w:cs="Times New Roman"/>
                <w:bCs/>
                <w:color w:val="auto"/>
                <w:kern w:val="0"/>
                <w:sz w:val="24"/>
                <w:lang w:val="en-US" w:eastAsia="zh-CN"/>
              </w:rPr>
              <w:t>1</w:t>
            </w:r>
            <w:r>
              <w:rPr>
                <w:rFonts w:hint="default" w:ascii="Times New Roman" w:hAnsi="Times New Roman" w:eastAsia="宋体" w:cs="Times New Roman"/>
                <w:bCs/>
                <w:color w:val="auto"/>
                <w:kern w:val="0"/>
                <w:sz w:val="24"/>
              </w:rPr>
              <w:t>次。</w:t>
            </w:r>
          </w:p>
          <w:p w14:paraId="5B95EDCB">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（2）评价方法与标准</w:t>
            </w:r>
          </w:p>
          <w:p w14:paraId="10CC267F">
            <w:pPr>
              <w:adjustRightInd w:val="0"/>
              <w:snapToGrid w:val="0"/>
              <w:spacing w:line="360" w:lineRule="auto"/>
              <w:ind w:firstLine="480" w:firstLineChars="200"/>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噪声评价方法采用与标准值比较评述法</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bCs/>
                <w:color w:val="auto"/>
                <w:kern w:val="0"/>
                <w:sz w:val="24"/>
              </w:rPr>
              <w:t>执行</w:t>
            </w:r>
            <w:r>
              <w:rPr>
                <w:rFonts w:hint="default" w:ascii="Times New Roman" w:hAnsi="Times New Roman" w:eastAsia="宋体" w:cs="Times New Roman"/>
                <w:color w:val="auto"/>
                <w:kern w:val="0"/>
                <w:sz w:val="24"/>
              </w:rPr>
              <w:t>《声环境质量标准》（GB3096-2008</w:t>
            </w:r>
            <w:r>
              <w:rPr>
                <w:rFonts w:hint="default" w:ascii="Times New Roman" w:hAnsi="Times New Roman" w:eastAsia="宋体" w:cs="Times New Roman"/>
                <w:color w:val="auto"/>
                <w:kern w:val="0"/>
                <w:sz w:val="24"/>
                <w:highlight w:val="none"/>
              </w:rPr>
              <w:t>）</w:t>
            </w:r>
            <w:r>
              <w:rPr>
                <w:rFonts w:hint="eastAsia" w:ascii="Times New Roman" w:hAnsi="Times New Roman" w:eastAsia="宋体" w:cs="Times New Roman"/>
                <w:bCs/>
                <w:color w:val="auto"/>
                <w:kern w:val="0"/>
                <w:sz w:val="24"/>
                <w:highlight w:val="none"/>
                <w:lang w:val="en-US" w:eastAsia="zh-CN"/>
              </w:rPr>
              <w:t>2</w:t>
            </w:r>
            <w:r>
              <w:rPr>
                <w:rFonts w:hint="default" w:ascii="Times New Roman" w:hAnsi="Times New Roman" w:eastAsia="宋体" w:cs="Times New Roman"/>
                <w:bCs/>
                <w:color w:val="auto"/>
                <w:kern w:val="0"/>
                <w:sz w:val="24"/>
                <w:highlight w:val="none"/>
              </w:rPr>
              <w:t>类</w:t>
            </w:r>
            <w:r>
              <w:rPr>
                <w:rFonts w:hint="default" w:ascii="Times New Roman" w:hAnsi="Times New Roman" w:eastAsia="宋体" w:cs="Times New Roman"/>
                <w:bCs/>
                <w:color w:val="auto"/>
                <w:kern w:val="0"/>
                <w:sz w:val="24"/>
              </w:rPr>
              <w:t>标准</w:t>
            </w:r>
            <w:r>
              <w:rPr>
                <w:rFonts w:hint="default" w:ascii="Times New Roman" w:hAnsi="Times New Roman" w:eastAsia="宋体" w:cs="Times New Roman"/>
                <w:color w:val="auto"/>
                <w:kern w:val="0"/>
                <w:sz w:val="24"/>
              </w:rPr>
              <w:t>。</w:t>
            </w:r>
          </w:p>
          <w:p w14:paraId="350FF308">
            <w:pPr>
              <w:adjustRightInd w:val="0"/>
              <w:snapToGrid w:val="0"/>
              <w:spacing w:line="360" w:lineRule="auto"/>
              <w:ind w:firstLine="480" w:firstLineChars="200"/>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监测结果见表</w:t>
            </w:r>
            <w:r>
              <w:rPr>
                <w:rFonts w:hint="default" w:ascii="Times New Roman" w:hAnsi="Times New Roman" w:eastAsia="宋体" w:cs="Times New Roman"/>
                <w:color w:val="auto"/>
                <w:kern w:val="0"/>
                <w:sz w:val="24"/>
                <w:szCs w:val="24"/>
                <w:lang w:val="en-US" w:eastAsia="zh-CN"/>
              </w:rPr>
              <w:t>3.</w:t>
            </w:r>
            <w:r>
              <w:rPr>
                <w:rFonts w:hint="eastAsia" w:ascii="Times New Roman" w:hAnsi="Times New Roman" w:eastAsia="宋体" w:cs="Times New Roman"/>
                <w:color w:val="auto"/>
                <w:kern w:val="0"/>
                <w:sz w:val="24"/>
                <w:szCs w:val="24"/>
                <w:lang w:val="en-US" w:eastAsia="zh-CN"/>
              </w:rPr>
              <w:t>1-3</w:t>
            </w:r>
            <w:r>
              <w:rPr>
                <w:rFonts w:hint="default" w:ascii="Times New Roman" w:hAnsi="Times New Roman" w:eastAsia="宋体" w:cs="Times New Roman"/>
                <w:color w:val="auto"/>
                <w:kern w:val="0"/>
                <w:sz w:val="24"/>
                <w:szCs w:val="24"/>
              </w:rPr>
              <w:t>。</w:t>
            </w:r>
          </w:p>
          <w:p w14:paraId="63179408">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w:t>
            </w:r>
            <w:r>
              <w:rPr>
                <w:rFonts w:hint="eastAsia" w:ascii="Times New Roman" w:hAnsi="Times New Roman" w:cs="Times New Roman"/>
                <w:color w:val="auto"/>
                <w:lang w:val="en-US" w:eastAsia="zh-CN"/>
              </w:rPr>
              <w:t>3</w:t>
            </w:r>
            <w:r>
              <w:rPr>
                <w:rFonts w:hint="default" w:ascii="Times New Roman" w:hAnsi="Times New Roman" w:cs="Times New Roman"/>
                <w:color w:val="auto"/>
              </w:rPr>
              <w:t xml:space="preserve"> 环境噪声监测结果统计表</w:t>
            </w:r>
          </w:p>
          <w:tbl>
            <w:tblPr>
              <w:tblStyle w:val="17"/>
              <w:tblW w:w="4998" w:type="pct"/>
              <w:jc w:val="center"/>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Layout w:type="autofit"/>
              <w:tblCellMar>
                <w:top w:w="0" w:type="dxa"/>
                <w:left w:w="108" w:type="dxa"/>
                <w:bottom w:w="0" w:type="dxa"/>
                <w:right w:w="108" w:type="dxa"/>
              </w:tblCellMar>
            </w:tblPr>
            <w:tblGrid>
              <w:gridCol w:w="1263"/>
              <w:gridCol w:w="1636"/>
              <w:gridCol w:w="1171"/>
              <w:gridCol w:w="1804"/>
              <w:gridCol w:w="2097"/>
            </w:tblGrid>
            <w:tr w14:paraId="399CCF02">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355" w:hRule="atLeast"/>
                <w:jc w:val="center"/>
              </w:trPr>
              <w:tc>
                <w:tcPr>
                  <w:tcW w:w="792" w:type="pct"/>
                  <w:tcBorders>
                    <w:tl2br w:val="nil"/>
                    <w:tr2bl w:val="nil"/>
                  </w:tcBorders>
                  <w:vAlign w:val="center"/>
                </w:tcPr>
                <w:p w14:paraId="5B6D26F4">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监测点位</w:t>
                  </w:r>
                </w:p>
              </w:tc>
              <w:tc>
                <w:tcPr>
                  <w:tcW w:w="1026" w:type="pct"/>
                  <w:tcBorders>
                    <w:tl2br w:val="nil"/>
                    <w:tr2bl w:val="nil"/>
                  </w:tcBorders>
                  <w:vAlign w:val="center"/>
                </w:tcPr>
                <w:p w14:paraId="3E4E35C1">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监测日期</w:t>
                  </w:r>
                </w:p>
              </w:tc>
              <w:tc>
                <w:tcPr>
                  <w:tcW w:w="734" w:type="pct"/>
                  <w:tcBorders>
                    <w:tl2br w:val="nil"/>
                    <w:tr2bl w:val="nil"/>
                  </w:tcBorders>
                  <w:vAlign w:val="center"/>
                </w:tcPr>
                <w:p w14:paraId="4CDFB355">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时间</w:t>
                  </w:r>
                </w:p>
              </w:tc>
              <w:tc>
                <w:tcPr>
                  <w:tcW w:w="1131" w:type="pct"/>
                  <w:tcBorders>
                    <w:tl2br w:val="nil"/>
                    <w:tr2bl w:val="nil"/>
                  </w:tcBorders>
                  <w:vAlign w:val="center"/>
                </w:tcPr>
                <w:p w14:paraId="2266B4A7">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监测结果dB(A)</w:t>
                  </w:r>
                </w:p>
              </w:tc>
              <w:tc>
                <w:tcPr>
                  <w:tcW w:w="1315" w:type="pct"/>
                  <w:tcBorders>
                    <w:tl2br w:val="nil"/>
                    <w:tr2bl w:val="nil"/>
                  </w:tcBorders>
                  <w:vAlign w:val="center"/>
                </w:tcPr>
                <w:p w14:paraId="0261AA0D">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标准值</w:t>
                  </w:r>
                </w:p>
              </w:tc>
            </w:tr>
            <w:tr w14:paraId="009DF224">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65" w:hRule="atLeast"/>
                <w:jc w:val="center"/>
              </w:trPr>
              <w:tc>
                <w:tcPr>
                  <w:tcW w:w="792" w:type="pct"/>
                  <w:vMerge w:val="restart"/>
                  <w:tcBorders>
                    <w:tl2br w:val="nil"/>
                    <w:tr2bl w:val="nil"/>
                  </w:tcBorders>
                  <w:vAlign w:val="center"/>
                </w:tcPr>
                <w:p w14:paraId="7E9980F7">
                  <w:pPr>
                    <w:pStyle w:val="3"/>
                    <w:bidi w:val="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C1</w:t>
                  </w:r>
                </w:p>
              </w:tc>
              <w:tc>
                <w:tcPr>
                  <w:tcW w:w="1026" w:type="pct"/>
                  <w:tcBorders>
                    <w:tl2br w:val="nil"/>
                    <w:tr2bl w:val="nil"/>
                  </w:tcBorders>
                  <w:vAlign w:val="center"/>
                </w:tcPr>
                <w:p w14:paraId="78C4BE76">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11</w:t>
                  </w:r>
                  <w:r>
                    <w:rPr>
                      <w:rFonts w:hint="default" w:ascii="Times New Roman" w:hAnsi="Times New Roman" w:cs="Times New Roman"/>
                      <w:color w:val="auto"/>
                      <w:sz w:val="21"/>
                      <w:szCs w:val="21"/>
                    </w:rPr>
                    <w:t>.14</w:t>
                  </w:r>
                </w:p>
              </w:tc>
              <w:tc>
                <w:tcPr>
                  <w:tcW w:w="734" w:type="pct"/>
                  <w:tcBorders>
                    <w:tl2br w:val="nil"/>
                    <w:tr2bl w:val="nil"/>
                  </w:tcBorders>
                  <w:vAlign w:val="center"/>
                </w:tcPr>
                <w:p w14:paraId="03FBB6A3">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w:t>
                  </w:r>
                </w:p>
              </w:tc>
              <w:tc>
                <w:tcPr>
                  <w:tcW w:w="1131" w:type="pct"/>
                  <w:tcBorders>
                    <w:tl2br w:val="nil"/>
                    <w:tr2bl w:val="nil"/>
                  </w:tcBorders>
                  <w:vAlign w:val="center"/>
                </w:tcPr>
                <w:p w14:paraId="27C98806">
                  <w:pPr>
                    <w:pStyle w:val="3"/>
                    <w:bidi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48</w:t>
                  </w:r>
                </w:p>
              </w:tc>
              <w:tc>
                <w:tcPr>
                  <w:tcW w:w="1315" w:type="pct"/>
                  <w:vMerge w:val="restart"/>
                  <w:tcBorders>
                    <w:tl2br w:val="nil"/>
                    <w:tr2bl w:val="nil"/>
                  </w:tcBorders>
                  <w:vAlign w:val="center"/>
                </w:tcPr>
                <w:p w14:paraId="0E11D760">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昼间：6</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dB(A)</w:t>
                  </w:r>
                </w:p>
                <w:p w14:paraId="6F1FC1D7">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夜间：5</w:t>
                  </w:r>
                  <w:r>
                    <w:rPr>
                      <w:rFonts w:hint="default"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dB(A)</w:t>
                  </w:r>
                </w:p>
              </w:tc>
            </w:tr>
            <w:tr w14:paraId="1DFA41DC">
              <w:tblPrEx>
                <w:tblBorders>
                  <w:top w:val="single" w:color="000000" w:sz="6" w:space="0"/>
                  <w:left w:val="none" w:color="auto" w:sz="0" w:space="0"/>
                  <w:bottom w:val="single" w:color="000000" w:sz="6" w:space="0"/>
                  <w:right w:val="none" w:color="auto" w:sz="0"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792" w:type="pct"/>
                  <w:vMerge w:val="continue"/>
                  <w:tcBorders>
                    <w:tl2br w:val="nil"/>
                    <w:tr2bl w:val="nil"/>
                  </w:tcBorders>
                  <w:vAlign w:val="center"/>
                </w:tcPr>
                <w:p w14:paraId="18F773BB">
                  <w:pPr>
                    <w:pStyle w:val="3"/>
                    <w:bidi w:val="0"/>
                    <w:rPr>
                      <w:rFonts w:hint="default" w:ascii="Times New Roman" w:hAnsi="Times New Roman" w:cs="Times New Roman"/>
                      <w:color w:val="auto"/>
                      <w:sz w:val="21"/>
                      <w:szCs w:val="21"/>
                    </w:rPr>
                  </w:pPr>
                </w:p>
              </w:tc>
              <w:tc>
                <w:tcPr>
                  <w:tcW w:w="1026" w:type="pct"/>
                  <w:tcBorders>
                    <w:tl2br w:val="nil"/>
                    <w:tr2bl w:val="nil"/>
                  </w:tcBorders>
                  <w:vAlign w:val="center"/>
                </w:tcPr>
                <w:p w14:paraId="349CC693">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202</w:t>
                  </w:r>
                  <w:r>
                    <w:rPr>
                      <w:rFonts w:hint="eastAsia" w:ascii="Times New Roman" w:hAnsi="Times New Roman" w:eastAsia="宋体" w:cs="Times New Roman"/>
                      <w:color w:val="auto"/>
                      <w:sz w:val="21"/>
                      <w:szCs w:val="21"/>
                      <w:lang w:val="en-US" w:eastAsia="zh-CN"/>
                    </w:rPr>
                    <w:t>4</w:t>
                  </w:r>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11</w:t>
                  </w:r>
                  <w:r>
                    <w:rPr>
                      <w:rFonts w:hint="default" w:ascii="Times New Roman" w:hAnsi="Times New Roman" w:cs="Times New Roman"/>
                      <w:color w:val="auto"/>
                      <w:sz w:val="21"/>
                      <w:szCs w:val="21"/>
                    </w:rPr>
                    <w:t>.14</w:t>
                  </w:r>
                </w:p>
              </w:tc>
              <w:tc>
                <w:tcPr>
                  <w:tcW w:w="734" w:type="pct"/>
                  <w:tcBorders>
                    <w:tl2br w:val="nil"/>
                    <w:tr2bl w:val="nil"/>
                  </w:tcBorders>
                  <w:vAlign w:val="center"/>
                </w:tcPr>
                <w:p w14:paraId="7C6D0038">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夜间</w:t>
                  </w:r>
                </w:p>
              </w:tc>
              <w:tc>
                <w:tcPr>
                  <w:tcW w:w="1131" w:type="pct"/>
                  <w:tcBorders>
                    <w:tl2br w:val="nil"/>
                    <w:tr2bl w:val="nil"/>
                  </w:tcBorders>
                  <w:vAlign w:val="center"/>
                </w:tcPr>
                <w:p w14:paraId="5A7FB0D7">
                  <w:pPr>
                    <w:pStyle w:val="3"/>
                    <w:bidi w:val="0"/>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43</w:t>
                  </w:r>
                </w:p>
              </w:tc>
              <w:tc>
                <w:tcPr>
                  <w:tcW w:w="1315" w:type="pct"/>
                  <w:vMerge w:val="continue"/>
                  <w:tcBorders>
                    <w:tl2br w:val="nil"/>
                    <w:tr2bl w:val="nil"/>
                  </w:tcBorders>
                  <w:vAlign w:val="center"/>
                </w:tcPr>
                <w:p w14:paraId="7C2F11A7">
                  <w:pPr>
                    <w:pStyle w:val="3"/>
                    <w:bidi w:val="0"/>
                    <w:rPr>
                      <w:rFonts w:hint="default" w:ascii="Times New Roman" w:hAnsi="Times New Roman" w:cs="Times New Roman"/>
                      <w:color w:val="auto"/>
                      <w:sz w:val="21"/>
                      <w:szCs w:val="21"/>
                    </w:rPr>
                  </w:pPr>
                </w:p>
              </w:tc>
            </w:tr>
          </w:tbl>
          <w:p w14:paraId="29318936">
            <w:pPr>
              <w:adjustRightInd w:val="0"/>
              <w:snapToGrid w:val="0"/>
              <w:spacing w:line="360" w:lineRule="auto"/>
              <w:ind w:firstLine="480" w:firstLineChars="200"/>
              <w:rPr>
                <w:color w:val="auto"/>
                <w:kern w:val="0"/>
                <w:sz w:val="24"/>
              </w:rPr>
            </w:pPr>
            <w:r>
              <w:rPr>
                <w:color w:val="auto"/>
                <w:kern w:val="0"/>
                <w:sz w:val="24"/>
                <w:szCs w:val="24"/>
              </w:rPr>
              <w:t>根据监测结果可知，</w:t>
            </w:r>
            <w:r>
              <w:rPr>
                <w:rFonts w:hint="eastAsia"/>
                <w:color w:val="auto"/>
                <w:kern w:val="0"/>
                <w:sz w:val="24"/>
                <w:szCs w:val="24"/>
                <w:lang w:val="en-US" w:eastAsia="zh-CN"/>
              </w:rPr>
              <w:t>C1噪声</w:t>
            </w:r>
            <w:r>
              <w:rPr>
                <w:color w:val="auto"/>
                <w:kern w:val="0"/>
                <w:sz w:val="24"/>
                <w:szCs w:val="24"/>
              </w:rPr>
              <w:t>监测点昼间</w:t>
            </w:r>
            <w:r>
              <w:rPr>
                <w:rFonts w:hint="eastAsia"/>
                <w:color w:val="auto"/>
                <w:kern w:val="0"/>
                <w:sz w:val="24"/>
                <w:szCs w:val="24"/>
                <w:lang w:eastAsia="zh-CN"/>
              </w:rPr>
              <w:t>、夜间</w:t>
            </w:r>
            <w:r>
              <w:rPr>
                <w:color w:val="auto"/>
                <w:kern w:val="0"/>
                <w:sz w:val="24"/>
                <w:szCs w:val="24"/>
              </w:rPr>
              <w:t>噪声值满足《声环境质量标准》（GB3096-2008）中的</w:t>
            </w:r>
            <w:r>
              <w:rPr>
                <w:rFonts w:hint="eastAsia"/>
                <w:color w:val="auto"/>
                <w:kern w:val="0"/>
                <w:sz w:val="24"/>
                <w:szCs w:val="24"/>
                <w:highlight w:val="none"/>
                <w:lang w:val="en-US" w:eastAsia="zh-CN"/>
              </w:rPr>
              <w:t>2</w:t>
            </w:r>
            <w:r>
              <w:rPr>
                <w:color w:val="auto"/>
                <w:kern w:val="0"/>
                <w:sz w:val="24"/>
                <w:szCs w:val="24"/>
                <w:highlight w:val="none"/>
              </w:rPr>
              <w:t>类</w:t>
            </w:r>
            <w:r>
              <w:rPr>
                <w:color w:val="auto"/>
                <w:kern w:val="0"/>
                <w:sz w:val="24"/>
                <w:szCs w:val="24"/>
              </w:rPr>
              <w:t>标准要求。</w:t>
            </w:r>
          </w:p>
          <w:p w14:paraId="07BA189C">
            <w:pPr>
              <w:pStyle w:val="23"/>
              <w:spacing w:line="360" w:lineRule="auto"/>
              <w:ind w:left="0" w:leftChars="0" w:firstLine="0" w:firstLineChars="0"/>
              <w:jc w:val="both"/>
              <w:rPr>
                <w:rFonts w:hint="default" w:ascii="Times New Roman" w:hAnsi="Times New Roman" w:eastAsia="宋体" w:cs="Times New Roman"/>
                <w:b/>
                <w:bCs/>
                <w:color w:val="auto"/>
                <w:sz w:val="24"/>
                <w:szCs w:val="24"/>
              </w:rPr>
            </w:pPr>
            <w:r>
              <w:rPr>
                <w:rFonts w:hint="eastAsia" w:ascii="Times New Roman" w:eastAsia="宋体" w:cs="Times New Roman"/>
                <w:b/>
                <w:bCs/>
                <w:color w:val="auto"/>
                <w:sz w:val="24"/>
                <w:szCs w:val="24"/>
                <w:lang w:val="en-US" w:eastAsia="zh-CN"/>
              </w:rPr>
              <w:t>4.</w:t>
            </w:r>
            <w:r>
              <w:rPr>
                <w:rFonts w:hint="default" w:ascii="Times New Roman" w:hAnsi="Times New Roman" w:eastAsia="宋体" w:cs="Times New Roman"/>
                <w:b/>
                <w:bCs/>
                <w:color w:val="auto"/>
                <w:sz w:val="24"/>
                <w:szCs w:val="24"/>
              </w:rPr>
              <w:t>生态环境</w:t>
            </w:r>
          </w:p>
          <w:p w14:paraId="446B12FF">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本项目</w:t>
            </w:r>
            <w:r>
              <w:rPr>
                <w:rFonts w:hint="eastAsia" w:cs="Times New Roman"/>
                <w:color w:val="auto"/>
                <w:sz w:val="24"/>
                <w:szCs w:val="24"/>
                <w:lang w:eastAsia="zh-CN"/>
              </w:rPr>
              <w:t>位于龙桥工业园区内</w:t>
            </w:r>
            <w:r>
              <w:rPr>
                <w:rFonts w:hint="default" w:ascii="Times New Roman" w:hAnsi="Times New Roman" w:eastAsia="宋体" w:cs="Times New Roman"/>
                <w:color w:val="auto"/>
                <w:sz w:val="24"/>
                <w:szCs w:val="24"/>
              </w:rPr>
              <w:t>，</w:t>
            </w:r>
            <w:r>
              <w:rPr>
                <w:rFonts w:hint="default" w:ascii="Times New Roman" w:hAnsi="Times New Roman" w:cs="Times New Roman"/>
                <w:color w:val="auto"/>
                <w:kern w:val="0"/>
                <w:sz w:val="24"/>
                <w:szCs w:val="24"/>
              </w:rPr>
              <w:t>所用地范围内无生态环境保护目标</w:t>
            </w:r>
            <w:r>
              <w:rPr>
                <w:rFonts w:hint="default" w:ascii="Times New Roman" w:hAnsi="Times New Roman" w:cs="Times New Roman"/>
                <w:color w:val="auto"/>
                <w:sz w:val="24"/>
                <w:szCs w:val="24"/>
              </w:rPr>
              <w:t>，因此本评价</w:t>
            </w:r>
            <w:r>
              <w:rPr>
                <w:rFonts w:hint="eastAsia" w:cs="Times New Roman"/>
                <w:color w:val="auto"/>
                <w:sz w:val="24"/>
                <w:szCs w:val="24"/>
                <w:lang w:eastAsia="zh-CN"/>
              </w:rPr>
              <w:t>不对项目</w:t>
            </w:r>
            <w:r>
              <w:rPr>
                <w:rFonts w:hint="default" w:ascii="Times New Roman" w:hAnsi="Times New Roman" w:cs="Times New Roman"/>
                <w:color w:val="auto"/>
                <w:sz w:val="24"/>
                <w:szCs w:val="24"/>
              </w:rPr>
              <w:t>所在地</w:t>
            </w:r>
            <w:r>
              <w:rPr>
                <w:rFonts w:hint="eastAsia" w:cs="Times New Roman"/>
                <w:color w:val="auto"/>
                <w:sz w:val="24"/>
                <w:szCs w:val="24"/>
                <w:lang w:eastAsia="zh-CN"/>
              </w:rPr>
              <w:t>开展</w:t>
            </w:r>
            <w:r>
              <w:rPr>
                <w:rFonts w:hint="default" w:ascii="Times New Roman" w:hAnsi="Times New Roman" w:cs="Times New Roman"/>
                <w:color w:val="auto"/>
                <w:sz w:val="24"/>
                <w:szCs w:val="24"/>
              </w:rPr>
              <w:t>生态环境现状调查。</w:t>
            </w:r>
          </w:p>
          <w:p w14:paraId="0E200830">
            <w:pPr>
              <w:pStyle w:val="23"/>
              <w:spacing w:line="360" w:lineRule="auto"/>
              <w:ind w:left="0" w:leftChars="0" w:firstLine="0" w:firstLineChars="0"/>
              <w:rPr>
                <w:rFonts w:ascii="Times New Roman" w:eastAsia="宋体" w:cs="Times New Roman"/>
                <w:b/>
                <w:bCs/>
                <w:color w:val="auto"/>
                <w:sz w:val="24"/>
                <w:szCs w:val="24"/>
              </w:rPr>
            </w:pPr>
            <w:r>
              <w:rPr>
                <w:rFonts w:hint="eastAsia" w:ascii="Times New Roman" w:eastAsia="宋体" w:cs="Times New Roman"/>
                <w:b/>
                <w:bCs/>
                <w:color w:val="auto"/>
                <w:sz w:val="24"/>
                <w:szCs w:val="24"/>
                <w:lang w:val="en-US" w:eastAsia="zh-CN"/>
              </w:rPr>
              <w:t>5.</w:t>
            </w:r>
            <w:r>
              <w:rPr>
                <w:rFonts w:ascii="Times New Roman" w:eastAsia="宋体" w:cs="Times New Roman"/>
                <w:b/>
                <w:bCs/>
                <w:color w:val="auto"/>
                <w:sz w:val="24"/>
                <w:szCs w:val="24"/>
              </w:rPr>
              <w:t>电磁辐射</w:t>
            </w:r>
          </w:p>
          <w:p w14:paraId="75AEFF9C">
            <w:pPr>
              <w:pStyle w:val="23"/>
              <w:spacing w:line="360" w:lineRule="auto"/>
              <w:ind w:firstLine="480" w:firstLineChars="200"/>
              <w:rPr>
                <w:rFonts w:hint="default" w:ascii="Times New Roman" w:hAnsi="Times New Roman" w:eastAsia="宋体" w:cs="Times New Roman"/>
                <w:b/>
                <w:bCs/>
                <w:color w:val="auto"/>
                <w:sz w:val="24"/>
                <w:szCs w:val="24"/>
              </w:rPr>
            </w:pPr>
            <w:r>
              <w:rPr>
                <w:rFonts w:ascii="Times New Roman" w:eastAsia="宋体" w:cs="Times New Roman"/>
                <w:color w:val="auto"/>
                <w:sz w:val="24"/>
                <w:szCs w:val="24"/>
              </w:rPr>
              <w:t>本项目</w:t>
            </w:r>
            <w:r>
              <w:rPr>
                <w:rFonts w:hint="eastAsia" w:ascii="Times New Roman" w:eastAsia="宋体" w:cs="Times New Roman"/>
                <w:color w:val="auto"/>
                <w:sz w:val="24"/>
                <w:szCs w:val="24"/>
                <w:lang w:eastAsia="zh-CN"/>
              </w:rPr>
              <w:t>主要从事植物油加工</w:t>
            </w:r>
            <w:r>
              <w:rPr>
                <w:rFonts w:ascii="Times New Roman" w:eastAsia="宋体" w:cs="Times New Roman"/>
                <w:color w:val="auto"/>
                <w:sz w:val="24"/>
                <w:szCs w:val="24"/>
              </w:rPr>
              <w:t>，不属于广播电台、差转台、电视塔台</w:t>
            </w:r>
            <w:r>
              <w:rPr>
                <w:rFonts w:hint="default" w:ascii="Times New Roman" w:hAnsi="Times New Roman" w:eastAsia="宋体" w:cs="Times New Roman"/>
                <w:color w:val="auto"/>
                <w:sz w:val="24"/>
                <w:szCs w:val="24"/>
              </w:rPr>
              <w:t>、卫星</w:t>
            </w:r>
            <w:r>
              <w:rPr>
                <w:rFonts w:hint="default" w:ascii="Times New Roman" w:hAnsi="Times New Roman" w:eastAsia="宋体" w:cs="Times New Roman"/>
                <w:color w:val="auto"/>
                <w:sz w:val="24"/>
                <w:szCs w:val="24"/>
                <w:lang w:eastAsia="zh-CN"/>
              </w:rPr>
              <w:t>地球</w:t>
            </w:r>
            <w:r>
              <w:rPr>
                <w:rFonts w:hint="default" w:ascii="Times New Roman" w:hAnsi="Times New Roman" w:eastAsia="宋体" w:cs="Times New Roman"/>
                <w:color w:val="auto"/>
                <w:sz w:val="24"/>
                <w:szCs w:val="24"/>
              </w:rPr>
              <w:t>上行站、雷达等电磁辐射</w:t>
            </w:r>
            <w:r>
              <w:rPr>
                <w:rFonts w:hint="default" w:ascii="Times New Roman" w:hAnsi="Times New Roman" w:eastAsia="宋体" w:cs="Times New Roman"/>
                <w:color w:val="auto"/>
                <w:sz w:val="24"/>
                <w:szCs w:val="24"/>
                <w:lang w:eastAsia="zh-CN"/>
              </w:rPr>
              <w:t>类</w:t>
            </w:r>
            <w:r>
              <w:rPr>
                <w:rFonts w:hint="default" w:ascii="Times New Roman" w:hAnsi="Times New Roman" w:eastAsia="宋体" w:cs="Times New Roman"/>
                <w:color w:val="auto"/>
                <w:sz w:val="24"/>
                <w:szCs w:val="24"/>
              </w:rPr>
              <w:t>项目，</w:t>
            </w:r>
            <w:r>
              <w:rPr>
                <w:rFonts w:hint="default" w:ascii="Times New Roman" w:hAnsi="Times New Roman" w:eastAsia="宋体" w:cs="Times New Roman"/>
                <w:color w:val="auto"/>
                <w:sz w:val="24"/>
                <w:szCs w:val="24"/>
                <w:lang w:eastAsia="zh-CN"/>
              </w:rPr>
              <w:t>根据相关技术导则</w:t>
            </w:r>
            <w:r>
              <w:rPr>
                <w:rFonts w:hint="default" w:ascii="Times New Roman" w:hAnsi="Times New Roman" w:eastAsia="宋体" w:cs="Times New Roman"/>
                <w:color w:val="auto"/>
                <w:sz w:val="24"/>
                <w:szCs w:val="24"/>
              </w:rPr>
              <w:t>本评价不开展电磁辐射现状监测与评价。</w:t>
            </w:r>
          </w:p>
          <w:p w14:paraId="52C57D8F">
            <w:pPr>
              <w:pStyle w:val="23"/>
              <w:spacing w:line="360" w:lineRule="auto"/>
              <w:ind w:left="0" w:leftChars="0" w:firstLine="0" w:firstLineChars="0"/>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lang w:val="en-US" w:eastAsia="zh-CN"/>
              </w:rPr>
              <w:t>6.</w:t>
            </w:r>
            <w:r>
              <w:rPr>
                <w:rFonts w:hint="default" w:ascii="Times New Roman" w:hAnsi="Times New Roman" w:eastAsia="宋体" w:cs="Times New Roman"/>
                <w:b/>
                <w:bCs/>
                <w:color w:val="auto"/>
                <w:sz w:val="24"/>
                <w:szCs w:val="24"/>
              </w:rPr>
              <w:t>地下水</w:t>
            </w:r>
            <w:r>
              <w:rPr>
                <w:rFonts w:hint="default" w:ascii="Times New Roman" w:hAnsi="Times New Roman" w:eastAsia="宋体" w:cs="Times New Roman"/>
                <w:b/>
                <w:bCs/>
                <w:color w:val="auto"/>
                <w:sz w:val="24"/>
                <w:szCs w:val="24"/>
                <w:lang w:eastAsia="zh-CN"/>
              </w:rPr>
              <w:t>、土壤</w:t>
            </w:r>
            <w:r>
              <w:rPr>
                <w:rFonts w:hint="default" w:ascii="Times New Roman" w:hAnsi="Times New Roman" w:eastAsia="宋体" w:cs="Times New Roman"/>
                <w:b/>
                <w:bCs/>
                <w:color w:val="auto"/>
                <w:sz w:val="24"/>
                <w:szCs w:val="24"/>
              </w:rPr>
              <w:t>环境质量现状</w:t>
            </w:r>
          </w:p>
          <w:p w14:paraId="19BE432A">
            <w:pPr>
              <w:widowControl/>
              <w:spacing w:line="360" w:lineRule="auto"/>
              <w:ind w:firstLine="480" w:firstLineChars="200"/>
              <w:jc w:val="both"/>
              <w:rPr>
                <w:color w:val="auto"/>
              </w:rPr>
            </w:pPr>
            <w:r>
              <w:rPr>
                <w:rFonts w:hint="default" w:ascii="Times New Roman" w:hAnsi="Times New Roman" w:cs="Times New Roman" w:eastAsiaTheme="minorEastAsia"/>
                <w:color w:val="auto"/>
                <w:kern w:val="0"/>
                <w:sz w:val="24"/>
                <w:szCs w:val="24"/>
              </w:rPr>
              <w:t>本项目</w:t>
            </w:r>
            <w:r>
              <w:rPr>
                <w:rFonts w:hint="eastAsia" w:cs="Times New Roman" w:eastAsiaTheme="minorEastAsia"/>
                <w:color w:val="auto"/>
                <w:kern w:val="0"/>
                <w:sz w:val="24"/>
                <w:szCs w:val="24"/>
                <w:lang w:eastAsia="zh-CN"/>
              </w:rPr>
              <w:t>危险废物贮存库</w:t>
            </w:r>
            <w:r>
              <w:rPr>
                <w:rFonts w:hint="default" w:ascii="Times New Roman" w:hAnsi="Times New Roman" w:cs="Times New Roman" w:eastAsiaTheme="minorEastAsia"/>
                <w:color w:val="auto"/>
                <w:kern w:val="0"/>
                <w:sz w:val="24"/>
                <w:szCs w:val="24"/>
              </w:rPr>
              <w:t>按照《危险废物贮存污染控制标准》（GB/T18597-2001）</w:t>
            </w:r>
            <w:r>
              <w:rPr>
                <w:rFonts w:hint="default" w:ascii="Times New Roman" w:hAnsi="Times New Roman" w:eastAsia="宋体" w:cs="Times New Roman"/>
                <w:bCs/>
                <w:color w:val="auto"/>
                <w:sz w:val="24"/>
                <w:szCs w:val="24"/>
              </w:rPr>
              <w:t>及其修改单(环境保护部</w:t>
            </w:r>
            <w:r>
              <w:rPr>
                <w:rFonts w:hint="eastAsia" w:eastAsia="宋体" w:cs="Times New Roman"/>
                <w:bCs/>
                <w:color w:val="auto"/>
                <w:sz w:val="24"/>
                <w:szCs w:val="24"/>
                <w:lang w:eastAsia="zh-CN"/>
              </w:rPr>
              <w:t>公告</w:t>
            </w:r>
            <w:r>
              <w:rPr>
                <w:rFonts w:hint="default" w:ascii="Times New Roman" w:hAnsi="Times New Roman" w:eastAsia="宋体" w:cs="Times New Roman"/>
                <w:bCs/>
                <w:color w:val="auto"/>
                <w:sz w:val="24"/>
                <w:szCs w:val="24"/>
              </w:rPr>
              <w:t>2013年第36号)</w:t>
            </w:r>
            <w:r>
              <w:rPr>
                <w:rFonts w:hint="default" w:ascii="Times New Roman" w:hAnsi="Times New Roman" w:eastAsia="宋体" w:cs="Times New Roman"/>
                <w:bCs/>
                <w:color w:val="auto"/>
                <w:sz w:val="24"/>
                <w:szCs w:val="24"/>
                <w:lang w:eastAsia="zh-CN"/>
              </w:rPr>
              <w:t>，</w:t>
            </w:r>
            <w:r>
              <w:rPr>
                <w:rFonts w:hint="default" w:ascii="Times New Roman" w:hAnsi="Times New Roman" w:cs="Times New Roman" w:eastAsiaTheme="minorEastAsia"/>
                <w:color w:val="auto"/>
                <w:kern w:val="0"/>
                <w:sz w:val="24"/>
                <w:szCs w:val="24"/>
              </w:rPr>
              <w:t>危废暂存间设置防风、防雨、防晒、防渗漏等措施，采取以上措施后，</w:t>
            </w:r>
            <w:r>
              <w:rPr>
                <w:rFonts w:hint="default" w:ascii="Times New Roman" w:hAnsi="Times New Roman" w:cs="Times New Roman" w:eastAsiaTheme="minorEastAsia"/>
                <w:color w:val="auto"/>
                <w:spacing w:val="8"/>
                <w:kern w:val="0"/>
                <w:sz w:val="24"/>
                <w:szCs w:val="24"/>
                <w:lang w:eastAsia="zh-CN"/>
              </w:rPr>
              <w:t>本项目</w:t>
            </w:r>
            <w:r>
              <w:rPr>
                <w:rFonts w:hint="default" w:ascii="Times New Roman" w:hAnsi="Times New Roman" w:cs="Times New Roman" w:eastAsiaTheme="minorEastAsia"/>
                <w:color w:val="auto"/>
                <w:kern w:val="0"/>
                <w:sz w:val="24"/>
                <w:szCs w:val="24"/>
              </w:rPr>
              <w:t>基本无</w:t>
            </w:r>
            <w:r>
              <w:rPr>
                <w:rFonts w:hint="default" w:ascii="Times New Roman" w:hAnsi="Times New Roman" w:cs="Times New Roman"/>
                <w:color w:val="auto"/>
                <w:spacing w:val="8"/>
                <w:kern w:val="0"/>
                <w:sz w:val="24"/>
                <w:szCs w:val="24"/>
              </w:rPr>
              <w:t>地下水、土壤环境污染途径</w:t>
            </w:r>
            <w:r>
              <w:rPr>
                <w:rFonts w:hint="default" w:ascii="Times New Roman" w:hAnsi="Times New Roman" w:cs="Times New Roman" w:eastAsiaTheme="minorEastAsia"/>
                <w:color w:val="auto"/>
                <w:kern w:val="0"/>
                <w:sz w:val="24"/>
                <w:szCs w:val="24"/>
              </w:rPr>
              <w:t>。因此，不开展地下水</w:t>
            </w:r>
            <w:r>
              <w:rPr>
                <w:rFonts w:hint="default" w:ascii="Times New Roman" w:hAnsi="Times New Roman" w:cs="Times New Roman"/>
                <w:color w:val="auto"/>
                <w:spacing w:val="8"/>
                <w:kern w:val="0"/>
                <w:sz w:val="24"/>
                <w:szCs w:val="24"/>
              </w:rPr>
              <w:t>、土壤</w:t>
            </w:r>
            <w:r>
              <w:rPr>
                <w:rFonts w:hint="default" w:ascii="Times New Roman" w:hAnsi="Times New Roman" w:cs="Times New Roman" w:eastAsiaTheme="minorEastAsia"/>
                <w:color w:val="auto"/>
                <w:kern w:val="0"/>
                <w:sz w:val="24"/>
                <w:szCs w:val="24"/>
              </w:rPr>
              <w:t>现状调查。</w:t>
            </w:r>
          </w:p>
        </w:tc>
      </w:tr>
      <w:tr w14:paraId="71262F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800" w:type="dxa"/>
            <w:vAlign w:val="center"/>
          </w:tcPr>
          <w:p w14:paraId="3242C765">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环境</w:t>
            </w:r>
          </w:p>
          <w:p w14:paraId="1B210DF8">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保护</w:t>
            </w:r>
          </w:p>
          <w:p w14:paraId="62596A2A">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color w:val="auto"/>
              </w:rPr>
              <w:t>目标</w:t>
            </w:r>
          </w:p>
        </w:tc>
        <w:tc>
          <w:tcPr>
            <w:tcW w:w="8190" w:type="dxa"/>
          </w:tcPr>
          <w:p w14:paraId="7FF14B62">
            <w:pPr>
              <w:adjustRightInd w:val="0"/>
              <w:snapToGrid w:val="0"/>
              <w:spacing w:line="360" w:lineRule="auto"/>
              <w:ind w:left="0" w:leftChars="0" w:firstLine="0" w:firstLineChars="0"/>
              <w:jc w:val="both"/>
              <w:rPr>
                <w:rFonts w:hint="default" w:ascii="Times New Roman" w:hAnsi="Times New Roman" w:cs="Times New Roman"/>
                <w:b/>
                <w:bCs/>
                <w:color w:val="auto"/>
                <w:sz w:val="24"/>
                <w:szCs w:val="24"/>
              </w:rPr>
            </w:pPr>
            <w:r>
              <w:rPr>
                <w:rFonts w:hint="eastAsia" w:cs="Times New Roman"/>
                <w:b/>
                <w:bCs/>
                <w:color w:val="auto"/>
                <w:sz w:val="24"/>
                <w:szCs w:val="24"/>
                <w:lang w:val="en-US" w:eastAsia="zh-CN"/>
              </w:rPr>
              <w:t>7.</w:t>
            </w:r>
            <w:r>
              <w:rPr>
                <w:rFonts w:hint="default" w:ascii="Times New Roman" w:hAnsi="Times New Roman" w:cs="Times New Roman"/>
                <w:b/>
                <w:bCs/>
                <w:color w:val="auto"/>
                <w:sz w:val="24"/>
                <w:szCs w:val="24"/>
              </w:rPr>
              <w:t>大气环境保护目标</w:t>
            </w:r>
          </w:p>
          <w:p w14:paraId="439FC796">
            <w:pPr>
              <w:pStyle w:val="23"/>
              <w:spacing w:line="360" w:lineRule="auto"/>
              <w:ind w:firstLine="480" w:firstLineChars="200"/>
              <w:jc w:val="both"/>
              <w:rPr>
                <w:rFonts w:hint="default" w:ascii="Times New Roman" w:hAnsi="Times New Roman" w:eastAsia="宋体" w:cs="Times New Roman"/>
                <w:color w:val="auto"/>
                <w:sz w:val="24"/>
                <w:szCs w:val="24"/>
              </w:rPr>
            </w:pPr>
            <w:r>
              <w:rPr>
                <w:rFonts w:hint="default" w:ascii="Times New Roman" w:hAnsi="Times New Roman" w:eastAsia="宋体" w:cs="Times New Roman"/>
                <w:bCs/>
                <w:color w:val="auto"/>
                <w:sz w:val="24"/>
                <w:szCs w:val="24"/>
              </w:rPr>
              <w:t>本项目位于</w:t>
            </w:r>
            <w:r>
              <w:rPr>
                <w:rFonts w:hint="default" w:ascii="Times New Roman" w:hAnsi="Times New Roman" w:cs="Times New Roman"/>
                <w:color w:val="auto"/>
                <w:sz w:val="24"/>
                <w:szCs w:val="24"/>
              </w:rPr>
              <w:t>重庆市涪陵区龙桥街道龙兴东路</w:t>
            </w:r>
            <w:r>
              <w:rPr>
                <w:rFonts w:hint="default" w:ascii="Times New Roman" w:hAnsi="Times New Roman" w:eastAsia="Times New Roman" w:cs="Times New Roman"/>
                <w:color w:val="auto"/>
                <w:sz w:val="24"/>
                <w:szCs w:val="24"/>
              </w:rPr>
              <w:t>88</w:t>
            </w:r>
            <w:r>
              <w:rPr>
                <w:rFonts w:hint="default" w:ascii="Times New Roman" w:hAnsi="Times New Roman" w:cs="Times New Roman"/>
                <w:color w:val="auto"/>
                <w:sz w:val="24"/>
                <w:szCs w:val="24"/>
              </w:rPr>
              <w:t>号</w:t>
            </w:r>
            <w:r>
              <w:rPr>
                <w:rFonts w:hint="default" w:ascii="Times New Roman" w:hAnsi="Times New Roman" w:cs="Times New Roman"/>
                <w:color w:val="auto"/>
                <w:sz w:val="24"/>
                <w:szCs w:val="24"/>
                <w:lang w:eastAsia="zh-CN"/>
              </w:rPr>
              <w:t>，属于龙桥工业园区内</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项目周边500m范围内大气环境保护目标主要为北</w:t>
            </w:r>
            <w:r>
              <w:rPr>
                <w:rFonts w:hint="default" w:ascii="Times New Roman" w:hAnsi="Times New Roman" w:cs="Times New Roman"/>
                <w:color w:val="auto"/>
                <w:sz w:val="24"/>
                <w:szCs w:val="24"/>
              </w:rPr>
              <w:t>拱街道</w:t>
            </w:r>
            <w:r>
              <w:rPr>
                <w:rFonts w:hint="eastAsia" w:ascii="Times New Roman" w:hAnsi="Times New Roman" w:cs="Times New Roman"/>
                <w:color w:val="auto"/>
                <w:sz w:val="24"/>
                <w:szCs w:val="24"/>
                <w:lang w:eastAsia="zh-CN"/>
              </w:rPr>
              <w:t>居民，</w:t>
            </w:r>
            <w:r>
              <w:rPr>
                <w:rFonts w:hint="eastAsia" w:ascii="Times New Roman" w:cs="Times New Roman"/>
                <w:color w:val="auto"/>
                <w:sz w:val="24"/>
                <w:szCs w:val="24"/>
                <w:lang w:eastAsia="zh-CN"/>
              </w:rPr>
              <w:t>其与</w:t>
            </w:r>
            <w:r>
              <w:rPr>
                <w:rFonts w:hint="eastAsia" w:ascii="Times New Roman" w:hAnsi="Times New Roman" w:cs="Times New Roman"/>
                <w:color w:val="auto"/>
                <w:sz w:val="24"/>
                <w:szCs w:val="24"/>
                <w:lang w:eastAsia="zh-CN"/>
              </w:rPr>
              <w:t>本项目的位置关系详见表</w:t>
            </w:r>
            <w:r>
              <w:rPr>
                <w:rFonts w:hint="eastAsia" w:ascii="Times New Roman" w:cs="Times New Roman"/>
                <w:color w:val="auto"/>
                <w:sz w:val="24"/>
                <w:szCs w:val="24"/>
                <w:lang w:val="en-US" w:eastAsia="zh-CN"/>
              </w:rPr>
              <w:t>3.7-1</w:t>
            </w:r>
            <w:r>
              <w:rPr>
                <w:rFonts w:hint="default" w:ascii="Times New Roman" w:hAnsi="Times New Roman" w:eastAsia="宋体" w:cs="Times New Roman"/>
                <w:color w:val="auto"/>
                <w:sz w:val="24"/>
                <w:szCs w:val="24"/>
              </w:rPr>
              <w:t>。</w:t>
            </w:r>
          </w:p>
          <w:p w14:paraId="7F5046C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表3.7-1 大气环境保护目标</w:t>
            </w:r>
          </w:p>
          <w:tbl>
            <w:tblPr>
              <w:tblStyle w:val="1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601"/>
              <w:gridCol w:w="603"/>
              <w:gridCol w:w="723"/>
              <w:gridCol w:w="2199"/>
              <w:gridCol w:w="702"/>
              <w:gridCol w:w="761"/>
              <w:gridCol w:w="1281"/>
            </w:tblGrid>
            <w:tr w14:paraId="36B82F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pct"/>
                  <w:vMerge w:val="restart"/>
                  <w:tcBorders>
                    <w:top w:val="single" w:color="auto" w:sz="4" w:space="0"/>
                    <w:left w:val="nil"/>
                    <w:bottom w:val="single" w:color="auto" w:sz="4" w:space="0"/>
                    <w:right w:val="single" w:color="auto" w:sz="4" w:space="0"/>
                  </w:tcBorders>
                  <w:noWrap w:val="0"/>
                  <w:vAlign w:val="center"/>
                </w:tcPr>
                <w:p w14:paraId="2F6CD67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保护目标</w:t>
                  </w:r>
                </w:p>
              </w:tc>
              <w:tc>
                <w:tcPr>
                  <w:tcW w:w="754" w:type="pct"/>
                  <w:gridSpan w:val="2"/>
                  <w:tcBorders>
                    <w:top w:val="single" w:color="auto" w:sz="4" w:space="0"/>
                    <w:left w:val="single" w:color="auto" w:sz="4" w:space="0"/>
                    <w:bottom w:val="single" w:color="auto" w:sz="4" w:space="0"/>
                    <w:right w:val="single" w:color="auto" w:sz="4" w:space="0"/>
                  </w:tcBorders>
                  <w:noWrap w:val="0"/>
                  <w:vAlign w:val="center"/>
                </w:tcPr>
                <w:p w14:paraId="00CE8FE7">
                  <w:pPr>
                    <w:pStyle w:val="3"/>
                    <w:bidi w:val="0"/>
                    <w:rPr>
                      <w:rFonts w:hint="default" w:ascii="Times New Roman" w:hAnsi="Times New Roman" w:cs="Times New Roman"/>
                      <w:color w:val="auto"/>
                    </w:rPr>
                  </w:pPr>
                  <w:r>
                    <w:rPr>
                      <w:rFonts w:hint="default" w:ascii="Times New Roman" w:hAnsi="Times New Roman" w:cs="Times New Roman"/>
                      <w:color w:val="auto"/>
                    </w:rPr>
                    <w:t>坐标/m</w:t>
                  </w:r>
                </w:p>
              </w:tc>
              <w:tc>
                <w:tcPr>
                  <w:tcW w:w="453" w:type="pct"/>
                  <w:vMerge w:val="restart"/>
                  <w:tcBorders>
                    <w:top w:val="single" w:color="auto" w:sz="4" w:space="0"/>
                    <w:left w:val="single" w:color="auto" w:sz="4" w:space="0"/>
                    <w:bottom w:val="single" w:color="auto" w:sz="4" w:space="0"/>
                    <w:right w:val="single" w:color="auto" w:sz="4" w:space="0"/>
                  </w:tcBorders>
                  <w:noWrap w:val="0"/>
                  <w:vAlign w:val="center"/>
                </w:tcPr>
                <w:p w14:paraId="4679BDF6">
                  <w:pPr>
                    <w:pStyle w:val="3"/>
                    <w:bidi w:val="0"/>
                    <w:rPr>
                      <w:rFonts w:hint="default" w:ascii="Times New Roman" w:hAnsi="Times New Roman" w:cs="Times New Roman"/>
                      <w:color w:val="auto"/>
                    </w:rPr>
                  </w:pPr>
                  <w:r>
                    <w:rPr>
                      <w:rFonts w:hint="default" w:ascii="Times New Roman" w:hAnsi="Times New Roman" w:cs="Times New Roman"/>
                      <w:color w:val="auto"/>
                    </w:rPr>
                    <w:t>保护</w:t>
                  </w:r>
                </w:p>
                <w:p w14:paraId="281A7704">
                  <w:pPr>
                    <w:pStyle w:val="3"/>
                    <w:bidi w:val="0"/>
                    <w:rPr>
                      <w:rFonts w:hint="default" w:ascii="Times New Roman" w:hAnsi="Times New Roman" w:cs="Times New Roman"/>
                      <w:color w:val="auto"/>
                    </w:rPr>
                  </w:pPr>
                  <w:r>
                    <w:rPr>
                      <w:rFonts w:hint="default" w:ascii="Times New Roman" w:hAnsi="Times New Roman" w:cs="Times New Roman"/>
                      <w:color w:val="auto"/>
                    </w:rPr>
                    <w:t>对象</w:t>
                  </w:r>
                </w:p>
              </w:tc>
              <w:tc>
                <w:tcPr>
                  <w:tcW w:w="1378" w:type="pct"/>
                  <w:vMerge w:val="restart"/>
                  <w:tcBorders>
                    <w:top w:val="single" w:color="auto" w:sz="4" w:space="0"/>
                    <w:left w:val="single" w:color="auto" w:sz="4" w:space="0"/>
                    <w:bottom w:val="single" w:color="auto" w:sz="4" w:space="0"/>
                    <w:right w:val="single" w:color="auto" w:sz="4" w:space="0"/>
                  </w:tcBorders>
                  <w:noWrap w:val="0"/>
                  <w:vAlign w:val="center"/>
                </w:tcPr>
                <w:p w14:paraId="32AB3FF6">
                  <w:pPr>
                    <w:pStyle w:val="3"/>
                    <w:bidi w:val="0"/>
                    <w:rPr>
                      <w:rFonts w:hint="default" w:ascii="Times New Roman" w:hAnsi="Times New Roman" w:cs="Times New Roman"/>
                      <w:color w:val="auto"/>
                    </w:rPr>
                  </w:pPr>
                  <w:r>
                    <w:rPr>
                      <w:rFonts w:hint="default" w:ascii="Times New Roman" w:hAnsi="Times New Roman" w:cs="Times New Roman"/>
                      <w:color w:val="auto"/>
                    </w:rPr>
                    <w:t>保护内容</w:t>
                  </w:r>
                </w:p>
              </w:tc>
              <w:tc>
                <w:tcPr>
                  <w:tcW w:w="440" w:type="pct"/>
                  <w:vMerge w:val="restart"/>
                  <w:tcBorders>
                    <w:top w:val="single" w:color="auto" w:sz="4" w:space="0"/>
                    <w:left w:val="single" w:color="auto" w:sz="4" w:space="0"/>
                    <w:bottom w:val="single" w:color="auto" w:sz="4" w:space="0"/>
                    <w:right w:val="single" w:color="auto" w:sz="4" w:space="0"/>
                  </w:tcBorders>
                  <w:noWrap w:val="0"/>
                  <w:vAlign w:val="center"/>
                </w:tcPr>
                <w:p w14:paraId="37612606">
                  <w:pPr>
                    <w:pStyle w:val="3"/>
                    <w:bidi w:val="0"/>
                    <w:rPr>
                      <w:rFonts w:hint="default" w:ascii="Times New Roman" w:hAnsi="Times New Roman" w:cs="Times New Roman"/>
                      <w:color w:val="auto"/>
                    </w:rPr>
                  </w:pPr>
                  <w:r>
                    <w:rPr>
                      <w:rFonts w:hint="default" w:ascii="Times New Roman" w:hAnsi="Times New Roman" w:cs="Times New Roman"/>
                      <w:color w:val="auto"/>
                    </w:rPr>
                    <w:t>方位</w:t>
                  </w:r>
                </w:p>
              </w:tc>
              <w:tc>
                <w:tcPr>
                  <w:tcW w:w="477" w:type="pct"/>
                  <w:vMerge w:val="restart"/>
                  <w:tcBorders>
                    <w:top w:val="single" w:color="auto" w:sz="4" w:space="0"/>
                    <w:left w:val="single" w:color="auto" w:sz="4" w:space="0"/>
                    <w:bottom w:val="single" w:color="auto" w:sz="4" w:space="0"/>
                    <w:right w:val="single" w:color="auto" w:sz="4" w:space="0"/>
                  </w:tcBorders>
                  <w:noWrap w:val="0"/>
                  <w:vAlign w:val="center"/>
                </w:tcPr>
                <w:p w14:paraId="080B59CD">
                  <w:pPr>
                    <w:pStyle w:val="3"/>
                    <w:bidi w:val="0"/>
                    <w:rPr>
                      <w:rFonts w:hint="default" w:ascii="Times New Roman" w:hAnsi="Times New Roman" w:cs="Times New Roman"/>
                      <w:color w:val="auto"/>
                    </w:rPr>
                  </w:pPr>
                  <w:r>
                    <w:rPr>
                      <w:rFonts w:hint="default" w:ascii="Times New Roman" w:hAnsi="Times New Roman" w:cs="Times New Roman"/>
                      <w:color w:val="auto"/>
                    </w:rPr>
                    <w:t>距离</w:t>
                  </w:r>
                </w:p>
              </w:tc>
              <w:tc>
                <w:tcPr>
                  <w:tcW w:w="803" w:type="pct"/>
                  <w:vMerge w:val="restart"/>
                  <w:tcBorders>
                    <w:top w:val="single" w:color="auto" w:sz="4" w:space="0"/>
                    <w:left w:val="single" w:color="auto" w:sz="4" w:space="0"/>
                    <w:bottom w:val="single" w:color="auto" w:sz="4" w:space="0"/>
                    <w:right w:val="nil"/>
                  </w:tcBorders>
                  <w:noWrap w:val="0"/>
                  <w:vAlign w:val="center"/>
                </w:tcPr>
                <w:p w14:paraId="141299A8">
                  <w:pPr>
                    <w:pStyle w:val="3"/>
                    <w:bidi w:val="0"/>
                    <w:rPr>
                      <w:rFonts w:hint="default" w:ascii="Times New Roman" w:hAnsi="Times New Roman" w:cs="Times New Roman"/>
                      <w:color w:val="auto"/>
                    </w:rPr>
                  </w:pPr>
                  <w:r>
                    <w:rPr>
                      <w:rFonts w:hint="default" w:ascii="Times New Roman" w:hAnsi="Times New Roman" w:cs="Times New Roman"/>
                      <w:color w:val="auto"/>
                    </w:rPr>
                    <w:t>环境功能区</w:t>
                  </w:r>
                </w:p>
              </w:tc>
            </w:tr>
            <w:tr w14:paraId="25A8F6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pct"/>
                  <w:vMerge w:val="continue"/>
                  <w:tcBorders>
                    <w:top w:val="single" w:color="auto" w:sz="4" w:space="0"/>
                    <w:left w:val="nil"/>
                    <w:bottom w:val="single" w:color="auto" w:sz="4" w:space="0"/>
                    <w:right w:val="single" w:color="auto" w:sz="4" w:space="0"/>
                  </w:tcBorders>
                  <w:noWrap w:val="0"/>
                  <w:vAlign w:val="center"/>
                </w:tcPr>
                <w:p w14:paraId="79C75D6F">
                  <w:pPr>
                    <w:pStyle w:val="3"/>
                    <w:bidi w:val="0"/>
                    <w:rPr>
                      <w:rFonts w:hint="default" w:ascii="Times New Roman" w:hAnsi="Times New Roman" w:cs="Times New Roman"/>
                      <w:color w:val="auto"/>
                    </w:rPr>
                  </w:pPr>
                </w:p>
              </w:tc>
              <w:tc>
                <w:tcPr>
                  <w:tcW w:w="376" w:type="pct"/>
                  <w:tcBorders>
                    <w:top w:val="single" w:color="auto" w:sz="4" w:space="0"/>
                    <w:left w:val="single" w:color="auto" w:sz="4" w:space="0"/>
                    <w:bottom w:val="single" w:color="auto" w:sz="4" w:space="0"/>
                    <w:right w:val="single" w:color="auto" w:sz="4" w:space="0"/>
                  </w:tcBorders>
                  <w:noWrap w:val="0"/>
                  <w:vAlign w:val="center"/>
                </w:tcPr>
                <w:p w14:paraId="282C928D">
                  <w:pPr>
                    <w:pStyle w:val="3"/>
                    <w:bidi w:val="0"/>
                    <w:rPr>
                      <w:rFonts w:hint="default" w:ascii="Times New Roman" w:hAnsi="Times New Roman" w:cs="Times New Roman"/>
                      <w:color w:val="auto"/>
                    </w:rPr>
                  </w:pPr>
                  <w:r>
                    <w:rPr>
                      <w:rFonts w:hint="default" w:ascii="Times New Roman" w:hAnsi="Times New Roman" w:cs="Times New Roman"/>
                      <w:color w:val="auto"/>
                    </w:rPr>
                    <w:t>X</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020C987F">
                  <w:pPr>
                    <w:pStyle w:val="3"/>
                    <w:bidi w:val="0"/>
                    <w:rPr>
                      <w:rFonts w:hint="default" w:ascii="Times New Roman" w:hAnsi="Times New Roman" w:cs="Times New Roman"/>
                      <w:color w:val="auto"/>
                    </w:rPr>
                  </w:pPr>
                  <w:r>
                    <w:rPr>
                      <w:rFonts w:hint="default" w:ascii="Times New Roman" w:hAnsi="Times New Roman" w:cs="Times New Roman"/>
                      <w:color w:val="auto"/>
                    </w:rPr>
                    <w:t>Y</w:t>
                  </w:r>
                </w:p>
              </w:tc>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14:paraId="522D609F">
                  <w:pPr>
                    <w:pStyle w:val="3"/>
                    <w:bidi w:val="0"/>
                    <w:rPr>
                      <w:rFonts w:hint="default" w:ascii="Times New Roman" w:hAnsi="Times New Roman" w:cs="Times New Roman"/>
                      <w:color w:val="auto"/>
                    </w:rPr>
                  </w:pPr>
                </w:p>
              </w:tc>
              <w:tc>
                <w:tcPr>
                  <w:tcW w:w="1378" w:type="pct"/>
                  <w:vMerge w:val="continue"/>
                  <w:tcBorders>
                    <w:top w:val="single" w:color="auto" w:sz="4" w:space="0"/>
                    <w:left w:val="single" w:color="auto" w:sz="4" w:space="0"/>
                    <w:bottom w:val="single" w:color="auto" w:sz="4" w:space="0"/>
                    <w:right w:val="single" w:color="auto" w:sz="4" w:space="0"/>
                  </w:tcBorders>
                  <w:noWrap w:val="0"/>
                  <w:vAlign w:val="center"/>
                </w:tcPr>
                <w:p w14:paraId="015B2F2A">
                  <w:pPr>
                    <w:pStyle w:val="3"/>
                    <w:bidi w:val="0"/>
                    <w:rPr>
                      <w:rFonts w:hint="default" w:ascii="Times New Roman" w:hAnsi="Times New Roman" w:cs="Times New Roman"/>
                      <w:color w:val="auto"/>
                    </w:rPr>
                  </w:pPr>
                </w:p>
              </w:tc>
              <w:tc>
                <w:tcPr>
                  <w:tcW w:w="440" w:type="pct"/>
                  <w:vMerge w:val="continue"/>
                  <w:tcBorders>
                    <w:top w:val="single" w:color="auto" w:sz="4" w:space="0"/>
                    <w:left w:val="single" w:color="auto" w:sz="4" w:space="0"/>
                    <w:bottom w:val="single" w:color="auto" w:sz="4" w:space="0"/>
                    <w:right w:val="single" w:color="auto" w:sz="4" w:space="0"/>
                  </w:tcBorders>
                  <w:noWrap w:val="0"/>
                  <w:vAlign w:val="center"/>
                </w:tcPr>
                <w:p w14:paraId="2ACA43DF">
                  <w:pPr>
                    <w:pStyle w:val="3"/>
                    <w:bidi w:val="0"/>
                    <w:rPr>
                      <w:rFonts w:hint="default" w:ascii="Times New Roman" w:hAnsi="Times New Roman" w:cs="Times New Roman"/>
                      <w:color w:val="auto"/>
                    </w:rPr>
                  </w:pPr>
                </w:p>
              </w:tc>
              <w:tc>
                <w:tcPr>
                  <w:tcW w:w="477" w:type="pct"/>
                  <w:vMerge w:val="continue"/>
                  <w:tcBorders>
                    <w:top w:val="single" w:color="auto" w:sz="4" w:space="0"/>
                    <w:left w:val="single" w:color="auto" w:sz="4" w:space="0"/>
                    <w:bottom w:val="single" w:color="auto" w:sz="4" w:space="0"/>
                    <w:right w:val="single" w:color="auto" w:sz="4" w:space="0"/>
                  </w:tcBorders>
                  <w:noWrap w:val="0"/>
                  <w:vAlign w:val="center"/>
                </w:tcPr>
                <w:p w14:paraId="19C94FF9">
                  <w:pPr>
                    <w:pStyle w:val="3"/>
                    <w:bidi w:val="0"/>
                    <w:rPr>
                      <w:rFonts w:hint="default" w:ascii="Times New Roman" w:hAnsi="Times New Roman" w:cs="Times New Roman"/>
                      <w:color w:val="auto"/>
                    </w:rPr>
                  </w:pPr>
                </w:p>
              </w:tc>
              <w:tc>
                <w:tcPr>
                  <w:tcW w:w="803" w:type="pct"/>
                  <w:vMerge w:val="continue"/>
                  <w:tcBorders>
                    <w:top w:val="single" w:color="auto" w:sz="4" w:space="0"/>
                    <w:left w:val="single" w:color="auto" w:sz="4" w:space="0"/>
                    <w:bottom w:val="single" w:color="auto" w:sz="4" w:space="0"/>
                    <w:right w:val="nil"/>
                  </w:tcBorders>
                  <w:noWrap w:val="0"/>
                  <w:vAlign w:val="center"/>
                </w:tcPr>
                <w:p w14:paraId="51B04893">
                  <w:pPr>
                    <w:pStyle w:val="3"/>
                    <w:bidi w:val="0"/>
                    <w:rPr>
                      <w:rFonts w:hint="default" w:ascii="Times New Roman" w:hAnsi="Times New Roman" w:cs="Times New Roman"/>
                      <w:color w:val="auto"/>
                    </w:rPr>
                  </w:pPr>
                </w:p>
              </w:tc>
            </w:tr>
            <w:tr w14:paraId="12E7B5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92" w:type="pct"/>
                  <w:tcBorders>
                    <w:top w:val="single" w:color="auto" w:sz="4" w:space="0"/>
                    <w:left w:val="nil"/>
                    <w:bottom w:val="single" w:color="auto" w:sz="4" w:space="0"/>
                    <w:right w:val="single" w:color="auto" w:sz="4" w:space="0"/>
                  </w:tcBorders>
                  <w:noWrap w:val="0"/>
                  <w:vAlign w:val="center"/>
                </w:tcPr>
                <w:p w14:paraId="6BCF555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西侧居民</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6D0F24A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383DC27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38968ED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居民</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7F32145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户，约</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人</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35A409D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6B62939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35m</w:t>
                  </w:r>
                </w:p>
              </w:tc>
              <w:tc>
                <w:tcPr>
                  <w:tcW w:w="803" w:type="pct"/>
                  <w:tcBorders>
                    <w:top w:val="single" w:color="auto" w:sz="4" w:space="0"/>
                    <w:left w:val="single" w:color="auto" w:sz="4" w:space="0"/>
                    <w:bottom w:val="single" w:color="auto" w:sz="4" w:space="0"/>
                    <w:right w:val="nil"/>
                  </w:tcBorders>
                  <w:noWrap w:val="0"/>
                  <w:vAlign w:val="center"/>
                </w:tcPr>
                <w:p w14:paraId="514B5386">
                  <w:pPr>
                    <w:pStyle w:val="3"/>
                    <w:bidi w:val="0"/>
                    <w:rPr>
                      <w:rFonts w:hint="default" w:ascii="Times New Roman" w:hAnsi="Times New Roman" w:cs="Times New Roman"/>
                      <w:color w:val="auto"/>
                    </w:rPr>
                  </w:pPr>
                  <w:r>
                    <w:rPr>
                      <w:rFonts w:hint="default" w:ascii="Times New Roman" w:hAnsi="Times New Roman" w:cs="Times New Roman"/>
                      <w:color w:val="auto"/>
                    </w:rPr>
                    <w:t>大气二类区</w:t>
                  </w:r>
                </w:p>
              </w:tc>
            </w:tr>
            <w:tr w14:paraId="663458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92" w:type="pct"/>
                  <w:tcBorders>
                    <w:top w:val="single" w:color="auto" w:sz="4" w:space="0"/>
                    <w:left w:val="nil"/>
                    <w:bottom w:val="single" w:color="auto" w:sz="4" w:space="0"/>
                    <w:right w:val="single" w:color="auto" w:sz="4" w:space="0"/>
                  </w:tcBorders>
                  <w:noWrap w:val="0"/>
                  <w:vAlign w:val="center"/>
                </w:tcPr>
                <w:p w14:paraId="7362306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北拱街道</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49826AE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-252</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239766D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4045399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居民</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17A55D5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150户，约450人</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219AC28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7715051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252m</w:t>
                  </w:r>
                </w:p>
              </w:tc>
              <w:tc>
                <w:tcPr>
                  <w:tcW w:w="803" w:type="pct"/>
                  <w:tcBorders>
                    <w:top w:val="single" w:color="auto" w:sz="4" w:space="0"/>
                    <w:left w:val="single" w:color="auto" w:sz="4" w:space="0"/>
                    <w:bottom w:val="single" w:color="auto" w:sz="4" w:space="0"/>
                    <w:right w:val="nil"/>
                  </w:tcBorders>
                  <w:noWrap w:val="0"/>
                  <w:vAlign w:val="center"/>
                </w:tcPr>
                <w:p w14:paraId="386159BD">
                  <w:pPr>
                    <w:pStyle w:val="3"/>
                    <w:bidi w:val="0"/>
                    <w:rPr>
                      <w:rFonts w:hint="default" w:ascii="Times New Roman" w:hAnsi="Times New Roman" w:cs="Times New Roman"/>
                      <w:color w:val="auto"/>
                    </w:rPr>
                  </w:pPr>
                  <w:r>
                    <w:rPr>
                      <w:rFonts w:hint="default" w:ascii="Times New Roman" w:hAnsi="Times New Roman" w:cs="Times New Roman"/>
                      <w:color w:val="auto"/>
                    </w:rPr>
                    <w:t>大气二类区</w:t>
                  </w:r>
                </w:p>
              </w:tc>
            </w:tr>
            <w:tr w14:paraId="37585D7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2" w:type="pct"/>
                  <w:tcBorders>
                    <w:top w:val="single" w:color="auto" w:sz="4" w:space="0"/>
                    <w:left w:val="nil"/>
                    <w:bottom w:val="single" w:color="auto" w:sz="4" w:space="0"/>
                    <w:right w:val="single" w:color="auto" w:sz="4" w:space="0"/>
                  </w:tcBorders>
                  <w:noWrap w:val="0"/>
                  <w:vAlign w:val="center"/>
                </w:tcPr>
                <w:p w14:paraId="2936434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北</w:t>
                  </w:r>
                  <w:r>
                    <w:rPr>
                      <w:rFonts w:hint="default" w:ascii="Times New Roman" w:hAnsi="Times New Roman" w:cs="Times New Roman"/>
                      <w:color w:val="auto"/>
                    </w:rPr>
                    <w:t>拱</w:t>
                  </w:r>
                  <w:r>
                    <w:rPr>
                      <w:rFonts w:hint="default" w:ascii="Times New Roman" w:hAnsi="Times New Roman" w:cs="Times New Roman"/>
                      <w:color w:val="auto"/>
                      <w:lang w:eastAsia="zh-CN"/>
                    </w:rPr>
                    <w:t>小学</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54281D2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-435</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59A109C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6332DCDA">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学生</w:t>
                  </w:r>
                </w:p>
              </w:tc>
              <w:tc>
                <w:tcPr>
                  <w:tcW w:w="1378" w:type="pct"/>
                  <w:tcBorders>
                    <w:top w:val="single" w:color="auto" w:sz="4" w:space="0"/>
                    <w:left w:val="single" w:color="auto" w:sz="4" w:space="0"/>
                    <w:bottom w:val="single" w:color="auto" w:sz="4" w:space="0"/>
                    <w:right w:val="single" w:color="auto" w:sz="4" w:space="0"/>
                  </w:tcBorders>
                  <w:noWrap w:val="0"/>
                  <w:vAlign w:val="center"/>
                </w:tcPr>
                <w:p w14:paraId="2400E9EE">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师生约500人</w:t>
                  </w:r>
                </w:p>
              </w:tc>
              <w:tc>
                <w:tcPr>
                  <w:tcW w:w="440" w:type="pct"/>
                  <w:tcBorders>
                    <w:top w:val="single" w:color="auto" w:sz="4" w:space="0"/>
                    <w:left w:val="single" w:color="auto" w:sz="4" w:space="0"/>
                    <w:bottom w:val="single" w:color="auto" w:sz="4" w:space="0"/>
                    <w:right w:val="single" w:color="auto" w:sz="4" w:space="0"/>
                  </w:tcBorders>
                  <w:noWrap w:val="0"/>
                  <w:vAlign w:val="center"/>
                </w:tcPr>
                <w:p w14:paraId="06D6267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0A971DB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435m</w:t>
                  </w:r>
                </w:p>
              </w:tc>
              <w:tc>
                <w:tcPr>
                  <w:tcW w:w="803" w:type="pct"/>
                  <w:tcBorders>
                    <w:top w:val="single" w:color="auto" w:sz="4" w:space="0"/>
                    <w:left w:val="single" w:color="auto" w:sz="4" w:space="0"/>
                    <w:bottom w:val="single" w:color="auto" w:sz="4" w:space="0"/>
                    <w:right w:val="nil"/>
                  </w:tcBorders>
                  <w:noWrap w:val="0"/>
                  <w:vAlign w:val="center"/>
                </w:tcPr>
                <w:p w14:paraId="7D965F94">
                  <w:pPr>
                    <w:pStyle w:val="3"/>
                    <w:bidi w:val="0"/>
                    <w:rPr>
                      <w:rFonts w:hint="default" w:ascii="Times New Roman" w:hAnsi="Times New Roman" w:cs="Times New Roman"/>
                      <w:color w:val="auto"/>
                    </w:rPr>
                  </w:pPr>
                  <w:r>
                    <w:rPr>
                      <w:rFonts w:hint="default" w:ascii="Times New Roman" w:hAnsi="Times New Roman" w:cs="Times New Roman"/>
                      <w:color w:val="auto"/>
                    </w:rPr>
                    <w:t>大气二类区</w:t>
                  </w:r>
                </w:p>
              </w:tc>
            </w:tr>
          </w:tbl>
          <w:p w14:paraId="2C3C6D13">
            <w:pPr>
              <w:pStyle w:val="23"/>
              <w:spacing w:line="360" w:lineRule="auto"/>
              <w:ind w:left="0" w:leftChars="0" w:firstLine="0" w:firstLineChars="0"/>
              <w:jc w:val="both"/>
              <w:rPr>
                <w:rFonts w:hint="default" w:ascii="Times New Roman" w:hAnsi="Times New Roman" w:eastAsia="宋体" w:cs="Times New Roman"/>
                <w:b/>
                <w:bCs/>
                <w:color w:val="auto"/>
                <w:sz w:val="24"/>
                <w:szCs w:val="24"/>
              </w:rPr>
            </w:pPr>
            <w:r>
              <w:rPr>
                <w:rFonts w:hint="eastAsia" w:ascii="Times New Roman" w:eastAsia="宋体" w:cs="Times New Roman"/>
                <w:b/>
                <w:bCs/>
                <w:color w:val="auto"/>
                <w:sz w:val="24"/>
                <w:szCs w:val="24"/>
                <w:lang w:val="en-US" w:eastAsia="zh-CN"/>
              </w:rPr>
              <w:t>8.</w:t>
            </w:r>
            <w:r>
              <w:rPr>
                <w:rFonts w:hint="default" w:ascii="Times New Roman" w:hAnsi="Times New Roman" w:eastAsia="宋体" w:cs="Times New Roman"/>
                <w:b/>
                <w:bCs/>
                <w:color w:val="auto"/>
                <w:sz w:val="24"/>
                <w:szCs w:val="24"/>
              </w:rPr>
              <w:t>声环境保护目标</w:t>
            </w:r>
          </w:p>
          <w:p w14:paraId="4C5DA1D8">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Times New Roman" w:eastAsia="宋体" w:cs="Times New Roman"/>
                <w:color w:val="auto"/>
                <w:sz w:val="24"/>
                <w:szCs w:val="24"/>
                <w:lang w:val="en-US" w:eastAsia="zh-CN"/>
              </w:rPr>
            </w:pPr>
            <w:r>
              <w:rPr>
                <w:rFonts w:hint="default" w:ascii="Times New Roman" w:hAnsi="Times New Roman" w:eastAsia="宋体" w:cs="Times New Roman"/>
                <w:b w:val="0"/>
                <w:bCs/>
                <w:color w:val="auto"/>
                <w:kern w:val="0"/>
                <w:sz w:val="24"/>
                <w:szCs w:val="24"/>
                <w:lang w:eastAsia="zh-CN"/>
              </w:rPr>
              <w:t>本项目</w:t>
            </w:r>
            <w:r>
              <w:rPr>
                <w:rFonts w:hint="default" w:ascii="Times New Roman" w:hAnsi="Times New Roman" w:eastAsia="宋体" w:cs="Times New Roman"/>
                <w:color w:val="auto"/>
                <w:sz w:val="24"/>
                <w:szCs w:val="24"/>
                <w:lang w:val="en-US" w:eastAsia="zh-CN"/>
              </w:rPr>
              <w:t>周边50m范围内</w:t>
            </w:r>
            <w:r>
              <w:rPr>
                <w:rFonts w:hint="eastAsia" w:ascii="Times New Roman" w:eastAsia="宋体" w:cs="Times New Roman"/>
                <w:color w:val="auto"/>
                <w:sz w:val="24"/>
                <w:szCs w:val="24"/>
                <w:lang w:val="en-US" w:eastAsia="zh-CN"/>
              </w:rPr>
              <w:t>声环境保护目标主</w:t>
            </w:r>
            <w:r>
              <w:rPr>
                <w:rFonts w:hint="default" w:ascii="Times New Roman" w:hAnsi="Times New Roman" w:eastAsia="宋体" w:cs="Times New Roman"/>
                <w:color w:val="auto"/>
                <w:sz w:val="24"/>
                <w:szCs w:val="24"/>
                <w:lang w:val="en-US" w:eastAsia="zh-CN"/>
              </w:rPr>
              <w:t>要为</w:t>
            </w:r>
            <w:r>
              <w:rPr>
                <w:rFonts w:hint="eastAsia" w:ascii="Times New Roman" w:eastAsia="宋体" w:cs="Times New Roman"/>
                <w:color w:val="auto"/>
                <w:sz w:val="24"/>
                <w:szCs w:val="24"/>
                <w:lang w:val="en-US" w:eastAsia="zh-CN"/>
              </w:rPr>
              <w:t>厂区西侧居民</w:t>
            </w:r>
            <w:r>
              <w:rPr>
                <w:rFonts w:hint="default" w:ascii="Times New Roman" w:hAnsi="Times New Roman" w:eastAsia="宋体" w:cs="Times New Roman"/>
                <w:color w:val="auto"/>
                <w:sz w:val="24"/>
                <w:szCs w:val="24"/>
                <w:lang w:val="en-US" w:eastAsia="zh-CN"/>
              </w:rPr>
              <w:t>，详</w:t>
            </w:r>
            <w:r>
              <w:rPr>
                <w:rFonts w:hint="eastAsia" w:ascii="Times New Roman" w:eastAsia="宋体" w:cs="Times New Roman"/>
                <w:color w:val="auto"/>
                <w:sz w:val="24"/>
                <w:szCs w:val="24"/>
                <w:lang w:val="en-US" w:eastAsia="zh-CN"/>
              </w:rPr>
              <w:t>见表3.8-1。</w:t>
            </w:r>
          </w:p>
          <w:p w14:paraId="71B0451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表3.8-1 声环境保护目标</w:t>
            </w:r>
          </w:p>
          <w:tbl>
            <w:tblPr>
              <w:tblStyle w:val="17"/>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6"/>
              <w:gridCol w:w="600"/>
              <w:gridCol w:w="603"/>
              <w:gridCol w:w="723"/>
              <w:gridCol w:w="2223"/>
              <w:gridCol w:w="677"/>
              <w:gridCol w:w="761"/>
              <w:gridCol w:w="1281"/>
            </w:tblGrid>
            <w:tr w14:paraId="5513282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3" w:type="pct"/>
                  <w:vMerge w:val="restart"/>
                  <w:tcBorders>
                    <w:top w:val="single" w:color="auto" w:sz="4" w:space="0"/>
                    <w:left w:val="nil"/>
                    <w:bottom w:val="single" w:color="auto" w:sz="4" w:space="0"/>
                    <w:right w:val="single" w:color="auto" w:sz="4" w:space="0"/>
                  </w:tcBorders>
                  <w:noWrap w:val="0"/>
                  <w:vAlign w:val="center"/>
                </w:tcPr>
                <w:p w14:paraId="5096EB2A">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保护目标</w:t>
                  </w:r>
                </w:p>
              </w:tc>
              <w:tc>
                <w:tcPr>
                  <w:tcW w:w="754" w:type="pct"/>
                  <w:gridSpan w:val="2"/>
                  <w:tcBorders>
                    <w:top w:val="single" w:color="auto" w:sz="4" w:space="0"/>
                    <w:left w:val="single" w:color="auto" w:sz="4" w:space="0"/>
                    <w:bottom w:val="single" w:color="auto" w:sz="4" w:space="0"/>
                    <w:right w:val="single" w:color="auto" w:sz="4" w:space="0"/>
                  </w:tcBorders>
                  <w:noWrap w:val="0"/>
                  <w:vAlign w:val="center"/>
                </w:tcPr>
                <w:p w14:paraId="5F70A872">
                  <w:pPr>
                    <w:pStyle w:val="3"/>
                    <w:bidi w:val="0"/>
                    <w:rPr>
                      <w:rFonts w:hint="default" w:ascii="Times New Roman" w:hAnsi="Times New Roman" w:cs="Times New Roman"/>
                      <w:color w:val="auto"/>
                    </w:rPr>
                  </w:pPr>
                  <w:r>
                    <w:rPr>
                      <w:rFonts w:hint="default" w:ascii="Times New Roman" w:hAnsi="Times New Roman" w:cs="Times New Roman"/>
                      <w:color w:val="auto"/>
                    </w:rPr>
                    <w:t>坐标/m</w:t>
                  </w:r>
                </w:p>
              </w:tc>
              <w:tc>
                <w:tcPr>
                  <w:tcW w:w="453" w:type="pct"/>
                  <w:vMerge w:val="restart"/>
                  <w:tcBorders>
                    <w:top w:val="single" w:color="auto" w:sz="4" w:space="0"/>
                    <w:left w:val="single" w:color="auto" w:sz="4" w:space="0"/>
                    <w:bottom w:val="single" w:color="auto" w:sz="4" w:space="0"/>
                    <w:right w:val="single" w:color="auto" w:sz="4" w:space="0"/>
                  </w:tcBorders>
                  <w:noWrap w:val="0"/>
                  <w:vAlign w:val="center"/>
                </w:tcPr>
                <w:p w14:paraId="45824302">
                  <w:pPr>
                    <w:pStyle w:val="3"/>
                    <w:bidi w:val="0"/>
                    <w:rPr>
                      <w:rFonts w:hint="default" w:ascii="Times New Roman" w:hAnsi="Times New Roman" w:cs="Times New Roman"/>
                      <w:color w:val="auto"/>
                    </w:rPr>
                  </w:pPr>
                  <w:r>
                    <w:rPr>
                      <w:rFonts w:hint="default" w:ascii="Times New Roman" w:hAnsi="Times New Roman" w:cs="Times New Roman"/>
                      <w:color w:val="auto"/>
                    </w:rPr>
                    <w:t>保护</w:t>
                  </w:r>
                </w:p>
                <w:p w14:paraId="7BED2E67">
                  <w:pPr>
                    <w:pStyle w:val="3"/>
                    <w:bidi w:val="0"/>
                    <w:rPr>
                      <w:rFonts w:hint="default" w:ascii="Times New Roman" w:hAnsi="Times New Roman" w:cs="Times New Roman"/>
                      <w:color w:val="auto"/>
                    </w:rPr>
                  </w:pPr>
                  <w:r>
                    <w:rPr>
                      <w:rFonts w:hint="default" w:ascii="Times New Roman" w:hAnsi="Times New Roman" w:cs="Times New Roman"/>
                      <w:color w:val="auto"/>
                    </w:rPr>
                    <w:t>对象</w:t>
                  </w:r>
                </w:p>
              </w:tc>
              <w:tc>
                <w:tcPr>
                  <w:tcW w:w="1393" w:type="pct"/>
                  <w:vMerge w:val="restart"/>
                  <w:tcBorders>
                    <w:top w:val="single" w:color="auto" w:sz="4" w:space="0"/>
                    <w:left w:val="single" w:color="auto" w:sz="4" w:space="0"/>
                    <w:bottom w:val="single" w:color="auto" w:sz="4" w:space="0"/>
                    <w:right w:val="single" w:color="auto" w:sz="4" w:space="0"/>
                  </w:tcBorders>
                  <w:noWrap w:val="0"/>
                  <w:vAlign w:val="center"/>
                </w:tcPr>
                <w:p w14:paraId="13580FC4">
                  <w:pPr>
                    <w:pStyle w:val="3"/>
                    <w:bidi w:val="0"/>
                    <w:rPr>
                      <w:rFonts w:hint="default" w:ascii="Times New Roman" w:hAnsi="Times New Roman" w:cs="Times New Roman"/>
                      <w:color w:val="auto"/>
                    </w:rPr>
                  </w:pPr>
                  <w:r>
                    <w:rPr>
                      <w:rFonts w:hint="default" w:ascii="Times New Roman" w:hAnsi="Times New Roman" w:cs="Times New Roman"/>
                      <w:color w:val="auto"/>
                    </w:rPr>
                    <w:t>保护内容</w:t>
                  </w:r>
                </w:p>
              </w:tc>
              <w:tc>
                <w:tcPr>
                  <w:tcW w:w="424" w:type="pct"/>
                  <w:vMerge w:val="restart"/>
                  <w:tcBorders>
                    <w:top w:val="single" w:color="auto" w:sz="4" w:space="0"/>
                    <w:left w:val="single" w:color="auto" w:sz="4" w:space="0"/>
                    <w:bottom w:val="single" w:color="auto" w:sz="4" w:space="0"/>
                    <w:right w:val="single" w:color="auto" w:sz="4" w:space="0"/>
                  </w:tcBorders>
                  <w:noWrap w:val="0"/>
                  <w:vAlign w:val="center"/>
                </w:tcPr>
                <w:p w14:paraId="0C8B8FBF">
                  <w:pPr>
                    <w:pStyle w:val="3"/>
                    <w:bidi w:val="0"/>
                    <w:rPr>
                      <w:rFonts w:hint="default" w:ascii="Times New Roman" w:hAnsi="Times New Roman" w:cs="Times New Roman"/>
                      <w:color w:val="auto"/>
                    </w:rPr>
                  </w:pPr>
                  <w:r>
                    <w:rPr>
                      <w:rFonts w:hint="default" w:ascii="Times New Roman" w:hAnsi="Times New Roman" w:cs="Times New Roman"/>
                      <w:color w:val="auto"/>
                    </w:rPr>
                    <w:t>方位</w:t>
                  </w:r>
                </w:p>
              </w:tc>
              <w:tc>
                <w:tcPr>
                  <w:tcW w:w="477" w:type="pct"/>
                  <w:vMerge w:val="restart"/>
                  <w:tcBorders>
                    <w:top w:val="single" w:color="auto" w:sz="4" w:space="0"/>
                    <w:left w:val="single" w:color="auto" w:sz="4" w:space="0"/>
                    <w:bottom w:val="single" w:color="auto" w:sz="4" w:space="0"/>
                    <w:right w:val="single" w:color="auto" w:sz="4" w:space="0"/>
                  </w:tcBorders>
                  <w:noWrap w:val="0"/>
                  <w:vAlign w:val="center"/>
                </w:tcPr>
                <w:p w14:paraId="66235387">
                  <w:pPr>
                    <w:pStyle w:val="3"/>
                    <w:bidi w:val="0"/>
                    <w:rPr>
                      <w:rFonts w:hint="default" w:ascii="Times New Roman" w:hAnsi="Times New Roman" w:cs="Times New Roman"/>
                      <w:color w:val="auto"/>
                    </w:rPr>
                  </w:pPr>
                  <w:r>
                    <w:rPr>
                      <w:rFonts w:hint="default" w:ascii="Times New Roman" w:hAnsi="Times New Roman" w:cs="Times New Roman"/>
                      <w:color w:val="auto"/>
                    </w:rPr>
                    <w:t>距离</w:t>
                  </w:r>
                </w:p>
              </w:tc>
              <w:tc>
                <w:tcPr>
                  <w:tcW w:w="803" w:type="pct"/>
                  <w:vMerge w:val="restart"/>
                  <w:tcBorders>
                    <w:top w:val="single" w:color="auto" w:sz="4" w:space="0"/>
                    <w:left w:val="single" w:color="auto" w:sz="4" w:space="0"/>
                    <w:bottom w:val="single" w:color="auto" w:sz="4" w:space="0"/>
                    <w:right w:val="nil"/>
                  </w:tcBorders>
                  <w:noWrap w:val="0"/>
                  <w:vAlign w:val="center"/>
                </w:tcPr>
                <w:p w14:paraId="727A3343">
                  <w:pPr>
                    <w:pStyle w:val="3"/>
                    <w:bidi w:val="0"/>
                    <w:rPr>
                      <w:rFonts w:hint="default" w:ascii="Times New Roman" w:hAnsi="Times New Roman" w:cs="Times New Roman"/>
                      <w:color w:val="auto"/>
                    </w:rPr>
                  </w:pPr>
                  <w:r>
                    <w:rPr>
                      <w:rFonts w:hint="default" w:ascii="Times New Roman" w:hAnsi="Times New Roman" w:cs="Times New Roman"/>
                      <w:color w:val="auto"/>
                    </w:rPr>
                    <w:t>环境功能区</w:t>
                  </w:r>
                </w:p>
              </w:tc>
            </w:tr>
            <w:tr w14:paraId="696882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93" w:type="pct"/>
                  <w:vMerge w:val="continue"/>
                  <w:tcBorders>
                    <w:top w:val="single" w:color="auto" w:sz="4" w:space="0"/>
                    <w:left w:val="nil"/>
                    <w:bottom w:val="single" w:color="auto" w:sz="4" w:space="0"/>
                    <w:right w:val="single" w:color="auto" w:sz="4" w:space="0"/>
                  </w:tcBorders>
                  <w:noWrap w:val="0"/>
                  <w:vAlign w:val="center"/>
                </w:tcPr>
                <w:p w14:paraId="39FC0D6C">
                  <w:pPr>
                    <w:pStyle w:val="3"/>
                    <w:bidi w:val="0"/>
                    <w:rPr>
                      <w:rFonts w:hint="default" w:ascii="Times New Roman" w:hAnsi="Times New Roman" w:cs="Times New Roman"/>
                      <w:color w:val="auto"/>
                    </w:rPr>
                  </w:pPr>
                </w:p>
              </w:tc>
              <w:tc>
                <w:tcPr>
                  <w:tcW w:w="376" w:type="pct"/>
                  <w:tcBorders>
                    <w:top w:val="single" w:color="auto" w:sz="4" w:space="0"/>
                    <w:left w:val="single" w:color="auto" w:sz="4" w:space="0"/>
                    <w:bottom w:val="single" w:color="auto" w:sz="4" w:space="0"/>
                    <w:right w:val="single" w:color="auto" w:sz="4" w:space="0"/>
                  </w:tcBorders>
                  <w:noWrap w:val="0"/>
                  <w:vAlign w:val="center"/>
                </w:tcPr>
                <w:p w14:paraId="16789239">
                  <w:pPr>
                    <w:pStyle w:val="3"/>
                    <w:bidi w:val="0"/>
                    <w:rPr>
                      <w:rFonts w:hint="default" w:ascii="Times New Roman" w:hAnsi="Times New Roman" w:cs="Times New Roman"/>
                      <w:color w:val="auto"/>
                    </w:rPr>
                  </w:pPr>
                  <w:r>
                    <w:rPr>
                      <w:rFonts w:hint="default" w:ascii="Times New Roman" w:hAnsi="Times New Roman" w:cs="Times New Roman"/>
                      <w:color w:val="auto"/>
                    </w:rPr>
                    <w:t>X</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2B9AD824">
                  <w:pPr>
                    <w:pStyle w:val="3"/>
                    <w:bidi w:val="0"/>
                    <w:rPr>
                      <w:rFonts w:hint="default" w:ascii="Times New Roman" w:hAnsi="Times New Roman" w:cs="Times New Roman"/>
                      <w:color w:val="auto"/>
                    </w:rPr>
                  </w:pPr>
                  <w:r>
                    <w:rPr>
                      <w:rFonts w:hint="default" w:ascii="Times New Roman" w:hAnsi="Times New Roman" w:cs="Times New Roman"/>
                      <w:color w:val="auto"/>
                    </w:rPr>
                    <w:t>Y</w:t>
                  </w:r>
                </w:p>
              </w:tc>
              <w:tc>
                <w:tcPr>
                  <w:tcW w:w="453" w:type="pct"/>
                  <w:vMerge w:val="continue"/>
                  <w:tcBorders>
                    <w:top w:val="single" w:color="auto" w:sz="4" w:space="0"/>
                    <w:left w:val="single" w:color="auto" w:sz="4" w:space="0"/>
                    <w:bottom w:val="single" w:color="auto" w:sz="4" w:space="0"/>
                    <w:right w:val="single" w:color="auto" w:sz="4" w:space="0"/>
                  </w:tcBorders>
                  <w:noWrap w:val="0"/>
                  <w:vAlign w:val="center"/>
                </w:tcPr>
                <w:p w14:paraId="586523B2">
                  <w:pPr>
                    <w:pStyle w:val="3"/>
                    <w:bidi w:val="0"/>
                    <w:rPr>
                      <w:rFonts w:hint="default" w:ascii="Times New Roman" w:hAnsi="Times New Roman" w:cs="Times New Roman"/>
                      <w:color w:val="auto"/>
                    </w:rPr>
                  </w:pPr>
                </w:p>
              </w:tc>
              <w:tc>
                <w:tcPr>
                  <w:tcW w:w="1393" w:type="pct"/>
                  <w:vMerge w:val="continue"/>
                  <w:tcBorders>
                    <w:top w:val="single" w:color="auto" w:sz="4" w:space="0"/>
                    <w:left w:val="single" w:color="auto" w:sz="4" w:space="0"/>
                    <w:bottom w:val="single" w:color="auto" w:sz="4" w:space="0"/>
                    <w:right w:val="single" w:color="auto" w:sz="4" w:space="0"/>
                  </w:tcBorders>
                  <w:noWrap w:val="0"/>
                  <w:vAlign w:val="center"/>
                </w:tcPr>
                <w:p w14:paraId="5333B7DB">
                  <w:pPr>
                    <w:pStyle w:val="3"/>
                    <w:bidi w:val="0"/>
                    <w:rPr>
                      <w:rFonts w:hint="default" w:ascii="Times New Roman" w:hAnsi="Times New Roman" w:cs="Times New Roman"/>
                      <w:color w:val="auto"/>
                    </w:rPr>
                  </w:pPr>
                </w:p>
              </w:tc>
              <w:tc>
                <w:tcPr>
                  <w:tcW w:w="424" w:type="pct"/>
                  <w:vMerge w:val="continue"/>
                  <w:tcBorders>
                    <w:top w:val="single" w:color="auto" w:sz="4" w:space="0"/>
                    <w:left w:val="single" w:color="auto" w:sz="4" w:space="0"/>
                    <w:bottom w:val="single" w:color="auto" w:sz="4" w:space="0"/>
                    <w:right w:val="single" w:color="auto" w:sz="4" w:space="0"/>
                  </w:tcBorders>
                  <w:noWrap w:val="0"/>
                  <w:vAlign w:val="center"/>
                </w:tcPr>
                <w:p w14:paraId="581909D7">
                  <w:pPr>
                    <w:pStyle w:val="3"/>
                    <w:bidi w:val="0"/>
                    <w:rPr>
                      <w:rFonts w:hint="default" w:ascii="Times New Roman" w:hAnsi="Times New Roman" w:cs="Times New Roman"/>
                      <w:color w:val="auto"/>
                    </w:rPr>
                  </w:pPr>
                </w:p>
              </w:tc>
              <w:tc>
                <w:tcPr>
                  <w:tcW w:w="477" w:type="pct"/>
                  <w:vMerge w:val="continue"/>
                  <w:tcBorders>
                    <w:top w:val="single" w:color="auto" w:sz="4" w:space="0"/>
                    <w:left w:val="single" w:color="auto" w:sz="4" w:space="0"/>
                    <w:bottom w:val="single" w:color="auto" w:sz="4" w:space="0"/>
                    <w:right w:val="single" w:color="auto" w:sz="4" w:space="0"/>
                  </w:tcBorders>
                  <w:noWrap w:val="0"/>
                  <w:vAlign w:val="center"/>
                </w:tcPr>
                <w:p w14:paraId="502E22B5">
                  <w:pPr>
                    <w:pStyle w:val="3"/>
                    <w:bidi w:val="0"/>
                    <w:rPr>
                      <w:rFonts w:hint="default" w:ascii="Times New Roman" w:hAnsi="Times New Roman" w:cs="Times New Roman"/>
                      <w:color w:val="auto"/>
                    </w:rPr>
                  </w:pPr>
                </w:p>
              </w:tc>
              <w:tc>
                <w:tcPr>
                  <w:tcW w:w="803" w:type="pct"/>
                  <w:vMerge w:val="continue"/>
                  <w:tcBorders>
                    <w:top w:val="single" w:color="auto" w:sz="4" w:space="0"/>
                    <w:left w:val="single" w:color="auto" w:sz="4" w:space="0"/>
                    <w:bottom w:val="single" w:color="auto" w:sz="4" w:space="0"/>
                    <w:right w:val="nil"/>
                  </w:tcBorders>
                  <w:noWrap w:val="0"/>
                  <w:vAlign w:val="center"/>
                </w:tcPr>
                <w:p w14:paraId="6CB0E483">
                  <w:pPr>
                    <w:pStyle w:val="3"/>
                    <w:bidi w:val="0"/>
                    <w:rPr>
                      <w:rFonts w:hint="default" w:ascii="Times New Roman" w:hAnsi="Times New Roman" w:cs="Times New Roman"/>
                      <w:color w:val="auto"/>
                    </w:rPr>
                  </w:pPr>
                </w:p>
              </w:tc>
            </w:tr>
            <w:tr w14:paraId="0D1E74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693" w:type="pct"/>
                  <w:tcBorders>
                    <w:top w:val="single" w:color="auto" w:sz="4" w:space="0"/>
                    <w:left w:val="nil"/>
                    <w:bottom w:val="single" w:color="auto" w:sz="4" w:space="0"/>
                    <w:right w:val="single" w:color="auto" w:sz="4" w:space="0"/>
                  </w:tcBorders>
                  <w:noWrap w:val="0"/>
                  <w:vAlign w:val="center"/>
                </w:tcPr>
                <w:p w14:paraId="1B462AD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西侧居民</w:t>
                  </w:r>
                </w:p>
              </w:tc>
              <w:tc>
                <w:tcPr>
                  <w:tcW w:w="376" w:type="pct"/>
                  <w:tcBorders>
                    <w:top w:val="single" w:color="auto" w:sz="4" w:space="0"/>
                    <w:left w:val="single" w:color="auto" w:sz="4" w:space="0"/>
                    <w:bottom w:val="single" w:color="auto" w:sz="4" w:space="0"/>
                    <w:right w:val="single" w:color="auto" w:sz="4" w:space="0"/>
                  </w:tcBorders>
                  <w:noWrap w:val="0"/>
                  <w:vAlign w:val="center"/>
                </w:tcPr>
                <w:p w14:paraId="01DEF7C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0C19D19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w:t>
                  </w:r>
                </w:p>
              </w:tc>
              <w:tc>
                <w:tcPr>
                  <w:tcW w:w="453" w:type="pct"/>
                  <w:tcBorders>
                    <w:top w:val="single" w:color="auto" w:sz="4" w:space="0"/>
                    <w:left w:val="single" w:color="auto" w:sz="4" w:space="0"/>
                    <w:bottom w:val="single" w:color="auto" w:sz="4" w:space="0"/>
                    <w:right w:val="single" w:color="auto" w:sz="4" w:space="0"/>
                  </w:tcBorders>
                  <w:noWrap w:val="0"/>
                  <w:vAlign w:val="center"/>
                </w:tcPr>
                <w:p w14:paraId="4870397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居民</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2DCB77AF">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w:t>
                  </w:r>
                  <w:r>
                    <w:rPr>
                      <w:rFonts w:hint="default" w:ascii="Times New Roman" w:hAnsi="Times New Roman" w:cs="Times New Roman"/>
                      <w:color w:val="auto"/>
                      <w:lang w:val="en-US" w:eastAsia="zh-CN"/>
                    </w:rPr>
                    <w:t>户，约</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人</w:t>
                  </w:r>
                </w:p>
              </w:tc>
              <w:tc>
                <w:tcPr>
                  <w:tcW w:w="424" w:type="pct"/>
                  <w:tcBorders>
                    <w:top w:val="single" w:color="auto" w:sz="4" w:space="0"/>
                    <w:left w:val="single" w:color="auto" w:sz="4" w:space="0"/>
                    <w:bottom w:val="single" w:color="auto" w:sz="4" w:space="0"/>
                    <w:right w:val="single" w:color="auto" w:sz="4" w:space="0"/>
                  </w:tcBorders>
                  <w:noWrap w:val="0"/>
                  <w:vAlign w:val="center"/>
                </w:tcPr>
                <w:p w14:paraId="095BFFD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W</w:t>
                  </w:r>
                </w:p>
              </w:tc>
              <w:tc>
                <w:tcPr>
                  <w:tcW w:w="477" w:type="pct"/>
                  <w:tcBorders>
                    <w:top w:val="single" w:color="auto" w:sz="4" w:space="0"/>
                    <w:left w:val="single" w:color="auto" w:sz="4" w:space="0"/>
                    <w:bottom w:val="single" w:color="auto" w:sz="4" w:space="0"/>
                    <w:right w:val="single" w:color="auto" w:sz="4" w:space="0"/>
                  </w:tcBorders>
                  <w:noWrap w:val="0"/>
                  <w:vAlign w:val="center"/>
                </w:tcPr>
                <w:p w14:paraId="2994CF6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35m</w:t>
                  </w:r>
                </w:p>
              </w:tc>
              <w:tc>
                <w:tcPr>
                  <w:tcW w:w="803" w:type="pct"/>
                  <w:tcBorders>
                    <w:top w:val="single" w:color="auto" w:sz="4" w:space="0"/>
                    <w:left w:val="single" w:color="auto" w:sz="4" w:space="0"/>
                    <w:bottom w:val="single" w:color="auto" w:sz="4" w:space="0"/>
                    <w:right w:val="nil"/>
                  </w:tcBorders>
                  <w:noWrap w:val="0"/>
                  <w:vAlign w:val="center"/>
                </w:tcPr>
                <w:p w14:paraId="5301E6B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2类区</w:t>
                  </w:r>
                </w:p>
              </w:tc>
            </w:tr>
          </w:tbl>
          <w:p w14:paraId="6965CF5E">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cs="Times New Roman"/>
                <w:b/>
                <w:bCs/>
                <w:color w:val="auto"/>
                <w:sz w:val="24"/>
                <w:szCs w:val="24"/>
                <w:lang w:val="en-US" w:eastAsia="zh-CN"/>
              </w:rPr>
            </w:pPr>
            <w:r>
              <w:rPr>
                <w:rFonts w:hint="eastAsia" w:ascii="Times New Roman" w:cs="Times New Roman"/>
                <w:b/>
                <w:bCs/>
                <w:color w:val="auto"/>
                <w:sz w:val="24"/>
                <w:szCs w:val="24"/>
                <w:lang w:val="en-US" w:eastAsia="zh-CN"/>
              </w:rPr>
              <w:t>9.</w:t>
            </w:r>
            <w:r>
              <w:rPr>
                <w:rFonts w:hint="default" w:ascii="Times New Roman" w:hAnsi="Times New Roman" w:cs="Times New Roman"/>
                <w:b/>
                <w:bCs/>
                <w:color w:val="auto"/>
                <w:sz w:val="24"/>
                <w:szCs w:val="24"/>
                <w:lang w:val="en-US" w:eastAsia="zh-CN"/>
              </w:rPr>
              <w:t>地下水环境保护目标</w:t>
            </w:r>
          </w:p>
          <w:p w14:paraId="6127E24F">
            <w:pPr>
              <w:pStyle w:val="23"/>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color w:val="auto"/>
                <w:sz w:val="24"/>
                <w:szCs w:val="24"/>
                <w:lang w:val="en-US" w:eastAsia="zh-CN"/>
              </w:rPr>
            </w:pPr>
            <w:r>
              <w:rPr>
                <w:rFonts w:hint="default" w:ascii="Times New Roman" w:hAnsi="Times New Roman" w:cs="Times New Roman"/>
                <w:color w:val="auto"/>
                <w:sz w:val="24"/>
                <w:szCs w:val="24"/>
                <w:lang w:eastAsia="zh-CN"/>
              </w:rPr>
              <w:t>本</w:t>
            </w:r>
            <w:r>
              <w:rPr>
                <w:rFonts w:hint="default" w:ascii="Times New Roman" w:hAnsi="Times New Roman" w:cs="Times New Roman"/>
                <w:color w:val="auto"/>
                <w:sz w:val="24"/>
                <w:szCs w:val="24"/>
                <w:lang w:val="en-US" w:eastAsia="zh-CN"/>
              </w:rPr>
              <w:t>项目周边500m范围内，无地下水集中式饮用水源、热水、矿泉水、温泉等特殊地下水资源。</w:t>
            </w:r>
          </w:p>
          <w:p w14:paraId="771D5206">
            <w:pPr>
              <w:pStyle w:val="23"/>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textAlignment w:val="auto"/>
              <w:rPr>
                <w:rFonts w:hint="default" w:ascii="Times New Roman" w:hAnsi="Times New Roman" w:cs="Times New Roman"/>
                <w:b/>
                <w:bCs/>
                <w:color w:val="auto"/>
                <w:sz w:val="24"/>
                <w:szCs w:val="24"/>
                <w:lang w:val="en-US" w:eastAsia="zh-CN"/>
              </w:rPr>
            </w:pPr>
            <w:r>
              <w:rPr>
                <w:rFonts w:hint="eastAsia" w:ascii="Times New Roman" w:cs="Times New Roman"/>
                <w:b/>
                <w:bCs/>
                <w:color w:val="auto"/>
                <w:sz w:val="24"/>
                <w:szCs w:val="24"/>
                <w:lang w:val="en-US" w:eastAsia="zh-CN"/>
              </w:rPr>
              <w:t>10</w:t>
            </w:r>
            <w:r>
              <w:rPr>
                <w:rFonts w:hint="default" w:ascii="Times New Roman" w:hAnsi="Times New Roman" w:cs="Times New Roman"/>
                <w:b/>
                <w:bCs/>
                <w:color w:val="auto"/>
                <w:sz w:val="24"/>
                <w:szCs w:val="24"/>
                <w:lang w:val="en-US" w:eastAsia="zh-CN"/>
              </w:rPr>
              <w:t>.生态环境保护目标</w:t>
            </w:r>
          </w:p>
          <w:p w14:paraId="14658FC2">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ascii="Times New Roman" w:eastAsia="等线" w:cs="Times New Roman"/>
                <w:color w:val="auto"/>
                <w:sz w:val="21"/>
                <w:szCs w:val="21"/>
                <w:lang w:eastAsia="zh-CN"/>
              </w:rPr>
            </w:pPr>
            <w:r>
              <w:rPr>
                <w:rFonts w:hint="default" w:ascii="Times New Roman" w:hAnsi="Times New Roman" w:cs="Times New Roman"/>
                <w:color w:val="auto"/>
                <w:sz w:val="24"/>
                <w:szCs w:val="24"/>
              </w:rPr>
              <w:t>本项目</w:t>
            </w:r>
            <w:r>
              <w:rPr>
                <w:rFonts w:hint="default" w:ascii="Times New Roman" w:hAnsi="Times New Roman" w:cs="Times New Roman"/>
                <w:color w:val="auto"/>
                <w:sz w:val="24"/>
                <w:szCs w:val="24"/>
                <w:lang w:eastAsia="zh-CN"/>
              </w:rPr>
              <w:t>用地范围</w:t>
            </w:r>
            <w:r>
              <w:rPr>
                <w:rFonts w:hint="default" w:ascii="Times New Roman" w:hAnsi="Times New Roman" w:cs="Times New Roman"/>
                <w:color w:val="auto"/>
                <w:sz w:val="24"/>
                <w:szCs w:val="24"/>
                <w:lang w:val="en-US" w:eastAsia="zh-CN"/>
              </w:rPr>
              <w:t>内</w:t>
            </w:r>
            <w:r>
              <w:rPr>
                <w:rFonts w:hint="default" w:ascii="Times New Roman" w:hAnsi="Times New Roman" w:cs="Times New Roman"/>
                <w:color w:val="auto"/>
                <w:sz w:val="24"/>
                <w:szCs w:val="24"/>
              </w:rPr>
              <w:t>无重点文物保护单位，无名胜古迹和珍稀野生动植物分布，</w:t>
            </w:r>
            <w:r>
              <w:rPr>
                <w:rFonts w:hint="default" w:ascii="Times New Roman" w:hAnsi="Times New Roman" w:cs="Times New Roman"/>
                <w:color w:val="auto"/>
                <w:sz w:val="24"/>
                <w:szCs w:val="24"/>
                <w:lang w:eastAsia="zh-CN"/>
              </w:rPr>
              <w:t>也</w:t>
            </w:r>
            <w:r>
              <w:rPr>
                <w:rFonts w:hint="default" w:ascii="Times New Roman" w:hAnsi="Times New Roman" w:cs="Times New Roman"/>
                <w:color w:val="auto"/>
                <w:sz w:val="24"/>
                <w:szCs w:val="24"/>
              </w:rPr>
              <w:t>没有需要特殊保护的</w:t>
            </w:r>
            <w:r>
              <w:rPr>
                <w:rFonts w:hint="default" w:ascii="Times New Roman" w:hAnsi="Times New Roman" w:cs="Times New Roman"/>
                <w:color w:val="auto"/>
                <w:sz w:val="24"/>
                <w:szCs w:val="24"/>
                <w:lang w:eastAsia="zh-CN"/>
              </w:rPr>
              <w:t>生态保护目标。</w:t>
            </w:r>
          </w:p>
        </w:tc>
      </w:tr>
      <w:tr w14:paraId="4C6E1D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tcMar>
              <w:left w:w="28" w:type="dxa"/>
              <w:right w:w="28" w:type="dxa"/>
            </w:tcMar>
            <w:vAlign w:val="center"/>
          </w:tcPr>
          <w:p w14:paraId="40EF836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污染</w:t>
            </w:r>
          </w:p>
          <w:p w14:paraId="34356BD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物排</w:t>
            </w:r>
          </w:p>
          <w:p w14:paraId="78782CE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放控</w:t>
            </w:r>
          </w:p>
          <w:p w14:paraId="511C2D8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制标</w:t>
            </w:r>
          </w:p>
          <w:p w14:paraId="02FE4F5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color w:val="auto"/>
              </w:rPr>
              <w:t>准</w:t>
            </w:r>
          </w:p>
        </w:tc>
        <w:tc>
          <w:tcPr>
            <w:tcW w:w="8190" w:type="dxa"/>
          </w:tcPr>
          <w:p w14:paraId="0B77A7BE">
            <w:pPr>
              <w:adjustRightInd w:val="0"/>
              <w:snapToGrid w:val="0"/>
              <w:spacing w:line="360" w:lineRule="auto"/>
              <w:ind w:left="0" w:leftChars="0" w:firstLine="0" w:firstLineChars="0"/>
              <w:rPr>
                <w:b/>
                <w:bCs/>
                <w:color w:val="auto"/>
                <w:sz w:val="24"/>
                <w:szCs w:val="24"/>
              </w:rPr>
            </w:pPr>
            <w:r>
              <w:rPr>
                <w:rFonts w:hint="eastAsia" w:eastAsia="宋体"/>
                <w:b/>
                <w:bCs/>
                <w:color w:val="auto"/>
                <w:sz w:val="24"/>
                <w:szCs w:val="24"/>
                <w:lang w:val="en-US" w:eastAsia="zh-CN"/>
              </w:rPr>
              <w:t>11.</w:t>
            </w:r>
            <w:r>
              <w:rPr>
                <w:rFonts w:hint="eastAsia"/>
                <w:b/>
                <w:bCs/>
                <w:color w:val="auto"/>
                <w:sz w:val="24"/>
                <w:szCs w:val="24"/>
              </w:rPr>
              <w:t>废气排放标准</w:t>
            </w:r>
          </w:p>
          <w:p w14:paraId="0157EB0E">
            <w:pPr>
              <w:tabs>
                <w:tab w:val="left" w:pos="7380"/>
                <w:tab w:val="right" w:pos="9412"/>
              </w:tabs>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本项目</w:t>
            </w:r>
            <w:r>
              <w:rPr>
                <w:rFonts w:hint="default" w:ascii="Times New Roman" w:hAnsi="Times New Roman" w:cs="Times New Roman"/>
                <w:bCs/>
                <w:color w:val="auto"/>
                <w:sz w:val="24"/>
                <w:szCs w:val="24"/>
                <w:lang w:eastAsia="zh-CN"/>
              </w:rPr>
              <w:t>生产</w:t>
            </w:r>
            <w:r>
              <w:rPr>
                <w:rFonts w:hint="default" w:ascii="Times New Roman" w:hAnsi="Times New Roman" w:cs="Times New Roman"/>
                <w:bCs/>
                <w:color w:val="auto"/>
                <w:sz w:val="24"/>
                <w:szCs w:val="24"/>
              </w:rPr>
              <w:t>过程中产生的颗粒物</w:t>
            </w:r>
            <w:r>
              <w:rPr>
                <w:rFonts w:hint="default" w:ascii="Times New Roman" w:hAnsi="Times New Roman" w:cs="Times New Roman"/>
                <w:bCs/>
                <w:color w:val="auto"/>
                <w:sz w:val="24"/>
                <w:szCs w:val="24"/>
                <w:lang w:eastAsia="zh-CN"/>
              </w:rPr>
              <w:t>、非甲烷总烃</w:t>
            </w:r>
            <w:r>
              <w:rPr>
                <w:rFonts w:hint="default" w:ascii="Times New Roman" w:hAnsi="Times New Roman" w:cs="Times New Roman"/>
                <w:bCs/>
                <w:color w:val="auto"/>
                <w:sz w:val="24"/>
                <w:szCs w:val="24"/>
              </w:rPr>
              <w:t>执行</w:t>
            </w:r>
            <w:r>
              <w:rPr>
                <w:rFonts w:hint="default" w:ascii="Times New Roman" w:hAnsi="Times New Roman" w:cs="Times New Roman"/>
                <w:snapToGrid w:val="0"/>
                <w:color w:val="auto"/>
                <w:kern w:val="0"/>
                <w:sz w:val="24"/>
                <w:szCs w:val="24"/>
              </w:rPr>
              <w:t>《</w:t>
            </w:r>
            <w:r>
              <w:rPr>
                <w:rFonts w:hint="default" w:ascii="Times New Roman" w:hAnsi="Times New Roman" w:cs="Times New Roman"/>
                <w:color w:val="auto"/>
                <w:sz w:val="24"/>
                <w:szCs w:val="24"/>
              </w:rPr>
              <w:t>大气污染物综合排放标准》(DB50/418－2016)中表1的标准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企业厂区内无组织排放</w:t>
            </w:r>
            <w:r>
              <w:rPr>
                <w:rFonts w:hint="default" w:ascii="Times New Roman" w:hAnsi="Times New Roman" w:cs="Times New Roman"/>
                <w:color w:val="auto"/>
                <w:kern w:val="0"/>
                <w:sz w:val="24"/>
                <w:szCs w:val="24"/>
                <w:lang w:bidi="ar"/>
              </w:rPr>
              <w:t>非甲烷总烃</w:t>
            </w:r>
            <w:r>
              <w:rPr>
                <w:rFonts w:hint="eastAsia" w:eastAsia="宋体" w:cs="Times New Roman"/>
                <w:color w:val="auto"/>
                <w:kern w:val="0"/>
                <w:sz w:val="24"/>
                <w:szCs w:val="24"/>
                <w:lang w:eastAsia="zh-CN" w:bidi="ar"/>
              </w:rPr>
              <w:t>执行</w:t>
            </w:r>
            <w:r>
              <w:rPr>
                <w:rFonts w:hint="default" w:ascii="Times New Roman" w:hAnsi="Times New Roman" w:cs="Times New Roman"/>
                <w:color w:val="auto"/>
                <w:kern w:val="0"/>
                <w:sz w:val="24"/>
                <w:szCs w:val="24"/>
                <w:lang w:bidi="ar"/>
              </w:rPr>
              <w:t>《挥发性有机物无组织排放控制标准》（GB37822-2019）；</w:t>
            </w:r>
            <w:r>
              <w:rPr>
                <w:rFonts w:hint="default" w:ascii="Times New Roman" w:hAnsi="Times New Roman" w:cs="Times New Roman"/>
                <w:bCs/>
                <w:color w:val="auto"/>
                <w:sz w:val="24"/>
              </w:rPr>
              <w:t>锅炉大气污染物执行《锅炉大气污染物排放标准》（DB50/658-2016）</w:t>
            </w:r>
            <w:r>
              <w:rPr>
                <w:rFonts w:hint="default" w:ascii="Times New Roman" w:hAnsi="Times New Roman" w:cs="Times New Roman"/>
                <w:bCs/>
                <w:color w:val="auto"/>
                <w:sz w:val="24"/>
                <w:lang w:eastAsia="zh-CN"/>
              </w:rPr>
              <w:t>及</w:t>
            </w:r>
            <w:r>
              <w:rPr>
                <w:rFonts w:hint="default" w:ascii="Times New Roman" w:hAnsi="Times New Roman" w:cs="Times New Roman"/>
                <w:bCs/>
                <w:color w:val="auto"/>
                <w:sz w:val="24"/>
              </w:rPr>
              <w:t>第一号修改单</w:t>
            </w:r>
            <w:r>
              <w:rPr>
                <w:rFonts w:hint="default" w:ascii="Times New Roman" w:hAnsi="Times New Roman" w:cs="Times New Roman"/>
                <w:bCs/>
                <w:color w:val="auto"/>
                <w:sz w:val="24"/>
                <w:lang w:eastAsia="zh-CN"/>
              </w:rPr>
              <w:t>，</w:t>
            </w:r>
            <w:r>
              <w:rPr>
                <w:rFonts w:hint="default" w:ascii="Times New Roman" w:hAnsi="Times New Roman" w:cs="Times New Roman"/>
                <w:color w:val="auto"/>
                <w:sz w:val="24"/>
                <w:szCs w:val="24"/>
              </w:rPr>
              <w:t>详见表</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w:t>
            </w:r>
            <w:r>
              <w:rPr>
                <w:rFonts w:hint="default" w:ascii="Times New Roman" w:hAnsi="Times New Roman" w:eastAsia="宋体" w:cs="Times New Roman"/>
                <w:color w:val="auto"/>
                <w:sz w:val="24"/>
                <w:szCs w:val="24"/>
                <w:lang w:val="en-US" w:eastAsia="zh-CN"/>
              </w:rPr>
              <w:t>11-1</w:t>
            </w:r>
            <w:r>
              <w:rPr>
                <w:rFonts w:hint="default" w:ascii="Times New Roman" w:hAnsi="Times New Roman" w:cs="Times New Roman"/>
                <w:color w:val="auto"/>
                <w:sz w:val="24"/>
                <w:szCs w:val="24"/>
              </w:rPr>
              <w:t>、表</w:t>
            </w:r>
            <w:r>
              <w:rPr>
                <w:rFonts w:hint="default" w:ascii="Times New Roman" w:hAnsi="Times New Roman" w:cs="Times New Roman"/>
                <w:color w:val="auto"/>
                <w:sz w:val="24"/>
                <w:szCs w:val="24"/>
                <w:lang w:val="en-US" w:eastAsia="zh-CN"/>
              </w:rPr>
              <w:t>3.11-2</w:t>
            </w:r>
            <w:r>
              <w:rPr>
                <w:rFonts w:hint="default" w:ascii="Times New Roman" w:hAnsi="Times New Roman" w:cs="Times New Roman"/>
                <w:color w:val="auto"/>
                <w:sz w:val="24"/>
                <w:szCs w:val="24"/>
              </w:rPr>
              <w:t>、表</w:t>
            </w:r>
            <w:r>
              <w:rPr>
                <w:rFonts w:hint="default" w:ascii="Times New Roman" w:hAnsi="Times New Roman" w:cs="Times New Roman"/>
                <w:color w:val="auto"/>
                <w:sz w:val="24"/>
                <w:szCs w:val="24"/>
                <w:lang w:val="en-US" w:eastAsia="zh-CN"/>
              </w:rPr>
              <w:t>3.11-3</w:t>
            </w:r>
            <w:r>
              <w:rPr>
                <w:rFonts w:hint="default" w:ascii="Times New Roman" w:hAnsi="Times New Roman" w:cs="Times New Roman"/>
                <w:color w:val="auto"/>
                <w:sz w:val="24"/>
                <w:szCs w:val="24"/>
              </w:rPr>
              <w:t>。</w:t>
            </w:r>
          </w:p>
          <w:p w14:paraId="47D4D7D7">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3.11-1</w:t>
            </w:r>
            <w:r>
              <w:rPr>
                <w:rFonts w:hint="default" w:ascii="Times New Roman" w:hAnsi="Times New Roman" w:cs="Times New Roman"/>
                <w:color w:val="auto"/>
              </w:rPr>
              <w:t>《大气污染物综合排放标准》(DB50/418－2016)</w:t>
            </w:r>
          </w:p>
          <w:tbl>
            <w:tblPr>
              <w:tblStyle w:val="17"/>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878"/>
              <w:gridCol w:w="1670"/>
              <w:gridCol w:w="828"/>
              <w:gridCol w:w="691"/>
              <w:gridCol w:w="691"/>
              <w:gridCol w:w="691"/>
              <w:gridCol w:w="834"/>
              <w:gridCol w:w="1691"/>
            </w:tblGrid>
            <w:tr w14:paraId="348DC939">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jc w:val="center"/>
              </w:trPr>
              <w:tc>
                <w:tcPr>
                  <w:tcW w:w="551" w:type="pct"/>
                  <w:vMerge w:val="restart"/>
                  <w:noWrap w:val="0"/>
                  <w:vAlign w:val="center"/>
                </w:tcPr>
                <w:p w14:paraId="29CD263A">
                  <w:pPr>
                    <w:pStyle w:val="3"/>
                    <w:bidi w:val="0"/>
                    <w:rPr>
                      <w:rFonts w:hint="default" w:ascii="Times New Roman" w:hAnsi="Times New Roman" w:cs="Times New Roman"/>
                      <w:color w:val="auto"/>
                    </w:rPr>
                  </w:pPr>
                  <w:r>
                    <w:rPr>
                      <w:rFonts w:hint="default" w:ascii="Times New Roman" w:hAnsi="Times New Roman" w:cs="Times New Roman"/>
                      <w:color w:val="auto"/>
                    </w:rPr>
                    <w:t>污染物项目</w:t>
                  </w:r>
                </w:p>
              </w:tc>
              <w:tc>
                <w:tcPr>
                  <w:tcW w:w="1047" w:type="pct"/>
                  <w:vMerge w:val="restart"/>
                  <w:noWrap w:val="0"/>
                  <w:vAlign w:val="center"/>
                </w:tcPr>
                <w:p w14:paraId="4A73DF7F">
                  <w:pPr>
                    <w:pStyle w:val="3"/>
                    <w:bidi w:val="0"/>
                    <w:rPr>
                      <w:rFonts w:hint="default" w:ascii="Times New Roman" w:hAnsi="Times New Roman" w:cs="Times New Roman"/>
                      <w:color w:val="auto"/>
                    </w:rPr>
                  </w:pPr>
                  <w:r>
                    <w:rPr>
                      <w:rFonts w:hint="default" w:ascii="Times New Roman" w:hAnsi="Times New Roman" w:cs="Times New Roman"/>
                      <w:color w:val="auto"/>
                    </w:rPr>
                    <w:t>大气污染物最高允许排放浓度（mg/m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c>
              <w:tc>
                <w:tcPr>
                  <w:tcW w:w="2341" w:type="pct"/>
                  <w:gridSpan w:val="5"/>
                  <w:noWrap w:val="0"/>
                  <w:vAlign w:val="center"/>
                </w:tcPr>
                <w:p w14:paraId="4D83FFBA">
                  <w:pPr>
                    <w:pStyle w:val="3"/>
                    <w:bidi w:val="0"/>
                    <w:rPr>
                      <w:rFonts w:hint="default" w:ascii="Times New Roman" w:hAnsi="Times New Roman" w:cs="Times New Roman"/>
                      <w:color w:val="auto"/>
                    </w:rPr>
                  </w:pPr>
                  <w:r>
                    <w:rPr>
                      <w:rFonts w:hint="default" w:ascii="Times New Roman" w:hAnsi="Times New Roman" w:cs="Times New Roman"/>
                      <w:color w:val="auto"/>
                    </w:rPr>
                    <w:t>与排气筒高度对应的大气污染物最高允许排放速率（kg/h）</w:t>
                  </w:r>
                </w:p>
              </w:tc>
              <w:tc>
                <w:tcPr>
                  <w:tcW w:w="1060" w:type="pct"/>
                  <w:vMerge w:val="restart"/>
                  <w:noWrap w:val="0"/>
                  <w:vAlign w:val="center"/>
                </w:tcPr>
                <w:p w14:paraId="3504F189">
                  <w:pPr>
                    <w:pStyle w:val="3"/>
                    <w:bidi w:val="0"/>
                    <w:rPr>
                      <w:rFonts w:hint="default" w:ascii="Times New Roman" w:hAnsi="Times New Roman" w:cs="Times New Roman"/>
                      <w:color w:val="auto"/>
                    </w:rPr>
                  </w:pPr>
                  <w:r>
                    <w:rPr>
                      <w:rFonts w:hint="default" w:ascii="Times New Roman" w:hAnsi="Times New Roman" w:cs="Times New Roman"/>
                      <w:color w:val="auto"/>
                    </w:rPr>
                    <w:t>无组织排放监控点浓度限值</w:t>
                  </w:r>
                </w:p>
                <w:p w14:paraId="336E8C74">
                  <w:pPr>
                    <w:pStyle w:val="3"/>
                    <w:bidi w:val="0"/>
                    <w:rPr>
                      <w:rFonts w:hint="default" w:ascii="Times New Roman" w:hAnsi="Times New Roman" w:cs="Times New Roman"/>
                      <w:color w:val="auto"/>
                    </w:rPr>
                  </w:pPr>
                  <w:r>
                    <w:rPr>
                      <w:rFonts w:hint="default" w:ascii="Times New Roman" w:hAnsi="Times New Roman" w:cs="Times New Roman"/>
                      <w:color w:val="auto"/>
                    </w:rPr>
                    <w:t>（mg/m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p>
              </w:tc>
            </w:tr>
            <w:tr w14:paraId="6C7A4087">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551" w:type="pct"/>
                  <w:vMerge w:val="continue"/>
                  <w:noWrap w:val="0"/>
                  <w:vAlign w:val="center"/>
                </w:tcPr>
                <w:p w14:paraId="0323117B">
                  <w:pPr>
                    <w:pStyle w:val="3"/>
                    <w:bidi w:val="0"/>
                    <w:rPr>
                      <w:rFonts w:hint="default" w:ascii="Times New Roman" w:hAnsi="Times New Roman" w:cs="Times New Roman"/>
                      <w:color w:val="auto"/>
                    </w:rPr>
                  </w:pPr>
                </w:p>
              </w:tc>
              <w:tc>
                <w:tcPr>
                  <w:tcW w:w="1047" w:type="pct"/>
                  <w:vMerge w:val="continue"/>
                  <w:noWrap w:val="0"/>
                  <w:vAlign w:val="center"/>
                </w:tcPr>
                <w:p w14:paraId="6C02F26F">
                  <w:pPr>
                    <w:pStyle w:val="3"/>
                    <w:bidi w:val="0"/>
                    <w:rPr>
                      <w:rFonts w:hint="default" w:ascii="Times New Roman" w:hAnsi="Times New Roman" w:cs="Times New Roman"/>
                      <w:color w:val="auto"/>
                    </w:rPr>
                  </w:pPr>
                </w:p>
              </w:tc>
              <w:tc>
                <w:tcPr>
                  <w:tcW w:w="519" w:type="pct"/>
                  <w:noWrap w:val="0"/>
                  <w:vAlign w:val="center"/>
                </w:tcPr>
                <w:p w14:paraId="6E48D55D">
                  <w:pPr>
                    <w:pStyle w:val="3"/>
                    <w:bidi w:val="0"/>
                    <w:rPr>
                      <w:rFonts w:hint="default" w:ascii="Times New Roman" w:hAnsi="Times New Roman" w:cs="Times New Roman"/>
                      <w:color w:val="auto"/>
                    </w:rPr>
                  </w:pPr>
                  <w:r>
                    <w:rPr>
                      <w:rFonts w:hint="default" w:ascii="Times New Roman" w:hAnsi="Times New Roman" w:cs="Times New Roman"/>
                      <w:color w:val="auto"/>
                    </w:rPr>
                    <w:t>15m</w:t>
                  </w:r>
                </w:p>
              </w:tc>
              <w:tc>
                <w:tcPr>
                  <w:tcW w:w="433" w:type="pct"/>
                  <w:noWrap w:val="0"/>
                  <w:vAlign w:val="center"/>
                </w:tcPr>
                <w:p w14:paraId="264FEF78">
                  <w:pPr>
                    <w:pStyle w:val="3"/>
                    <w:bidi w:val="0"/>
                    <w:rPr>
                      <w:rFonts w:hint="default" w:ascii="Times New Roman" w:hAnsi="Times New Roman" w:cs="Times New Roman"/>
                      <w:color w:val="auto"/>
                    </w:rPr>
                  </w:pPr>
                  <w:r>
                    <w:rPr>
                      <w:rFonts w:hint="default" w:ascii="Times New Roman" w:hAnsi="Times New Roman" w:cs="Times New Roman"/>
                      <w:color w:val="auto"/>
                    </w:rPr>
                    <w:t>20m</w:t>
                  </w:r>
                </w:p>
              </w:tc>
              <w:tc>
                <w:tcPr>
                  <w:tcW w:w="433" w:type="pct"/>
                  <w:noWrap w:val="0"/>
                  <w:vAlign w:val="center"/>
                </w:tcPr>
                <w:p w14:paraId="04AA559C">
                  <w:pPr>
                    <w:pStyle w:val="3"/>
                    <w:bidi w:val="0"/>
                    <w:rPr>
                      <w:rFonts w:hint="default" w:ascii="Times New Roman" w:hAnsi="Times New Roman" w:cs="Times New Roman"/>
                      <w:color w:val="auto"/>
                    </w:rPr>
                  </w:pPr>
                  <w:r>
                    <w:rPr>
                      <w:rFonts w:hint="default" w:ascii="Times New Roman" w:hAnsi="Times New Roman" w:cs="Times New Roman"/>
                      <w:color w:val="auto"/>
                    </w:rPr>
                    <w:t>30m</w:t>
                  </w:r>
                </w:p>
              </w:tc>
              <w:tc>
                <w:tcPr>
                  <w:tcW w:w="433" w:type="pct"/>
                  <w:noWrap w:val="0"/>
                  <w:vAlign w:val="center"/>
                </w:tcPr>
                <w:p w14:paraId="6E3F6DCC">
                  <w:pPr>
                    <w:pStyle w:val="3"/>
                    <w:bidi w:val="0"/>
                    <w:rPr>
                      <w:rFonts w:hint="default" w:ascii="Times New Roman" w:hAnsi="Times New Roman" w:cs="Times New Roman"/>
                      <w:color w:val="auto"/>
                    </w:rPr>
                  </w:pPr>
                  <w:r>
                    <w:rPr>
                      <w:rFonts w:hint="default" w:ascii="Times New Roman" w:hAnsi="Times New Roman" w:cs="Times New Roman"/>
                      <w:color w:val="auto"/>
                    </w:rPr>
                    <w:t>40m</w:t>
                  </w:r>
                </w:p>
              </w:tc>
              <w:tc>
                <w:tcPr>
                  <w:tcW w:w="522" w:type="pct"/>
                  <w:noWrap w:val="0"/>
                  <w:vAlign w:val="center"/>
                </w:tcPr>
                <w:p w14:paraId="5E9B424B">
                  <w:pPr>
                    <w:pStyle w:val="3"/>
                    <w:bidi w:val="0"/>
                    <w:rPr>
                      <w:rFonts w:hint="default" w:ascii="Times New Roman" w:hAnsi="Times New Roman" w:cs="Times New Roman"/>
                      <w:color w:val="auto"/>
                    </w:rPr>
                  </w:pPr>
                  <w:r>
                    <w:rPr>
                      <w:rFonts w:hint="default" w:ascii="Times New Roman" w:hAnsi="Times New Roman" w:cs="Times New Roman"/>
                      <w:color w:val="auto"/>
                    </w:rPr>
                    <w:t>50m</w:t>
                  </w:r>
                </w:p>
              </w:tc>
              <w:tc>
                <w:tcPr>
                  <w:tcW w:w="1060" w:type="pct"/>
                  <w:vMerge w:val="continue"/>
                  <w:noWrap w:val="0"/>
                  <w:vAlign w:val="center"/>
                </w:tcPr>
                <w:p w14:paraId="6CCFDFFC">
                  <w:pPr>
                    <w:pStyle w:val="3"/>
                    <w:bidi w:val="0"/>
                    <w:rPr>
                      <w:rFonts w:hint="default" w:ascii="Times New Roman" w:hAnsi="Times New Roman" w:cs="Times New Roman"/>
                      <w:color w:val="auto"/>
                    </w:rPr>
                  </w:pPr>
                </w:p>
              </w:tc>
            </w:tr>
            <w:tr w14:paraId="113B3DDF">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51" w:type="pct"/>
                  <w:noWrap w:val="0"/>
                  <w:vAlign w:val="center"/>
                </w:tcPr>
                <w:p w14:paraId="1283F160">
                  <w:pPr>
                    <w:pStyle w:val="3"/>
                    <w:bidi w:val="0"/>
                    <w:rPr>
                      <w:rFonts w:hint="default" w:ascii="Times New Roman" w:hAnsi="Times New Roman" w:cs="Times New Roman"/>
                      <w:color w:val="auto"/>
                    </w:rPr>
                  </w:pPr>
                  <w:r>
                    <w:rPr>
                      <w:rFonts w:hint="default" w:ascii="Times New Roman" w:hAnsi="Times New Roman" w:cs="Times New Roman"/>
                      <w:color w:val="auto"/>
                    </w:rPr>
                    <w:t>其他颗粒物</w:t>
                  </w:r>
                </w:p>
              </w:tc>
              <w:tc>
                <w:tcPr>
                  <w:tcW w:w="1047" w:type="pct"/>
                  <w:noWrap w:val="0"/>
                  <w:vAlign w:val="center"/>
                </w:tcPr>
                <w:p w14:paraId="6B1F490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120</w:t>
                  </w:r>
                </w:p>
              </w:tc>
              <w:tc>
                <w:tcPr>
                  <w:tcW w:w="519" w:type="pct"/>
                  <w:noWrap w:val="0"/>
                  <w:vAlign w:val="center"/>
                </w:tcPr>
                <w:p w14:paraId="3AD2654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w:t>
                  </w:r>
                </w:p>
              </w:tc>
              <w:tc>
                <w:tcPr>
                  <w:tcW w:w="433" w:type="pct"/>
                  <w:noWrap w:val="0"/>
                  <w:vAlign w:val="center"/>
                </w:tcPr>
                <w:p w14:paraId="3BCF0F9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5.9</w:t>
                  </w:r>
                </w:p>
              </w:tc>
              <w:tc>
                <w:tcPr>
                  <w:tcW w:w="433" w:type="pct"/>
                  <w:noWrap w:val="0"/>
                  <w:vAlign w:val="center"/>
                </w:tcPr>
                <w:p w14:paraId="082A1A6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23</w:t>
                  </w:r>
                </w:p>
              </w:tc>
              <w:tc>
                <w:tcPr>
                  <w:tcW w:w="433" w:type="pct"/>
                  <w:noWrap w:val="0"/>
                  <w:vAlign w:val="center"/>
                </w:tcPr>
                <w:p w14:paraId="6DD073B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39</w:t>
                  </w:r>
                </w:p>
              </w:tc>
              <w:tc>
                <w:tcPr>
                  <w:tcW w:w="522" w:type="pct"/>
                  <w:noWrap w:val="0"/>
                  <w:vAlign w:val="center"/>
                </w:tcPr>
                <w:p w14:paraId="545089A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60</w:t>
                  </w:r>
                </w:p>
              </w:tc>
              <w:tc>
                <w:tcPr>
                  <w:tcW w:w="1060" w:type="pct"/>
                  <w:noWrap w:val="0"/>
                  <w:vAlign w:val="center"/>
                </w:tcPr>
                <w:p w14:paraId="6DAC0C49">
                  <w:pPr>
                    <w:pStyle w:val="3"/>
                    <w:bidi w:val="0"/>
                    <w:rPr>
                      <w:rFonts w:hint="default" w:ascii="Times New Roman" w:hAnsi="Times New Roman" w:cs="Times New Roman"/>
                      <w:color w:val="auto"/>
                    </w:rPr>
                  </w:pPr>
                  <w:r>
                    <w:rPr>
                      <w:rFonts w:hint="default" w:ascii="Times New Roman" w:hAnsi="Times New Roman" w:cs="Times New Roman"/>
                      <w:color w:val="auto"/>
                    </w:rPr>
                    <w:t>1.0</w:t>
                  </w:r>
                </w:p>
              </w:tc>
            </w:tr>
            <w:tr w14:paraId="2BB8C1FE">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56" w:hRule="atLeast"/>
                <w:jc w:val="center"/>
              </w:trPr>
              <w:tc>
                <w:tcPr>
                  <w:tcW w:w="551" w:type="pct"/>
                  <w:noWrap w:val="0"/>
                  <w:vAlign w:val="center"/>
                </w:tcPr>
                <w:p w14:paraId="18DC58F4">
                  <w:pPr>
                    <w:pStyle w:val="3"/>
                    <w:bidi w:val="0"/>
                    <w:rPr>
                      <w:rFonts w:hint="default" w:ascii="Times New Roman" w:hAnsi="Times New Roman" w:cs="Times New Roman"/>
                      <w:color w:val="auto"/>
                    </w:rPr>
                  </w:pPr>
                  <w:r>
                    <w:rPr>
                      <w:rFonts w:hint="default" w:ascii="Times New Roman" w:hAnsi="Times New Roman" w:cs="Times New Roman"/>
                      <w:color w:val="auto"/>
                    </w:rPr>
                    <w:t>非甲烷总烃</w:t>
                  </w:r>
                </w:p>
              </w:tc>
              <w:tc>
                <w:tcPr>
                  <w:tcW w:w="1047" w:type="pct"/>
                  <w:noWrap w:val="0"/>
                  <w:vAlign w:val="center"/>
                </w:tcPr>
                <w:p w14:paraId="278F3300">
                  <w:pPr>
                    <w:pStyle w:val="3"/>
                    <w:bidi w:val="0"/>
                    <w:rPr>
                      <w:rFonts w:hint="default" w:ascii="Times New Roman" w:hAnsi="Times New Roman" w:cs="Times New Roman"/>
                      <w:color w:val="auto"/>
                    </w:rPr>
                  </w:pPr>
                  <w:r>
                    <w:rPr>
                      <w:rFonts w:hint="default" w:ascii="Times New Roman" w:hAnsi="Times New Roman" w:cs="Times New Roman"/>
                      <w:color w:val="auto"/>
                    </w:rPr>
                    <w:t>120</w:t>
                  </w:r>
                </w:p>
              </w:tc>
              <w:tc>
                <w:tcPr>
                  <w:tcW w:w="519" w:type="pct"/>
                  <w:noWrap w:val="0"/>
                  <w:vAlign w:val="center"/>
                </w:tcPr>
                <w:p w14:paraId="0A87FFB0">
                  <w:pPr>
                    <w:pStyle w:val="3"/>
                    <w:bidi w:val="0"/>
                    <w:rPr>
                      <w:rFonts w:hint="default" w:ascii="Times New Roman" w:hAnsi="Times New Roman" w:cs="Times New Roman"/>
                      <w:color w:val="auto"/>
                    </w:rPr>
                  </w:pPr>
                  <w:r>
                    <w:rPr>
                      <w:rFonts w:hint="default" w:ascii="Times New Roman" w:hAnsi="Times New Roman" w:cs="Times New Roman"/>
                      <w:color w:val="auto"/>
                    </w:rPr>
                    <w:t>10</w:t>
                  </w:r>
                </w:p>
              </w:tc>
              <w:tc>
                <w:tcPr>
                  <w:tcW w:w="433" w:type="pct"/>
                  <w:noWrap w:val="0"/>
                  <w:vAlign w:val="center"/>
                </w:tcPr>
                <w:p w14:paraId="0075D73D">
                  <w:pPr>
                    <w:pStyle w:val="3"/>
                    <w:bidi w:val="0"/>
                    <w:rPr>
                      <w:rFonts w:hint="default" w:ascii="Times New Roman" w:hAnsi="Times New Roman" w:cs="Times New Roman"/>
                      <w:color w:val="auto"/>
                    </w:rPr>
                  </w:pPr>
                  <w:r>
                    <w:rPr>
                      <w:rFonts w:hint="default" w:ascii="Times New Roman" w:hAnsi="Times New Roman" w:cs="Times New Roman"/>
                      <w:color w:val="auto"/>
                    </w:rPr>
                    <w:t>17</w:t>
                  </w:r>
                </w:p>
              </w:tc>
              <w:tc>
                <w:tcPr>
                  <w:tcW w:w="433" w:type="pct"/>
                  <w:noWrap w:val="0"/>
                  <w:vAlign w:val="center"/>
                </w:tcPr>
                <w:p w14:paraId="7CBF6161">
                  <w:pPr>
                    <w:pStyle w:val="3"/>
                    <w:bidi w:val="0"/>
                    <w:rPr>
                      <w:rFonts w:hint="default" w:ascii="Times New Roman" w:hAnsi="Times New Roman" w:cs="Times New Roman"/>
                      <w:color w:val="auto"/>
                    </w:rPr>
                  </w:pPr>
                  <w:r>
                    <w:rPr>
                      <w:rFonts w:hint="default" w:ascii="Times New Roman" w:hAnsi="Times New Roman" w:cs="Times New Roman"/>
                      <w:color w:val="auto"/>
                    </w:rPr>
                    <w:t>53</w:t>
                  </w:r>
                </w:p>
              </w:tc>
              <w:tc>
                <w:tcPr>
                  <w:tcW w:w="433" w:type="pct"/>
                  <w:noWrap w:val="0"/>
                  <w:vAlign w:val="center"/>
                </w:tcPr>
                <w:p w14:paraId="2D936C32">
                  <w:pPr>
                    <w:pStyle w:val="3"/>
                    <w:bidi w:val="0"/>
                    <w:rPr>
                      <w:rFonts w:hint="default" w:ascii="Times New Roman" w:hAnsi="Times New Roman" w:cs="Times New Roman"/>
                      <w:color w:val="auto"/>
                    </w:rPr>
                  </w:pPr>
                  <w:r>
                    <w:rPr>
                      <w:rFonts w:hint="default" w:ascii="Times New Roman" w:hAnsi="Times New Roman" w:cs="Times New Roman"/>
                      <w:color w:val="auto"/>
                    </w:rPr>
                    <w:t>100</w:t>
                  </w:r>
                </w:p>
              </w:tc>
              <w:tc>
                <w:tcPr>
                  <w:tcW w:w="522" w:type="pct"/>
                  <w:noWrap w:val="0"/>
                  <w:vAlign w:val="center"/>
                </w:tcPr>
                <w:p w14:paraId="01F4EC88">
                  <w:pPr>
                    <w:pStyle w:val="3"/>
                    <w:bidi w:val="0"/>
                    <w:rPr>
                      <w:rFonts w:hint="default" w:ascii="Times New Roman" w:hAnsi="Times New Roman" w:cs="Times New Roman"/>
                      <w:color w:val="auto"/>
                    </w:rPr>
                  </w:pPr>
                  <w:r>
                    <w:rPr>
                      <w:rFonts w:hint="default" w:ascii="Times New Roman" w:hAnsi="Times New Roman" w:cs="Times New Roman"/>
                      <w:color w:val="auto"/>
                    </w:rPr>
                    <w:t>156</w:t>
                  </w:r>
                </w:p>
              </w:tc>
              <w:tc>
                <w:tcPr>
                  <w:tcW w:w="1060" w:type="pct"/>
                  <w:noWrap w:val="0"/>
                  <w:vAlign w:val="center"/>
                </w:tcPr>
                <w:p w14:paraId="6C9E229D">
                  <w:pPr>
                    <w:pStyle w:val="3"/>
                    <w:bidi w:val="0"/>
                    <w:rPr>
                      <w:rFonts w:hint="default" w:ascii="Times New Roman" w:hAnsi="Times New Roman" w:cs="Times New Roman"/>
                      <w:color w:val="auto"/>
                    </w:rPr>
                  </w:pPr>
                  <w:r>
                    <w:rPr>
                      <w:rFonts w:hint="default" w:ascii="Times New Roman" w:hAnsi="Times New Roman" w:cs="Times New Roman"/>
                      <w:color w:val="auto"/>
                    </w:rPr>
                    <w:t>4.0</w:t>
                  </w:r>
                </w:p>
              </w:tc>
            </w:tr>
          </w:tbl>
          <w:p w14:paraId="369E610C">
            <w:pPr>
              <w:pStyle w:val="3"/>
              <w:bidi w:val="0"/>
              <w:rPr>
                <w:color w:val="auto"/>
                <w:szCs w:val="24"/>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3.11-2</w:t>
            </w:r>
            <w:r>
              <w:rPr>
                <w:rFonts w:hint="default" w:ascii="Times New Roman" w:hAnsi="Times New Roman" w:cs="Times New Roman"/>
                <w:color w:val="auto"/>
              </w:rPr>
              <w:t xml:space="preserve"> 《挥发性有机物无组织排放控制标准》（GB37822-2019）</w:t>
            </w:r>
          </w:p>
          <w:tbl>
            <w:tblPr>
              <w:tblStyle w:val="17"/>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33"/>
              <w:gridCol w:w="1756"/>
              <w:gridCol w:w="2662"/>
              <w:gridCol w:w="2220"/>
            </w:tblGrid>
            <w:tr w14:paraId="4E17D8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6" w:type="pct"/>
                  <w:noWrap w:val="0"/>
                  <w:vAlign w:val="center"/>
                </w:tcPr>
                <w:p w14:paraId="0F22277E">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污染物项目</w:t>
                  </w:r>
                </w:p>
              </w:tc>
              <w:tc>
                <w:tcPr>
                  <w:tcW w:w="1101" w:type="pct"/>
                  <w:noWrap w:val="0"/>
                  <w:vAlign w:val="center"/>
                </w:tcPr>
                <w:p w14:paraId="368AD462">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排放限值mg/m</w:t>
                  </w:r>
                  <w:r>
                    <w:rPr>
                      <w:rFonts w:hint="default" w:ascii="Times New Roman" w:hAnsi="Times New Roman" w:cs="Times New Roman"/>
                      <w:color w:val="auto"/>
                      <w:sz w:val="21"/>
                      <w:szCs w:val="21"/>
                      <w:vertAlign w:val="superscript"/>
                    </w:rPr>
                    <w:t>3</w:t>
                  </w:r>
                </w:p>
              </w:tc>
              <w:tc>
                <w:tcPr>
                  <w:tcW w:w="1669" w:type="pct"/>
                  <w:noWrap w:val="0"/>
                  <w:vAlign w:val="center"/>
                </w:tcPr>
                <w:p w14:paraId="1AD321E3">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限值含义</w:t>
                  </w:r>
                </w:p>
              </w:tc>
              <w:tc>
                <w:tcPr>
                  <w:tcW w:w="1392" w:type="pct"/>
                  <w:noWrap w:val="0"/>
                  <w:vAlign w:val="center"/>
                </w:tcPr>
                <w:p w14:paraId="4DBB0F0E">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无组织排放监控位置</w:t>
                  </w:r>
                </w:p>
              </w:tc>
            </w:tr>
            <w:tr w14:paraId="43BA7D3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6" w:type="pct"/>
                  <w:vMerge w:val="restart"/>
                  <w:noWrap w:val="0"/>
                  <w:vAlign w:val="center"/>
                </w:tcPr>
                <w:p w14:paraId="0797C163">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NMHC</w:t>
                  </w:r>
                </w:p>
              </w:tc>
              <w:tc>
                <w:tcPr>
                  <w:tcW w:w="1101" w:type="pct"/>
                  <w:noWrap w:val="0"/>
                  <w:vAlign w:val="center"/>
                </w:tcPr>
                <w:p w14:paraId="1D55BC99">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69" w:type="pct"/>
                  <w:noWrap w:val="0"/>
                  <w:vAlign w:val="center"/>
                </w:tcPr>
                <w:p w14:paraId="2FDD77D3">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监控点处1h平均浓度值</w:t>
                  </w:r>
                </w:p>
              </w:tc>
              <w:tc>
                <w:tcPr>
                  <w:tcW w:w="1392" w:type="pct"/>
                  <w:vMerge w:val="restart"/>
                  <w:noWrap w:val="0"/>
                  <w:vAlign w:val="center"/>
                </w:tcPr>
                <w:p w14:paraId="4F36D062">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在厂房外设置监控点</w:t>
                  </w:r>
                </w:p>
              </w:tc>
            </w:tr>
            <w:tr w14:paraId="7D53B6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6" w:type="pct"/>
                  <w:vMerge w:val="continue"/>
                  <w:noWrap w:val="0"/>
                  <w:vAlign w:val="center"/>
                </w:tcPr>
                <w:p w14:paraId="41F5DE9D">
                  <w:pPr>
                    <w:pStyle w:val="3"/>
                    <w:bidi w:val="0"/>
                    <w:rPr>
                      <w:rFonts w:hint="default" w:ascii="Times New Roman" w:hAnsi="Times New Roman" w:cs="Times New Roman"/>
                      <w:color w:val="auto"/>
                      <w:sz w:val="21"/>
                      <w:szCs w:val="21"/>
                    </w:rPr>
                  </w:pPr>
                </w:p>
              </w:tc>
              <w:tc>
                <w:tcPr>
                  <w:tcW w:w="1101" w:type="pct"/>
                  <w:noWrap w:val="0"/>
                  <w:vAlign w:val="center"/>
                </w:tcPr>
                <w:p w14:paraId="5F8F7A76">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669" w:type="pct"/>
                  <w:noWrap w:val="0"/>
                  <w:vAlign w:val="center"/>
                </w:tcPr>
                <w:p w14:paraId="5A35E98D">
                  <w:pPr>
                    <w:pStyle w:val="3"/>
                    <w:bidi w:val="0"/>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监控点处任意一次浓度值</w:t>
                  </w:r>
                </w:p>
              </w:tc>
              <w:tc>
                <w:tcPr>
                  <w:tcW w:w="1392" w:type="pct"/>
                  <w:vMerge w:val="continue"/>
                  <w:noWrap w:val="0"/>
                  <w:vAlign w:val="center"/>
                </w:tcPr>
                <w:p w14:paraId="653E4762">
                  <w:pPr>
                    <w:pStyle w:val="3"/>
                    <w:bidi w:val="0"/>
                    <w:rPr>
                      <w:rFonts w:hint="default" w:ascii="Times New Roman" w:hAnsi="Times New Roman" w:cs="Times New Roman"/>
                      <w:color w:val="auto"/>
                      <w:sz w:val="21"/>
                      <w:szCs w:val="21"/>
                    </w:rPr>
                  </w:pPr>
                </w:p>
              </w:tc>
            </w:tr>
          </w:tbl>
          <w:p w14:paraId="0CA1E080">
            <w:pPr>
              <w:pStyle w:val="3"/>
              <w:bidi w:val="0"/>
              <w:rPr>
                <w:rFonts w:hint="default" w:ascii="Times New Roman" w:hAnsi="Times New Roman" w:cs="Times New Roman"/>
                <w:color w:val="auto"/>
              </w:rPr>
            </w:pPr>
            <w:r>
              <w:rPr>
                <w:rFonts w:hint="default" w:ascii="Times New Roman" w:hAnsi="Times New Roman" w:cs="Times New Roman"/>
                <w:color w:val="auto"/>
              </w:rPr>
              <w:t xml:space="preserve">表 </w:t>
            </w: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11-3</w:t>
            </w:r>
            <w:r>
              <w:rPr>
                <w:rFonts w:hint="default" w:ascii="Times New Roman" w:hAnsi="Times New Roman" w:cs="Times New Roman"/>
                <w:color w:val="auto"/>
              </w:rPr>
              <w:t>《锅炉大气污染物排放标准》（DB50/658-2016）</w:t>
            </w:r>
            <w:r>
              <w:rPr>
                <w:rFonts w:hint="default" w:ascii="Times New Roman" w:hAnsi="Times New Roman" w:cs="Times New Roman"/>
                <w:color w:val="auto"/>
                <w:lang w:eastAsia="zh-CN"/>
              </w:rPr>
              <w:t>及</w:t>
            </w:r>
            <w:r>
              <w:rPr>
                <w:rFonts w:hint="default" w:ascii="Times New Roman" w:hAnsi="Times New Roman" w:cs="Times New Roman"/>
                <w:color w:val="auto"/>
              </w:rPr>
              <w:t>第一号修改单</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161"/>
              <w:gridCol w:w="3261"/>
              <w:gridCol w:w="2549"/>
            </w:tblGrid>
            <w:tr w14:paraId="7D7472F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5" w:type="pct"/>
                  <w:tcBorders>
                    <w:tl2br w:val="nil"/>
                    <w:tr2bl w:val="nil"/>
                  </w:tcBorders>
                  <w:vAlign w:val="center"/>
                </w:tcPr>
                <w:p w14:paraId="55EBAC81">
                  <w:pPr>
                    <w:pStyle w:val="3"/>
                    <w:bidi w:val="0"/>
                    <w:rPr>
                      <w:rFonts w:hint="default" w:ascii="Times New Roman" w:hAnsi="Times New Roman" w:cs="Times New Roman"/>
                      <w:color w:val="auto"/>
                    </w:rPr>
                  </w:pPr>
                  <w:r>
                    <w:rPr>
                      <w:rFonts w:hint="default" w:ascii="Times New Roman" w:hAnsi="Times New Roman" w:cs="Times New Roman"/>
                      <w:color w:val="auto"/>
                    </w:rPr>
                    <w:t>污染物</w:t>
                  </w:r>
                </w:p>
              </w:tc>
              <w:tc>
                <w:tcPr>
                  <w:tcW w:w="2045" w:type="pct"/>
                  <w:tcBorders>
                    <w:tl2br w:val="nil"/>
                    <w:tr2bl w:val="nil"/>
                  </w:tcBorders>
                  <w:vAlign w:val="center"/>
                </w:tcPr>
                <w:p w14:paraId="70D2671F">
                  <w:pPr>
                    <w:pStyle w:val="3"/>
                    <w:bidi w:val="0"/>
                    <w:rPr>
                      <w:rFonts w:hint="default" w:ascii="Times New Roman" w:hAnsi="Times New Roman" w:cs="Times New Roman"/>
                      <w:color w:val="auto"/>
                    </w:rPr>
                  </w:pPr>
                  <w:r>
                    <w:rPr>
                      <w:rFonts w:hint="default" w:ascii="Times New Roman" w:hAnsi="Times New Roman" w:cs="Times New Roman"/>
                      <w:color w:val="auto"/>
                    </w:rPr>
                    <w:t>污染物排放限值/mg/m</w:t>
                  </w:r>
                  <w:r>
                    <w:rPr>
                      <w:rFonts w:hint="default" w:ascii="Times New Roman" w:hAnsi="Times New Roman" w:cs="Times New Roman"/>
                      <w:color w:val="auto"/>
                      <w:vertAlign w:val="superscript"/>
                    </w:rPr>
                    <w:t>3</w:t>
                  </w:r>
                </w:p>
              </w:tc>
              <w:tc>
                <w:tcPr>
                  <w:tcW w:w="1598" w:type="pct"/>
                  <w:tcBorders>
                    <w:tl2br w:val="nil"/>
                    <w:tr2bl w:val="nil"/>
                  </w:tcBorders>
                  <w:vAlign w:val="center"/>
                </w:tcPr>
                <w:p w14:paraId="53EDEDBD">
                  <w:pPr>
                    <w:pStyle w:val="3"/>
                    <w:bidi w:val="0"/>
                    <w:rPr>
                      <w:rFonts w:hint="default" w:ascii="Times New Roman" w:hAnsi="Times New Roman" w:cs="Times New Roman"/>
                      <w:color w:val="auto"/>
                    </w:rPr>
                  </w:pPr>
                  <w:r>
                    <w:rPr>
                      <w:rFonts w:hint="default" w:ascii="Times New Roman" w:hAnsi="Times New Roman" w:cs="Times New Roman"/>
                      <w:color w:val="auto"/>
                    </w:rPr>
                    <w:t>监控位置</w:t>
                  </w:r>
                </w:p>
              </w:tc>
            </w:tr>
            <w:tr w14:paraId="60C6E2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5" w:type="pct"/>
                  <w:tcBorders>
                    <w:tl2br w:val="nil"/>
                    <w:tr2bl w:val="nil"/>
                  </w:tcBorders>
                  <w:vAlign w:val="center"/>
                </w:tcPr>
                <w:p w14:paraId="59511E2D">
                  <w:pPr>
                    <w:pStyle w:val="3"/>
                    <w:bidi w:val="0"/>
                    <w:rPr>
                      <w:rFonts w:hint="default" w:ascii="Times New Roman" w:hAnsi="Times New Roman" w:cs="Times New Roman"/>
                      <w:color w:val="auto"/>
                    </w:rPr>
                  </w:pPr>
                  <w:r>
                    <w:rPr>
                      <w:rFonts w:hint="default" w:ascii="Times New Roman" w:hAnsi="Times New Roman" w:cs="Times New Roman"/>
                      <w:color w:val="auto"/>
                    </w:rPr>
                    <w:t>颗粒物</w:t>
                  </w:r>
                </w:p>
              </w:tc>
              <w:tc>
                <w:tcPr>
                  <w:tcW w:w="2045" w:type="pct"/>
                  <w:tcBorders>
                    <w:tl2br w:val="nil"/>
                    <w:tr2bl w:val="nil"/>
                  </w:tcBorders>
                  <w:vAlign w:val="center"/>
                </w:tcPr>
                <w:p w14:paraId="20D7B2DF">
                  <w:pPr>
                    <w:pStyle w:val="3"/>
                    <w:bidi w:val="0"/>
                    <w:rPr>
                      <w:rFonts w:hint="default" w:ascii="Times New Roman" w:hAnsi="Times New Roman" w:cs="Times New Roman"/>
                      <w:color w:val="auto"/>
                    </w:rPr>
                  </w:pPr>
                  <w:r>
                    <w:rPr>
                      <w:rFonts w:hint="default" w:ascii="Times New Roman" w:hAnsi="Times New Roman" w:cs="Times New Roman"/>
                      <w:color w:val="auto"/>
                    </w:rPr>
                    <w:t>20</w:t>
                  </w:r>
                </w:p>
              </w:tc>
              <w:tc>
                <w:tcPr>
                  <w:tcW w:w="1598" w:type="pct"/>
                  <w:vMerge w:val="restart"/>
                  <w:tcBorders>
                    <w:tl2br w:val="nil"/>
                    <w:tr2bl w:val="nil"/>
                  </w:tcBorders>
                  <w:vAlign w:val="center"/>
                </w:tcPr>
                <w:p w14:paraId="2AB6BAA5">
                  <w:pPr>
                    <w:pStyle w:val="3"/>
                    <w:bidi w:val="0"/>
                    <w:rPr>
                      <w:rFonts w:hint="default" w:ascii="Times New Roman" w:hAnsi="Times New Roman" w:cs="Times New Roman"/>
                      <w:color w:val="auto"/>
                    </w:rPr>
                  </w:pPr>
                  <w:r>
                    <w:rPr>
                      <w:rFonts w:hint="default" w:ascii="Times New Roman" w:hAnsi="Times New Roman" w:cs="Times New Roman"/>
                      <w:color w:val="auto"/>
                    </w:rPr>
                    <w:t>烟囱或烟道</w:t>
                  </w:r>
                </w:p>
              </w:tc>
            </w:tr>
            <w:tr w14:paraId="5E0183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5" w:type="pct"/>
                  <w:tcBorders>
                    <w:tl2br w:val="nil"/>
                    <w:tr2bl w:val="nil"/>
                  </w:tcBorders>
                  <w:vAlign w:val="center"/>
                </w:tcPr>
                <w:p w14:paraId="2F961C1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p>
              </w:tc>
              <w:tc>
                <w:tcPr>
                  <w:tcW w:w="2045" w:type="pct"/>
                  <w:tcBorders>
                    <w:tl2br w:val="nil"/>
                    <w:tr2bl w:val="nil"/>
                  </w:tcBorders>
                  <w:vAlign w:val="center"/>
                </w:tcPr>
                <w:p w14:paraId="06836CC8">
                  <w:pPr>
                    <w:pStyle w:val="3"/>
                    <w:bidi w:val="0"/>
                    <w:rPr>
                      <w:rFonts w:hint="default" w:ascii="Times New Roman" w:hAnsi="Times New Roman" w:cs="Times New Roman"/>
                      <w:color w:val="auto"/>
                    </w:rPr>
                  </w:pPr>
                  <w:r>
                    <w:rPr>
                      <w:rFonts w:hint="default" w:ascii="Times New Roman" w:hAnsi="Times New Roman" w:cs="Times New Roman"/>
                      <w:color w:val="auto"/>
                    </w:rPr>
                    <w:t>50</w:t>
                  </w:r>
                </w:p>
              </w:tc>
              <w:tc>
                <w:tcPr>
                  <w:tcW w:w="1598" w:type="pct"/>
                  <w:vMerge w:val="continue"/>
                  <w:tcBorders>
                    <w:tl2br w:val="nil"/>
                    <w:tr2bl w:val="nil"/>
                  </w:tcBorders>
                  <w:vAlign w:val="center"/>
                </w:tcPr>
                <w:p w14:paraId="0045C60D">
                  <w:pPr>
                    <w:pStyle w:val="3"/>
                    <w:bidi w:val="0"/>
                    <w:rPr>
                      <w:rFonts w:hint="default" w:ascii="Times New Roman" w:hAnsi="Times New Roman" w:cs="Times New Roman"/>
                      <w:color w:val="auto"/>
                    </w:rPr>
                  </w:pPr>
                </w:p>
              </w:tc>
            </w:tr>
            <w:tr w14:paraId="09B749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5" w:type="pct"/>
                  <w:tcBorders>
                    <w:tl2br w:val="nil"/>
                    <w:tr2bl w:val="nil"/>
                  </w:tcBorders>
                  <w:vAlign w:val="center"/>
                </w:tcPr>
                <w:p w14:paraId="17CC32C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X</w:t>
                  </w:r>
                </w:p>
              </w:tc>
              <w:tc>
                <w:tcPr>
                  <w:tcW w:w="2045" w:type="pct"/>
                  <w:tcBorders>
                    <w:tl2br w:val="nil"/>
                    <w:tr2bl w:val="nil"/>
                  </w:tcBorders>
                  <w:vAlign w:val="center"/>
                </w:tcPr>
                <w:p w14:paraId="3DBEDC50">
                  <w:pPr>
                    <w:pStyle w:val="3"/>
                    <w:bidi w:val="0"/>
                    <w:rPr>
                      <w:rFonts w:hint="default" w:ascii="Times New Roman" w:hAnsi="Times New Roman" w:cs="Times New Roman"/>
                      <w:color w:val="auto"/>
                    </w:rPr>
                  </w:pPr>
                  <w:r>
                    <w:rPr>
                      <w:rFonts w:hint="default" w:ascii="Times New Roman" w:hAnsi="Times New Roman" w:cs="Times New Roman"/>
                      <w:color w:val="auto"/>
                    </w:rPr>
                    <w:t>50</w:t>
                  </w:r>
                </w:p>
              </w:tc>
              <w:tc>
                <w:tcPr>
                  <w:tcW w:w="1598" w:type="pct"/>
                  <w:vMerge w:val="continue"/>
                  <w:tcBorders>
                    <w:tl2br w:val="nil"/>
                    <w:tr2bl w:val="nil"/>
                  </w:tcBorders>
                  <w:vAlign w:val="center"/>
                </w:tcPr>
                <w:p w14:paraId="4661FBFC">
                  <w:pPr>
                    <w:pStyle w:val="3"/>
                    <w:bidi w:val="0"/>
                    <w:rPr>
                      <w:rFonts w:hint="default" w:ascii="Times New Roman" w:hAnsi="Times New Roman" w:cs="Times New Roman"/>
                      <w:color w:val="auto"/>
                    </w:rPr>
                  </w:pPr>
                </w:p>
              </w:tc>
            </w:tr>
          </w:tbl>
          <w:p w14:paraId="13B8815E">
            <w:pPr>
              <w:pStyle w:val="23"/>
              <w:spacing w:line="360" w:lineRule="auto"/>
              <w:ind w:left="0" w:leftChars="0" w:firstLine="0" w:firstLineChars="0"/>
              <w:rPr>
                <w:rFonts w:hint="default" w:ascii="Times New Roman" w:hAnsi="Times New Roman" w:cs="Times New Roman"/>
                <w:color w:val="auto"/>
                <w:sz w:val="24"/>
              </w:rPr>
            </w:pPr>
            <w:r>
              <w:rPr>
                <w:rFonts w:hint="eastAsia" w:ascii="Times New Roman" w:cs="Times New Roman"/>
                <w:b/>
                <w:bCs/>
                <w:color w:val="auto"/>
                <w:sz w:val="24"/>
                <w:szCs w:val="24"/>
                <w:lang w:val="en-US" w:eastAsia="zh-CN"/>
              </w:rPr>
              <w:t>12.</w:t>
            </w:r>
            <w:r>
              <w:rPr>
                <w:rFonts w:ascii="Times New Roman" w:cs="Times New Roman"/>
                <w:b/>
                <w:bCs/>
                <w:color w:val="auto"/>
                <w:sz w:val="24"/>
                <w:szCs w:val="24"/>
              </w:rPr>
              <w:t>废水排放标准</w:t>
            </w:r>
          </w:p>
          <w:p w14:paraId="71885C1F">
            <w:pPr>
              <w:keepNext w:val="0"/>
              <w:keepLines w:val="0"/>
              <w:pageBreakBefore w:val="0"/>
              <w:widowControl w:val="0"/>
              <w:tabs>
                <w:tab w:val="left" w:pos="180"/>
              </w:tabs>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由于本项目产生废水能够接入</w:t>
            </w:r>
            <w:r>
              <w:rPr>
                <w:rFonts w:hint="default" w:ascii="Times New Roman" w:hAnsi="Times New Roman" w:cs="Times New Roman"/>
                <w:color w:val="auto"/>
                <w:sz w:val="24"/>
                <w:szCs w:val="24"/>
                <w:lang w:eastAsia="zh-CN"/>
              </w:rPr>
              <w:t>龙桥工业区</w:t>
            </w:r>
            <w:r>
              <w:rPr>
                <w:rFonts w:hint="default" w:ascii="Times New Roman" w:hAnsi="Times New Roman" w:cs="Times New Roman"/>
                <w:color w:val="auto"/>
                <w:sz w:val="24"/>
                <w:szCs w:val="24"/>
              </w:rPr>
              <w:t>污水处理厂进行处理，因此，本项目排放废水执行</w:t>
            </w:r>
            <w:r>
              <w:rPr>
                <w:rFonts w:hint="default" w:ascii="Times New Roman" w:hAnsi="Times New Roman" w:cs="Times New Roman"/>
                <w:color w:val="auto"/>
                <w:kern w:val="0"/>
                <w:sz w:val="24"/>
                <w:szCs w:val="24"/>
              </w:rPr>
              <w:t>《污水综合排放标准》（GB8978-1996）三级标准</w:t>
            </w:r>
            <w:r>
              <w:rPr>
                <w:rFonts w:hint="default" w:ascii="Times New Roman" w:hAnsi="Times New Roman" w:cs="Times New Roman"/>
                <w:color w:val="auto"/>
                <w:kern w:val="0"/>
                <w:sz w:val="24"/>
                <w:szCs w:val="24"/>
                <w:lang w:eastAsia="zh-CN"/>
              </w:rPr>
              <w:t>，</w:t>
            </w:r>
            <w:r>
              <w:rPr>
                <w:color w:val="auto"/>
                <w:sz w:val="24"/>
              </w:rPr>
              <w:t>氨氮</w:t>
            </w:r>
            <w:r>
              <w:rPr>
                <w:rFonts w:hint="eastAsia" w:eastAsia="宋体"/>
                <w:color w:val="auto"/>
                <w:sz w:val="24"/>
                <w:lang w:eastAsia="zh-CN"/>
              </w:rPr>
              <w:t>、总氮、总磷</w:t>
            </w:r>
            <w:r>
              <w:rPr>
                <w:rFonts w:hint="eastAsia"/>
                <w:color w:val="auto"/>
                <w:sz w:val="24"/>
              </w:rPr>
              <w:t>参照</w:t>
            </w:r>
            <w:r>
              <w:rPr>
                <w:color w:val="auto"/>
                <w:sz w:val="24"/>
              </w:rPr>
              <w:t>执行《污水排入城镇下水道水质标准》（GB/T31962-2015）标准</w:t>
            </w:r>
            <w:r>
              <w:rPr>
                <w:rFonts w:hint="eastAsia" w:cs="Times New Roman"/>
                <w:color w:val="auto"/>
                <w:kern w:val="0"/>
                <w:sz w:val="24"/>
                <w:szCs w:val="24"/>
                <w:lang w:eastAsia="zh-CN"/>
              </w:rPr>
              <w:t>；</w:t>
            </w:r>
            <w:r>
              <w:rPr>
                <w:rFonts w:hint="default" w:ascii="Times New Roman" w:hAnsi="Times New Roman" w:cs="Times New Roman"/>
                <w:color w:val="auto"/>
                <w:sz w:val="24"/>
                <w:szCs w:val="24"/>
                <w:lang w:eastAsia="zh-CN"/>
              </w:rPr>
              <w:t>经</w:t>
            </w:r>
            <w:r>
              <w:rPr>
                <w:rFonts w:hint="default" w:ascii="Times New Roman" w:hAnsi="Times New Roman" w:cs="Times New Roman"/>
                <w:color w:val="auto"/>
                <w:sz w:val="24"/>
                <w:szCs w:val="24"/>
              </w:rPr>
              <w:t>龙桥工业园区污水处理厂</w:t>
            </w:r>
            <w:r>
              <w:rPr>
                <w:rFonts w:hint="default" w:ascii="Times New Roman" w:hAnsi="Times New Roman" w:cs="Times New Roman"/>
                <w:color w:val="auto"/>
                <w:sz w:val="24"/>
                <w:szCs w:val="24"/>
                <w:lang w:eastAsia="zh-CN"/>
              </w:rPr>
              <w:t>深度</w:t>
            </w:r>
            <w:r>
              <w:rPr>
                <w:rFonts w:hint="default" w:ascii="Times New Roman" w:hAnsi="Times New Roman" w:cs="Times New Roman"/>
                <w:color w:val="auto"/>
                <w:sz w:val="24"/>
                <w:szCs w:val="24"/>
              </w:rPr>
              <w:t>处理达后排入长江</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龙桥污水处理厂尾水</w:t>
            </w:r>
            <w:r>
              <w:rPr>
                <w:rFonts w:hint="default" w:ascii="Times New Roman" w:hAnsi="Times New Roman" w:cs="Times New Roman"/>
                <w:color w:val="auto"/>
                <w:sz w:val="24"/>
                <w:szCs w:val="24"/>
                <w:lang w:eastAsia="zh-CN"/>
              </w:rPr>
              <w:t>执行</w:t>
            </w:r>
            <w:r>
              <w:rPr>
                <w:rFonts w:hint="default" w:ascii="Times New Roman" w:hAnsi="Times New Roman" w:cs="Times New Roman"/>
                <w:color w:val="auto"/>
                <w:sz w:val="24"/>
                <w:szCs w:val="24"/>
              </w:rPr>
              <w:t>《化工园区主要水污染物排放标准》（DB50/457-2012）标准（其中COD按60mg/L执行，“DB50457-2012”中未规定的执行《污水综合排放标准》（GB8978-1996）一级标准）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kern w:val="0"/>
                <w:sz w:val="24"/>
                <w:szCs w:val="24"/>
              </w:rPr>
              <w:t>详见表</w:t>
            </w:r>
            <w:r>
              <w:rPr>
                <w:rFonts w:hint="eastAsia" w:eastAsia="宋体" w:cs="Times New Roman"/>
                <w:color w:val="auto"/>
                <w:kern w:val="0"/>
                <w:sz w:val="24"/>
                <w:szCs w:val="24"/>
                <w:lang w:val="en-US" w:eastAsia="zh-CN"/>
              </w:rPr>
              <w:t>3.12-1</w:t>
            </w:r>
            <w:r>
              <w:rPr>
                <w:rFonts w:hint="default" w:ascii="Times New Roman" w:hAnsi="Times New Roman" w:cs="Times New Roman"/>
                <w:color w:val="auto"/>
                <w:kern w:val="0"/>
                <w:sz w:val="24"/>
                <w:szCs w:val="24"/>
              </w:rPr>
              <w:t>。</w:t>
            </w:r>
          </w:p>
          <w:p w14:paraId="7BC395C6">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3.12-1</w:t>
            </w:r>
            <w:r>
              <w:rPr>
                <w:rFonts w:hint="default" w:ascii="Times New Roman" w:hAnsi="Times New Roman" w:cs="Times New Roman"/>
                <w:color w:val="auto"/>
              </w:rPr>
              <w:t xml:space="preserve"> 《污水综合排放标准》（GB8978-1996） 单位：mg/L</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704"/>
              <w:gridCol w:w="729"/>
              <w:gridCol w:w="806"/>
              <w:gridCol w:w="587"/>
              <w:gridCol w:w="704"/>
              <w:gridCol w:w="704"/>
              <w:gridCol w:w="704"/>
              <w:gridCol w:w="1168"/>
            </w:tblGrid>
            <w:tr w14:paraId="77ABA25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9" w:type="pct"/>
                  <w:tcBorders>
                    <w:tl2br w:val="nil"/>
                    <w:tr2bl w:val="nil"/>
                  </w:tcBorders>
                  <w:vAlign w:val="center"/>
                </w:tcPr>
                <w:p w14:paraId="326A54C7">
                  <w:pPr>
                    <w:spacing w:line="240" w:lineRule="auto"/>
                    <w:ind w:firstLine="420" w:firstLineChars="200"/>
                    <w:jc w:val="center"/>
                    <w:rPr>
                      <w:rFonts w:hint="default" w:ascii="Times New Roman" w:hAnsi="Times New Roman" w:cs="Times New Roman"/>
                      <w:color w:val="auto"/>
                    </w:rPr>
                  </w:pPr>
                  <w:r>
                    <w:rPr>
                      <w:rFonts w:hint="default" w:ascii="Times New Roman" w:hAnsi="Times New Roman" w:eastAsia="宋体" w:cs="Times New Roman"/>
                      <w:color w:val="auto"/>
                      <w:sz w:val="21"/>
                      <w:szCs w:val="21"/>
                    </w:rPr>
                    <w:t>污染物</w:t>
                  </w:r>
                </w:p>
              </w:tc>
              <w:tc>
                <w:tcPr>
                  <w:tcW w:w="441" w:type="pct"/>
                  <w:tcBorders>
                    <w:tl2br w:val="nil"/>
                    <w:tr2bl w:val="nil"/>
                  </w:tcBorders>
                  <w:vAlign w:val="center"/>
                </w:tcPr>
                <w:p w14:paraId="26B0C8D3">
                  <w:pPr>
                    <w:pStyle w:val="3"/>
                    <w:bidi w:val="0"/>
                    <w:rPr>
                      <w:rFonts w:hint="default" w:ascii="Times New Roman" w:hAnsi="Times New Roman" w:cs="Times New Roman"/>
                      <w:color w:val="auto"/>
                    </w:rPr>
                  </w:pPr>
                  <w:r>
                    <w:rPr>
                      <w:rFonts w:hint="default" w:ascii="Times New Roman" w:hAnsi="Times New Roman" w:cs="Times New Roman"/>
                      <w:color w:val="auto"/>
                    </w:rPr>
                    <w:t>pH</w:t>
                  </w:r>
                </w:p>
              </w:tc>
              <w:tc>
                <w:tcPr>
                  <w:tcW w:w="457" w:type="pct"/>
                  <w:tcBorders>
                    <w:tl2br w:val="nil"/>
                    <w:tr2bl w:val="nil"/>
                  </w:tcBorders>
                  <w:vAlign w:val="center"/>
                </w:tcPr>
                <w:p w14:paraId="03C4D14E">
                  <w:pPr>
                    <w:pStyle w:val="3"/>
                    <w:bidi w:val="0"/>
                    <w:rPr>
                      <w:rFonts w:hint="default" w:ascii="Times New Roman" w:hAnsi="Times New Roman" w:cs="Times New Roman"/>
                      <w:color w:val="auto"/>
                    </w:rPr>
                  </w:pPr>
                  <w:r>
                    <w:rPr>
                      <w:rFonts w:hint="default" w:ascii="Times New Roman" w:hAnsi="Times New Roman" w:cs="Times New Roman"/>
                      <w:color w:val="auto"/>
                    </w:rPr>
                    <w:t>COD</w:t>
                  </w:r>
                </w:p>
              </w:tc>
              <w:tc>
                <w:tcPr>
                  <w:tcW w:w="505" w:type="pct"/>
                  <w:tcBorders>
                    <w:tl2br w:val="nil"/>
                    <w:tr2bl w:val="nil"/>
                  </w:tcBorders>
                  <w:vAlign w:val="center"/>
                </w:tcPr>
                <w:p w14:paraId="06701F1A">
                  <w:pPr>
                    <w:pStyle w:val="3"/>
                    <w:bidi w:val="0"/>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368" w:type="pct"/>
                  <w:tcBorders>
                    <w:tl2br w:val="nil"/>
                    <w:tr2bl w:val="nil"/>
                  </w:tcBorders>
                  <w:vAlign w:val="center"/>
                </w:tcPr>
                <w:p w14:paraId="382D2761">
                  <w:pPr>
                    <w:pStyle w:val="3"/>
                    <w:bidi w:val="0"/>
                    <w:rPr>
                      <w:rFonts w:hint="default" w:ascii="Times New Roman" w:hAnsi="Times New Roman" w:cs="Times New Roman"/>
                      <w:color w:val="auto"/>
                    </w:rPr>
                  </w:pPr>
                  <w:r>
                    <w:rPr>
                      <w:rFonts w:hint="default" w:ascii="Times New Roman" w:hAnsi="Times New Roman" w:cs="Times New Roman"/>
                      <w:color w:val="auto"/>
                    </w:rPr>
                    <w:t>SS</w:t>
                  </w:r>
                </w:p>
              </w:tc>
              <w:tc>
                <w:tcPr>
                  <w:tcW w:w="441" w:type="pct"/>
                  <w:tcBorders>
                    <w:tl2br w:val="nil"/>
                    <w:tr2bl w:val="nil"/>
                  </w:tcBorders>
                  <w:vAlign w:val="center"/>
                </w:tcPr>
                <w:p w14:paraId="47B8517E">
                  <w:pPr>
                    <w:pStyle w:val="3"/>
                    <w:bidi w:val="0"/>
                    <w:rPr>
                      <w:rFonts w:hint="default" w:ascii="Times New Roman" w:hAnsi="Times New Roman" w:cs="Times New Roman"/>
                      <w:color w:val="auto"/>
                    </w:rPr>
                  </w:pPr>
                  <w:r>
                    <w:rPr>
                      <w:rFonts w:hint="default" w:ascii="Times New Roman" w:hAnsi="Times New Roman" w:cs="Times New Roman"/>
                      <w:color w:val="auto"/>
                    </w:rPr>
                    <w:t>氨氮</w:t>
                  </w:r>
                </w:p>
              </w:tc>
              <w:tc>
                <w:tcPr>
                  <w:tcW w:w="441" w:type="pct"/>
                  <w:tcBorders>
                    <w:tl2br w:val="nil"/>
                    <w:tr2bl w:val="nil"/>
                  </w:tcBorders>
                  <w:vAlign w:val="center"/>
                </w:tcPr>
                <w:p w14:paraId="73B11506">
                  <w:pPr>
                    <w:pStyle w:val="3"/>
                    <w:bidi w:val="0"/>
                    <w:rPr>
                      <w:rFonts w:hint="default" w:ascii="Times New Roman" w:hAnsi="Times New Roman" w:cs="Times New Roman"/>
                      <w:color w:val="auto"/>
                    </w:rPr>
                  </w:pPr>
                  <w:r>
                    <w:rPr>
                      <w:rFonts w:hint="eastAsia" w:ascii="Times New Roman" w:hAnsi="Times New Roman" w:cs="Times New Roman"/>
                      <w:color w:val="auto"/>
                      <w:lang w:eastAsia="zh-CN"/>
                    </w:rPr>
                    <w:t>总氮</w:t>
                  </w:r>
                </w:p>
              </w:tc>
              <w:tc>
                <w:tcPr>
                  <w:tcW w:w="441" w:type="pct"/>
                  <w:tcBorders>
                    <w:tl2br w:val="nil"/>
                    <w:tr2bl w:val="nil"/>
                  </w:tcBorders>
                  <w:vAlign w:val="center"/>
                </w:tcPr>
                <w:p w14:paraId="660EDF08">
                  <w:pPr>
                    <w:pStyle w:val="3"/>
                    <w:bidi w:val="0"/>
                    <w:rPr>
                      <w:rFonts w:hint="default" w:ascii="Times New Roman" w:hAnsi="Times New Roman" w:cs="Times New Roman"/>
                      <w:color w:val="auto"/>
                    </w:rPr>
                  </w:pPr>
                  <w:r>
                    <w:rPr>
                      <w:rFonts w:hint="eastAsia" w:ascii="Times New Roman" w:hAnsi="Times New Roman" w:cs="Times New Roman"/>
                      <w:color w:val="auto"/>
                      <w:lang w:eastAsia="zh-CN"/>
                    </w:rPr>
                    <w:t>总磷</w:t>
                  </w:r>
                </w:p>
              </w:tc>
              <w:tc>
                <w:tcPr>
                  <w:tcW w:w="732" w:type="pct"/>
                  <w:tcBorders>
                    <w:tl2br w:val="nil"/>
                    <w:tr2bl w:val="nil"/>
                  </w:tcBorders>
                  <w:vAlign w:val="center"/>
                </w:tcPr>
                <w:p w14:paraId="6A5863DF">
                  <w:pPr>
                    <w:pStyle w:val="3"/>
                    <w:bidi w:val="0"/>
                    <w:rPr>
                      <w:rFonts w:hint="eastAsia" w:ascii="Times New Roman" w:hAnsi="Times New Roman" w:cs="Times New Roman"/>
                      <w:color w:val="auto"/>
                      <w:lang w:eastAsia="zh-CN"/>
                    </w:rPr>
                  </w:pPr>
                  <w:r>
                    <w:rPr>
                      <w:rFonts w:hint="eastAsia" w:ascii="Times New Roman" w:hAnsi="Times New Roman" w:cs="Times New Roman"/>
                      <w:color w:val="auto"/>
                      <w:lang w:eastAsia="zh-CN"/>
                    </w:rPr>
                    <w:t>动植物油</w:t>
                  </w:r>
                </w:p>
              </w:tc>
            </w:tr>
            <w:tr w14:paraId="22436B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9" w:type="pct"/>
                  <w:tcBorders>
                    <w:tl2br w:val="nil"/>
                    <w:tr2bl w:val="nil"/>
                  </w:tcBorders>
                  <w:vAlign w:val="center"/>
                </w:tcPr>
                <w:p w14:paraId="5A9A5596">
                  <w:pPr>
                    <w:pStyle w:val="3"/>
                    <w:bidi w:val="0"/>
                    <w:jc w:val="center"/>
                    <w:rPr>
                      <w:rFonts w:hint="default" w:ascii="Times New Roman" w:hAnsi="Times New Roman" w:cs="Times New Roman"/>
                      <w:color w:val="auto"/>
                    </w:rPr>
                  </w:pPr>
                  <w:r>
                    <w:rPr>
                      <w:rFonts w:hint="default" w:ascii="Times New Roman" w:hAnsi="Times New Roman" w:cs="Times New Roman"/>
                      <w:color w:val="auto"/>
                    </w:rPr>
                    <w:t>三级排放标准</w:t>
                  </w:r>
                </w:p>
              </w:tc>
              <w:tc>
                <w:tcPr>
                  <w:tcW w:w="441" w:type="pct"/>
                  <w:tcBorders>
                    <w:tl2br w:val="nil"/>
                    <w:tr2bl w:val="nil"/>
                  </w:tcBorders>
                  <w:vAlign w:val="center"/>
                </w:tcPr>
                <w:p w14:paraId="69E87E78">
                  <w:pPr>
                    <w:pStyle w:val="3"/>
                    <w:bidi w:val="0"/>
                    <w:rPr>
                      <w:rFonts w:hint="default" w:ascii="Times New Roman" w:hAnsi="Times New Roman" w:cs="Times New Roman"/>
                      <w:color w:val="auto"/>
                    </w:rPr>
                  </w:pPr>
                  <w:r>
                    <w:rPr>
                      <w:rFonts w:hint="default" w:ascii="Times New Roman" w:hAnsi="Times New Roman" w:cs="Times New Roman"/>
                      <w:color w:val="auto"/>
                    </w:rPr>
                    <w:t>6～9</w:t>
                  </w:r>
                </w:p>
              </w:tc>
              <w:tc>
                <w:tcPr>
                  <w:tcW w:w="457" w:type="pct"/>
                  <w:tcBorders>
                    <w:tl2br w:val="nil"/>
                    <w:tr2bl w:val="nil"/>
                  </w:tcBorders>
                  <w:vAlign w:val="center"/>
                </w:tcPr>
                <w:p w14:paraId="6389ABBC">
                  <w:pPr>
                    <w:pStyle w:val="3"/>
                    <w:bidi w:val="0"/>
                    <w:rPr>
                      <w:rFonts w:hint="default" w:ascii="Times New Roman" w:hAnsi="Times New Roman" w:cs="Times New Roman"/>
                      <w:color w:val="auto"/>
                    </w:rPr>
                  </w:pPr>
                  <w:r>
                    <w:rPr>
                      <w:rFonts w:hint="default" w:ascii="Times New Roman" w:hAnsi="Times New Roman" w:cs="Times New Roman"/>
                      <w:color w:val="auto"/>
                    </w:rPr>
                    <w:t>500</w:t>
                  </w:r>
                </w:p>
              </w:tc>
              <w:tc>
                <w:tcPr>
                  <w:tcW w:w="505" w:type="pct"/>
                  <w:tcBorders>
                    <w:tl2br w:val="nil"/>
                    <w:tr2bl w:val="nil"/>
                  </w:tcBorders>
                  <w:vAlign w:val="center"/>
                </w:tcPr>
                <w:p w14:paraId="4450B3CB">
                  <w:pPr>
                    <w:pStyle w:val="3"/>
                    <w:bidi w:val="0"/>
                    <w:rPr>
                      <w:rFonts w:hint="default" w:ascii="Times New Roman" w:hAnsi="Times New Roman" w:cs="Times New Roman"/>
                      <w:color w:val="auto"/>
                    </w:rPr>
                  </w:pPr>
                  <w:r>
                    <w:rPr>
                      <w:rFonts w:hint="default" w:ascii="Times New Roman" w:hAnsi="Times New Roman" w:cs="Times New Roman"/>
                      <w:color w:val="auto"/>
                    </w:rPr>
                    <w:t>300</w:t>
                  </w:r>
                </w:p>
              </w:tc>
              <w:tc>
                <w:tcPr>
                  <w:tcW w:w="368" w:type="pct"/>
                  <w:tcBorders>
                    <w:tl2br w:val="nil"/>
                    <w:tr2bl w:val="nil"/>
                  </w:tcBorders>
                  <w:vAlign w:val="center"/>
                </w:tcPr>
                <w:p w14:paraId="5FEA37A7">
                  <w:pPr>
                    <w:pStyle w:val="3"/>
                    <w:bidi w:val="0"/>
                    <w:rPr>
                      <w:rFonts w:hint="default" w:ascii="Times New Roman" w:hAnsi="Times New Roman" w:cs="Times New Roman"/>
                      <w:color w:val="auto"/>
                    </w:rPr>
                  </w:pPr>
                  <w:r>
                    <w:rPr>
                      <w:rFonts w:hint="default" w:ascii="Times New Roman" w:hAnsi="Times New Roman" w:cs="Times New Roman"/>
                      <w:color w:val="auto"/>
                    </w:rPr>
                    <w:t>400</w:t>
                  </w:r>
                </w:p>
              </w:tc>
              <w:tc>
                <w:tcPr>
                  <w:tcW w:w="441" w:type="pct"/>
                  <w:tcBorders>
                    <w:tl2br w:val="nil"/>
                    <w:tr2bl w:val="nil"/>
                  </w:tcBorders>
                  <w:vAlign w:val="center"/>
                </w:tcPr>
                <w:p w14:paraId="0892C95D">
                  <w:pPr>
                    <w:pStyle w:val="3"/>
                    <w:bidi w:val="0"/>
                    <w:rPr>
                      <w:rFonts w:hint="default" w:ascii="Times New Roman" w:hAnsi="Times New Roman" w:cs="Times New Roman"/>
                      <w:color w:val="auto"/>
                      <w:lang w:val="en-US"/>
                    </w:rPr>
                  </w:pPr>
                  <w:r>
                    <w:rPr>
                      <w:rFonts w:hint="eastAsia" w:ascii="Times New Roman" w:hAnsi="Times New Roman" w:cs="Times New Roman"/>
                      <w:color w:val="auto"/>
                      <w:lang w:val="en-US" w:eastAsia="zh-CN"/>
                    </w:rPr>
                    <w:t>45</w:t>
                  </w:r>
                </w:p>
              </w:tc>
              <w:tc>
                <w:tcPr>
                  <w:tcW w:w="441" w:type="pct"/>
                  <w:tcBorders>
                    <w:tl2br w:val="nil"/>
                    <w:tr2bl w:val="nil"/>
                  </w:tcBorders>
                  <w:vAlign w:val="center"/>
                </w:tcPr>
                <w:p w14:paraId="1CBF1D56">
                  <w:pPr>
                    <w:pStyle w:val="3"/>
                    <w:bidi w:val="0"/>
                    <w:rPr>
                      <w:rFonts w:hint="default" w:ascii="Times New Roman" w:hAnsi="Times New Roman" w:cs="Times New Roman"/>
                      <w:color w:val="auto"/>
                      <w:lang w:val="en-US"/>
                    </w:rPr>
                  </w:pPr>
                  <w:r>
                    <w:rPr>
                      <w:rFonts w:hint="eastAsia" w:ascii="Times New Roman" w:hAnsi="Times New Roman" w:cs="Times New Roman"/>
                      <w:color w:val="auto"/>
                      <w:lang w:val="en-US" w:eastAsia="zh-CN"/>
                    </w:rPr>
                    <w:t>70</w:t>
                  </w:r>
                </w:p>
              </w:tc>
              <w:tc>
                <w:tcPr>
                  <w:tcW w:w="441" w:type="pct"/>
                  <w:tcBorders>
                    <w:tl2br w:val="nil"/>
                    <w:tr2bl w:val="nil"/>
                  </w:tcBorders>
                  <w:vAlign w:val="center"/>
                </w:tcPr>
                <w:p w14:paraId="19D5216F">
                  <w:pPr>
                    <w:pStyle w:val="3"/>
                    <w:bidi w:val="0"/>
                    <w:rPr>
                      <w:rFonts w:hint="default" w:ascii="Times New Roman" w:hAnsi="Times New Roman" w:cs="Times New Roman"/>
                      <w:color w:val="auto"/>
                    </w:rPr>
                  </w:pPr>
                  <w:r>
                    <w:rPr>
                      <w:rFonts w:hint="eastAsia" w:ascii="Times New Roman" w:hAnsi="Times New Roman" w:cs="Times New Roman"/>
                      <w:color w:val="auto"/>
                      <w:lang w:val="en-US" w:eastAsia="zh-CN"/>
                    </w:rPr>
                    <w:t>8</w:t>
                  </w:r>
                </w:p>
              </w:tc>
              <w:tc>
                <w:tcPr>
                  <w:tcW w:w="732" w:type="pct"/>
                  <w:tcBorders>
                    <w:tl2br w:val="nil"/>
                    <w:tr2bl w:val="nil"/>
                  </w:tcBorders>
                  <w:vAlign w:val="center"/>
                </w:tcPr>
                <w:p w14:paraId="0733692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100</w:t>
                  </w:r>
                </w:p>
              </w:tc>
            </w:tr>
            <w:tr w14:paraId="45D54E2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69" w:type="pct"/>
                  <w:tcBorders>
                    <w:tl2br w:val="nil"/>
                    <w:tr2bl w:val="nil"/>
                  </w:tcBorders>
                  <w:vAlign w:val="center"/>
                </w:tcPr>
                <w:p w14:paraId="34B0A1B6">
                  <w:pPr>
                    <w:pStyle w:val="3"/>
                    <w:bidi w:val="0"/>
                    <w:jc w:val="center"/>
                    <w:rPr>
                      <w:rFonts w:hint="default" w:ascii="Times New Roman" w:hAnsi="Times New Roman" w:cs="Times New Roman"/>
                      <w:color w:val="auto"/>
                      <w:lang w:eastAsia="zh-CN"/>
                    </w:rPr>
                  </w:pPr>
                  <w:r>
                    <w:rPr>
                      <w:rFonts w:hint="default" w:ascii="Times New Roman" w:hAnsi="Times New Roman" w:cs="Times New Roman"/>
                      <w:color w:val="auto"/>
                      <w:lang w:eastAsia="zh-CN"/>
                    </w:rPr>
                    <w:t>龙桥污水处理厂</w:t>
                  </w:r>
                </w:p>
                <w:p w14:paraId="622C5971">
                  <w:pPr>
                    <w:pStyle w:val="3"/>
                    <w:bidi w:val="0"/>
                    <w:jc w:val="center"/>
                    <w:rPr>
                      <w:rFonts w:hint="default" w:ascii="Times New Roman" w:hAnsi="Times New Roman" w:cs="Times New Roman"/>
                      <w:color w:val="auto"/>
                    </w:rPr>
                  </w:pPr>
                  <w:r>
                    <w:rPr>
                      <w:rFonts w:hint="default" w:ascii="Times New Roman" w:hAnsi="Times New Roman" w:cs="Times New Roman"/>
                      <w:color w:val="auto"/>
                      <w:lang w:eastAsia="zh-CN"/>
                    </w:rPr>
                    <w:t>排放标准</w:t>
                  </w:r>
                </w:p>
              </w:tc>
              <w:tc>
                <w:tcPr>
                  <w:tcW w:w="441" w:type="pct"/>
                  <w:tcBorders>
                    <w:tl2br w:val="nil"/>
                    <w:tr2bl w:val="nil"/>
                  </w:tcBorders>
                  <w:vAlign w:val="center"/>
                </w:tcPr>
                <w:p w14:paraId="4850E462">
                  <w:pPr>
                    <w:pStyle w:val="3"/>
                    <w:bidi w:val="0"/>
                    <w:rPr>
                      <w:rFonts w:hint="default" w:ascii="Times New Roman" w:hAnsi="Times New Roman" w:cs="Times New Roman"/>
                      <w:color w:val="auto"/>
                    </w:rPr>
                  </w:pPr>
                  <w:r>
                    <w:rPr>
                      <w:rFonts w:hint="default" w:ascii="Times New Roman" w:hAnsi="Times New Roman" w:cs="Times New Roman"/>
                      <w:color w:val="auto"/>
                    </w:rPr>
                    <w:t>6～9</w:t>
                  </w:r>
                </w:p>
              </w:tc>
              <w:tc>
                <w:tcPr>
                  <w:tcW w:w="457" w:type="pct"/>
                  <w:tcBorders>
                    <w:tl2br w:val="nil"/>
                    <w:tr2bl w:val="nil"/>
                  </w:tcBorders>
                  <w:vAlign w:val="center"/>
                </w:tcPr>
                <w:p w14:paraId="0F63CAF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60</w:t>
                  </w:r>
                </w:p>
              </w:tc>
              <w:tc>
                <w:tcPr>
                  <w:tcW w:w="505" w:type="pct"/>
                  <w:tcBorders>
                    <w:tl2br w:val="nil"/>
                    <w:tr2bl w:val="nil"/>
                  </w:tcBorders>
                  <w:vAlign w:val="center"/>
                </w:tcPr>
                <w:p w14:paraId="4192783A">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20</w:t>
                  </w:r>
                </w:p>
              </w:tc>
              <w:tc>
                <w:tcPr>
                  <w:tcW w:w="368" w:type="pct"/>
                  <w:tcBorders>
                    <w:tl2br w:val="nil"/>
                    <w:tr2bl w:val="nil"/>
                  </w:tcBorders>
                  <w:vAlign w:val="center"/>
                </w:tcPr>
                <w:p w14:paraId="6CEA6B8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70</w:t>
                  </w:r>
                </w:p>
              </w:tc>
              <w:tc>
                <w:tcPr>
                  <w:tcW w:w="441" w:type="pct"/>
                  <w:tcBorders>
                    <w:tl2br w:val="nil"/>
                    <w:tr2bl w:val="nil"/>
                  </w:tcBorders>
                  <w:vAlign w:val="center"/>
                </w:tcPr>
                <w:p w14:paraId="31B3227F">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10</w:t>
                  </w:r>
                </w:p>
              </w:tc>
              <w:tc>
                <w:tcPr>
                  <w:tcW w:w="441" w:type="pct"/>
                  <w:tcBorders>
                    <w:tl2br w:val="nil"/>
                    <w:tr2bl w:val="nil"/>
                  </w:tcBorders>
                  <w:vAlign w:val="center"/>
                </w:tcPr>
                <w:p w14:paraId="0164F149">
                  <w:pPr>
                    <w:pStyle w:val="3"/>
                    <w:bidi w:val="0"/>
                    <w:rPr>
                      <w:rFonts w:hint="default" w:ascii="Times New Roman" w:hAnsi="Times New Roman" w:cs="Times New Roman"/>
                      <w:color w:val="auto"/>
                      <w:lang w:val="en-US"/>
                    </w:rPr>
                  </w:pPr>
                  <w:r>
                    <w:rPr>
                      <w:rFonts w:hint="eastAsia" w:ascii="Times New Roman" w:hAnsi="Times New Roman" w:cs="Times New Roman"/>
                      <w:color w:val="auto"/>
                      <w:lang w:val="en-US" w:eastAsia="zh-CN"/>
                    </w:rPr>
                    <w:t>20</w:t>
                  </w:r>
                </w:p>
              </w:tc>
              <w:tc>
                <w:tcPr>
                  <w:tcW w:w="441" w:type="pct"/>
                  <w:tcBorders>
                    <w:tl2br w:val="nil"/>
                    <w:tr2bl w:val="nil"/>
                  </w:tcBorders>
                  <w:vAlign w:val="center"/>
                </w:tcPr>
                <w:p w14:paraId="3D1CE6DE">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0.5</w:t>
                  </w:r>
                </w:p>
              </w:tc>
              <w:tc>
                <w:tcPr>
                  <w:tcW w:w="732" w:type="pct"/>
                  <w:tcBorders>
                    <w:tl2br w:val="nil"/>
                    <w:tr2bl w:val="nil"/>
                  </w:tcBorders>
                  <w:vAlign w:val="center"/>
                </w:tcPr>
                <w:p w14:paraId="3AE14C5E">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r>
          </w:tbl>
          <w:p w14:paraId="1FE82537">
            <w:pPr>
              <w:pStyle w:val="23"/>
              <w:spacing w:line="360" w:lineRule="auto"/>
              <w:ind w:left="0" w:leftChars="0" w:firstLine="0"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13.</w:t>
            </w:r>
            <w:r>
              <w:rPr>
                <w:rFonts w:hint="default" w:ascii="Times New Roman" w:hAnsi="Times New Roman" w:cs="Times New Roman"/>
                <w:b/>
                <w:bCs/>
                <w:color w:val="auto"/>
                <w:sz w:val="24"/>
                <w:szCs w:val="24"/>
              </w:rPr>
              <w:t>噪声排放标准</w:t>
            </w:r>
          </w:p>
          <w:p w14:paraId="2BADC4D1">
            <w:pPr>
              <w:pStyle w:val="23"/>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both"/>
              <w:textAlignment w:val="auto"/>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本项目运营期噪声排放标准执行《工业企业厂界环境噪声排放标准》（GB12348-2008）中的3类标准，详见表</w:t>
            </w:r>
            <w:r>
              <w:rPr>
                <w:rFonts w:hint="default" w:ascii="Times New Roman" w:hAnsi="Times New Roman" w:cs="Times New Roman"/>
                <w:color w:val="auto"/>
                <w:kern w:val="0"/>
                <w:sz w:val="24"/>
                <w:szCs w:val="24"/>
                <w:lang w:val="en-US" w:eastAsia="zh-CN"/>
              </w:rPr>
              <w:t>3.</w:t>
            </w:r>
            <w:r>
              <w:rPr>
                <w:rFonts w:hint="eastAsia" w:ascii="Times New Roman" w:cs="Times New Roman"/>
                <w:color w:val="auto"/>
                <w:kern w:val="0"/>
                <w:sz w:val="24"/>
                <w:szCs w:val="24"/>
                <w:lang w:val="en-US" w:eastAsia="zh-CN"/>
              </w:rPr>
              <w:t>13-1</w:t>
            </w:r>
            <w:r>
              <w:rPr>
                <w:rFonts w:hint="default" w:ascii="Times New Roman" w:hAnsi="Times New Roman" w:cs="Times New Roman"/>
                <w:color w:val="auto"/>
                <w:kern w:val="0"/>
                <w:sz w:val="24"/>
                <w:szCs w:val="24"/>
              </w:rPr>
              <w:t>。</w:t>
            </w:r>
          </w:p>
          <w:p w14:paraId="22310598">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3.13-1</w:t>
            </w:r>
            <w:r>
              <w:rPr>
                <w:rFonts w:hint="default" w:ascii="Times New Roman" w:hAnsi="Times New Roman" w:cs="Times New Roman"/>
                <w:color w:val="auto"/>
              </w:rPr>
              <w:t xml:space="preserve"> 《工业企业厂界环境噪声排放标准》（GB12348-2008） 单位：dB(A)</w:t>
            </w:r>
          </w:p>
          <w:tbl>
            <w:tblPr>
              <w:tblStyle w:val="17"/>
              <w:tblW w:w="4999"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2656"/>
              <w:gridCol w:w="2657"/>
              <w:gridCol w:w="2659"/>
            </w:tblGrid>
            <w:tr w14:paraId="0373369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1666" w:type="pct"/>
                  <w:vMerge w:val="restart"/>
                  <w:tcBorders>
                    <w:tl2br w:val="nil"/>
                    <w:tr2bl w:val="nil"/>
                  </w:tcBorders>
                  <w:noWrap w:val="0"/>
                  <w:vAlign w:val="center"/>
                </w:tcPr>
                <w:p w14:paraId="270B482F">
                  <w:pPr>
                    <w:pStyle w:val="3"/>
                    <w:bidi w:val="0"/>
                    <w:rPr>
                      <w:rFonts w:hint="default" w:ascii="Times New Roman" w:hAnsi="Times New Roman" w:cs="Times New Roman"/>
                      <w:color w:val="auto"/>
                    </w:rPr>
                  </w:pPr>
                  <w:r>
                    <w:rPr>
                      <w:rFonts w:hint="default" w:ascii="Times New Roman" w:hAnsi="Times New Roman" w:cs="Times New Roman"/>
                      <w:color w:val="auto"/>
                    </w:rPr>
                    <w:t>类别</w:t>
                  </w:r>
                </w:p>
              </w:tc>
              <w:tc>
                <w:tcPr>
                  <w:tcW w:w="3333" w:type="pct"/>
                  <w:gridSpan w:val="2"/>
                  <w:tcBorders>
                    <w:tl2br w:val="nil"/>
                    <w:tr2bl w:val="nil"/>
                  </w:tcBorders>
                  <w:noWrap w:val="0"/>
                  <w:vAlign w:val="center"/>
                </w:tcPr>
                <w:p w14:paraId="656F6CBE">
                  <w:pPr>
                    <w:pStyle w:val="3"/>
                    <w:bidi w:val="0"/>
                    <w:rPr>
                      <w:rFonts w:hint="default" w:ascii="Times New Roman" w:hAnsi="Times New Roman" w:cs="Times New Roman"/>
                      <w:color w:val="auto"/>
                    </w:rPr>
                  </w:pPr>
                  <w:r>
                    <w:rPr>
                      <w:rFonts w:hint="default" w:ascii="Times New Roman" w:hAnsi="Times New Roman" w:cs="Times New Roman"/>
                      <w:color w:val="auto"/>
                    </w:rPr>
                    <w:t>标准值</w:t>
                  </w:r>
                </w:p>
              </w:tc>
            </w:tr>
            <w:tr w14:paraId="14E687E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40" w:hRule="atLeast"/>
                <w:jc w:val="center"/>
              </w:trPr>
              <w:tc>
                <w:tcPr>
                  <w:tcW w:w="1666" w:type="pct"/>
                  <w:vMerge w:val="continue"/>
                  <w:tcBorders>
                    <w:tl2br w:val="nil"/>
                    <w:tr2bl w:val="nil"/>
                  </w:tcBorders>
                  <w:noWrap w:val="0"/>
                  <w:vAlign w:val="center"/>
                </w:tcPr>
                <w:p w14:paraId="3BE0327F">
                  <w:pPr>
                    <w:pStyle w:val="3"/>
                    <w:bidi w:val="0"/>
                    <w:rPr>
                      <w:rFonts w:hint="default" w:ascii="Times New Roman" w:hAnsi="Times New Roman" w:cs="Times New Roman"/>
                      <w:color w:val="auto"/>
                    </w:rPr>
                  </w:pPr>
                </w:p>
              </w:tc>
              <w:tc>
                <w:tcPr>
                  <w:tcW w:w="1666" w:type="pct"/>
                  <w:tcBorders>
                    <w:tl2br w:val="nil"/>
                    <w:tr2bl w:val="nil"/>
                  </w:tcBorders>
                  <w:noWrap w:val="0"/>
                  <w:vAlign w:val="center"/>
                </w:tcPr>
                <w:p w14:paraId="52057F66">
                  <w:pPr>
                    <w:pStyle w:val="3"/>
                    <w:bidi w:val="0"/>
                    <w:rPr>
                      <w:rFonts w:hint="default" w:ascii="Times New Roman" w:hAnsi="Times New Roman" w:cs="Times New Roman"/>
                      <w:color w:val="auto"/>
                    </w:rPr>
                  </w:pPr>
                  <w:r>
                    <w:rPr>
                      <w:rFonts w:hint="default" w:ascii="Times New Roman" w:hAnsi="Times New Roman" w:cs="Times New Roman"/>
                      <w:color w:val="auto"/>
                    </w:rPr>
                    <w:t>昼间</w:t>
                  </w:r>
                </w:p>
              </w:tc>
              <w:tc>
                <w:tcPr>
                  <w:tcW w:w="1666" w:type="pct"/>
                  <w:tcBorders>
                    <w:tl2br w:val="nil"/>
                    <w:tr2bl w:val="nil"/>
                  </w:tcBorders>
                  <w:noWrap w:val="0"/>
                  <w:vAlign w:val="center"/>
                </w:tcPr>
                <w:p w14:paraId="14D14241">
                  <w:pPr>
                    <w:pStyle w:val="3"/>
                    <w:bidi w:val="0"/>
                    <w:rPr>
                      <w:rFonts w:hint="default" w:ascii="Times New Roman" w:hAnsi="Times New Roman" w:cs="Times New Roman"/>
                      <w:color w:val="auto"/>
                    </w:rPr>
                  </w:pPr>
                  <w:r>
                    <w:rPr>
                      <w:rFonts w:hint="default" w:ascii="Times New Roman" w:hAnsi="Times New Roman" w:cs="Times New Roman"/>
                      <w:color w:val="auto"/>
                    </w:rPr>
                    <w:t>夜间</w:t>
                  </w:r>
                </w:p>
              </w:tc>
            </w:tr>
            <w:tr w14:paraId="37D6CFE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62" w:hRule="atLeast"/>
                <w:jc w:val="center"/>
              </w:trPr>
              <w:tc>
                <w:tcPr>
                  <w:tcW w:w="1666" w:type="pct"/>
                  <w:tcBorders>
                    <w:tl2br w:val="nil"/>
                    <w:tr2bl w:val="nil"/>
                  </w:tcBorders>
                  <w:noWrap w:val="0"/>
                  <w:vAlign w:val="center"/>
                </w:tcPr>
                <w:p w14:paraId="6164A435">
                  <w:pPr>
                    <w:pStyle w:val="3"/>
                    <w:bidi w:val="0"/>
                    <w:rPr>
                      <w:rFonts w:hint="default" w:ascii="Times New Roman" w:hAnsi="Times New Roman" w:cs="Times New Roman"/>
                      <w:color w:val="auto"/>
                    </w:rPr>
                  </w:pPr>
                  <w:r>
                    <w:rPr>
                      <w:rFonts w:hint="default" w:ascii="Times New Roman" w:hAnsi="Times New Roman" w:cs="Times New Roman"/>
                      <w:color w:val="auto"/>
                    </w:rPr>
                    <w:t>3类</w:t>
                  </w:r>
                </w:p>
              </w:tc>
              <w:tc>
                <w:tcPr>
                  <w:tcW w:w="1666" w:type="pct"/>
                  <w:tcBorders>
                    <w:tl2br w:val="nil"/>
                    <w:tr2bl w:val="nil"/>
                  </w:tcBorders>
                  <w:noWrap w:val="0"/>
                  <w:vAlign w:val="center"/>
                </w:tcPr>
                <w:p w14:paraId="67551C8E">
                  <w:pPr>
                    <w:pStyle w:val="3"/>
                    <w:bidi w:val="0"/>
                    <w:rPr>
                      <w:rFonts w:hint="default" w:ascii="Times New Roman" w:hAnsi="Times New Roman" w:cs="Times New Roman"/>
                      <w:color w:val="auto"/>
                    </w:rPr>
                  </w:pPr>
                  <w:r>
                    <w:rPr>
                      <w:rFonts w:hint="default" w:ascii="Times New Roman" w:hAnsi="Times New Roman" w:cs="Times New Roman"/>
                      <w:color w:val="auto"/>
                    </w:rPr>
                    <w:t>65</w:t>
                  </w:r>
                </w:p>
              </w:tc>
              <w:tc>
                <w:tcPr>
                  <w:tcW w:w="1666" w:type="pct"/>
                  <w:tcBorders>
                    <w:tl2br w:val="nil"/>
                    <w:tr2bl w:val="nil"/>
                  </w:tcBorders>
                  <w:noWrap w:val="0"/>
                  <w:vAlign w:val="center"/>
                </w:tcPr>
                <w:p w14:paraId="24B1A4A1">
                  <w:pPr>
                    <w:pStyle w:val="3"/>
                    <w:bidi w:val="0"/>
                    <w:rPr>
                      <w:rFonts w:hint="default" w:ascii="Times New Roman" w:hAnsi="Times New Roman" w:cs="Times New Roman"/>
                      <w:color w:val="auto"/>
                    </w:rPr>
                  </w:pPr>
                  <w:r>
                    <w:rPr>
                      <w:rFonts w:hint="default" w:ascii="Times New Roman" w:hAnsi="Times New Roman" w:cs="Times New Roman"/>
                      <w:color w:val="auto"/>
                    </w:rPr>
                    <w:t>55</w:t>
                  </w:r>
                </w:p>
              </w:tc>
            </w:tr>
          </w:tbl>
          <w:p w14:paraId="6356BBD6">
            <w:pPr>
              <w:pStyle w:val="23"/>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0" w:firstLineChars="0"/>
              <w:jc w:val="both"/>
              <w:textAlignment w:val="auto"/>
              <w:rPr>
                <w:rFonts w:hint="default" w:ascii="Times New Roman" w:hAnsi="Times New Roman" w:eastAsia="等线" w:cs="Times New Roman"/>
                <w:b/>
                <w:bCs/>
                <w:color w:val="auto"/>
                <w:kern w:val="0"/>
                <w:sz w:val="24"/>
                <w:szCs w:val="24"/>
                <w:lang w:val="en-US" w:eastAsia="zh-CN"/>
              </w:rPr>
            </w:pPr>
            <w:r>
              <w:rPr>
                <w:rFonts w:hint="eastAsia" w:ascii="Times New Roman" w:cs="Times New Roman"/>
                <w:b/>
                <w:bCs/>
                <w:color w:val="auto"/>
                <w:kern w:val="0"/>
                <w:sz w:val="24"/>
                <w:szCs w:val="24"/>
                <w:lang w:val="en-US" w:eastAsia="zh-CN"/>
              </w:rPr>
              <w:t>14.固体废物</w:t>
            </w:r>
          </w:p>
          <w:p w14:paraId="3B71BEDD">
            <w:pPr>
              <w:pStyle w:val="23"/>
              <w:spacing w:line="360" w:lineRule="auto"/>
              <w:ind w:firstLine="480" w:firstLineChars="200"/>
              <w:jc w:val="both"/>
              <w:rPr>
                <w:rFonts w:ascii="Times New Roman" w:cs="Times New Roman"/>
                <w:color w:val="auto"/>
                <w:sz w:val="21"/>
                <w:szCs w:val="21"/>
              </w:rPr>
            </w:pPr>
            <w:r>
              <w:rPr>
                <w:rFonts w:ascii="Times New Roman" w:cs="Times New Roman"/>
                <w:color w:val="auto"/>
              </w:rPr>
              <w:t>根据</w:t>
            </w:r>
            <w:r>
              <w:rPr>
                <w:rFonts w:ascii="Times New Roman" w:eastAsia="宋体" w:cs="Times New Roman"/>
                <w:color w:val="auto"/>
              </w:rPr>
              <w:t>《一般工业固体废物贮存和填埋污染控制标准》</w:t>
            </w:r>
            <w:r>
              <w:rPr>
                <w:rFonts w:hint="default" w:ascii="Times New Roman" w:hAnsi="Times New Roman" w:eastAsia="宋体" w:cs="Times New Roman"/>
                <w:color w:val="auto"/>
              </w:rPr>
              <w:t>(GB18599-2020)，</w:t>
            </w:r>
            <w:r>
              <w:rPr>
                <w:rFonts w:hint="default" w:ascii="Times New Roman" w:hAnsi="Times New Roman" w:eastAsia="宋体" w:cs="Times New Roman"/>
                <w:color w:val="auto"/>
                <w:lang w:bidi="ar"/>
              </w:rPr>
              <w:t>采用库房、包装工具（罐、桶、包装袋等）贮存一般工业固体废物过程的污染控制，不适用本标准，</w:t>
            </w:r>
            <w:r>
              <w:rPr>
                <w:rFonts w:hint="default" w:ascii="Times New Roman" w:hAnsi="Times New Roman" w:eastAsia="宋体" w:cs="Times New Roman"/>
                <w:color w:val="auto"/>
              </w:rPr>
              <w:t>本项目一般工业固体废物的</w:t>
            </w:r>
            <w:r>
              <w:rPr>
                <w:rFonts w:hint="default" w:ascii="Times New Roman" w:hAnsi="Times New Roman" w:eastAsia="宋体" w:cs="Times New Roman"/>
                <w:color w:val="auto"/>
                <w:lang w:bidi="ar"/>
              </w:rPr>
              <w:t>贮存过程应满足相应防渗漏、防雨淋、防扬尘等环境保护要求。</w:t>
            </w:r>
            <w:r>
              <w:rPr>
                <w:rFonts w:hint="default" w:ascii="Times New Roman" w:hAnsi="Times New Roman" w:eastAsia="宋体" w:cs="Times New Roman"/>
                <w:bCs/>
                <w:color w:val="auto"/>
              </w:rPr>
              <w:t>本项目危险废物管理执行《危险废物贮存污染控制标准》(GB18597－20</w:t>
            </w:r>
            <w:r>
              <w:rPr>
                <w:rFonts w:hint="eastAsia" w:ascii="Times New Roman" w:eastAsia="宋体" w:cs="Times New Roman"/>
                <w:bCs/>
                <w:color w:val="auto"/>
                <w:lang w:val="en-US" w:eastAsia="zh-CN"/>
              </w:rPr>
              <w:t>23</w:t>
            </w:r>
            <w:r>
              <w:rPr>
                <w:rFonts w:hint="default" w:ascii="Times New Roman" w:hAnsi="Times New Roman" w:eastAsia="宋体" w:cs="Times New Roman"/>
                <w:bCs/>
                <w:color w:val="auto"/>
              </w:rPr>
              <w:t>)</w:t>
            </w:r>
            <w:r>
              <w:rPr>
                <w:rFonts w:hint="eastAsia" w:eastAsia="宋体" w:cs="Times New Roman"/>
                <w:bCs/>
                <w:color w:val="auto"/>
                <w:lang w:eastAsia="zh-CN"/>
              </w:rPr>
              <w:t>。</w:t>
            </w:r>
          </w:p>
        </w:tc>
      </w:tr>
      <w:tr w14:paraId="565EF7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0" w:type="dxa"/>
            <w:vAlign w:val="center"/>
          </w:tcPr>
          <w:p w14:paraId="58B98BAF">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总量</w:t>
            </w:r>
          </w:p>
          <w:p w14:paraId="1019E5D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控制</w:t>
            </w:r>
          </w:p>
          <w:p w14:paraId="7F386DEE">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color w:val="auto"/>
                <w:kern w:val="0"/>
                <w:szCs w:val="21"/>
              </w:rPr>
            </w:pPr>
            <w:r>
              <w:rPr>
                <w:rFonts w:hint="eastAsia"/>
                <w:color w:val="auto"/>
              </w:rPr>
              <w:t>指标</w:t>
            </w:r>
          </w:p>
        </w:tc>
        <w:tc>
          <w:tcPr>
            <w:tcW w:w="8190" w:type="dxa"/>
            <w:vAlign w:val="center"/>
          </w:tcPr>
          <w:p w14:paraId="1AB5F09E">
            <w:pPr>
              <w:ind w:left="0" w:leftChars="0" w:firstLine="0" w:firstLineChars="0"/>
              <w:rPr>
                <w:b/>
                <w:bCs/>
                <w:color w:val="auto"/>
                <w:kern w:val="0"/>
              </w:rPr>
            </w:pPr>
            <w:r>
              <w:rPr>
                <w:rFonts w:hint="eastAsia" w:eastAsia="宋体"/>
                <w:b/>
                <w:bCs/>
                <w:color w:val="auto"/>
                <w:kern w:val="0"/>
                <w:lang w:val="en-US" w:eastAsia="zh-CN"/>
              </w:rPr>
              <w:t>15.</w:t>
            </w:r>
            <w:r>
              <w:rPr>
                <w:b/>
                <w:bCs/>
                <w:color w:val="auto"/>
                <w:kern w:val="0"/>
              </w:rPr>
              <w:t>本项目总量控制的建议指标如下：</w:t>
            </w:r>
          </w:p>
          <w:p w14:paraId="6791676A">
            <w:pPr>
              <w:spacing w:line="360" w:lineRule="auto"/>
              <w:ind w:firstLine="480" w:firstLineChars="200"/>
              <w:rPr>
                <w:color w:val="auto"/>
                <w:sz w:val="24"/>
                <w:szCs w:val="24"/>
                <w:highlight w:val="yellow"/>
              </w:rPr>
            </w:pPr>
            <w:r>
              <w:rPr>
                <w:color w:val="auto"/>
                <w:sz w:val="24"/>
                <w:szCs w:val="24"/>
                <w:highlight w:val="none"/>
              </w:rPr>
              <w:t>废水：COD：</w:t>
            </w:r>
            <w:r>
              <w:rPr>
                <w:rFonts w:hint="eastAsia" w:eastAsia="宋体"/>
                <w:color w:val="auto"/>
                <w:sz w:val="24"/>
                <w:szCs w:val="24"/>
                <w:highlight w:val="none"/>
                <w:lang w:val="en-US" w:eastAsia="zh-CN"/>
              </w:rPr>
              <w:t>2.939</w:t>
            </w:r>
            <w:r>
              <w:rPr>
                <w:color w:val="auto"/>
                <w:sz w:val="24"/>
                <w:szCs w:val="24"/>
                <w:highlight w:val="none"/>
              </w:rPr>
              <w:t>t/a、氨氮：0.0</w:t>
            </w:r>
            <w:r>
              <w:rPr>
                <w:rFonts w:hint="eastAsia" w:eastAsia="宋体"/>
                <w:color w:val="auto"/>
                <w:sz w:val="24"/>
                <w:szCs w:val="24"/>
                <w:highlight w:val="none"/>
                <w:lang w:val="en-US" w:eastAsia="zh-CN"/>
              </w:rPr>
              <w:t>95</w:t>
            </w:r>
            <w:r>
              <w:rPr>
                <w:color w:val="auto"/>
                <w:sz w:val="24"/>
                <w:szCs w:val="24"/>
                <w:highlight w:val="none"/>
              </w:rPr>
              <w:t>t/a；</w:t>
            </w:r>
            <w:r>
              <w:rPr>
                <w:color w:val="auto"/>
                <w:sz w:val="24"/>
                <w:szCs w:val="24"/>
                <w:highlight w:val="none"/>
              </w:rPr>
              <w:t>废气：颗粒物:</w:t>
            </w:r>
            <w:r>
              <w:rPr>
                <w:rFonts w:hint="eastAsia" w:eastAsia="宋体"/>
                <w:color w:val="auto"/>
                <w:sz w:val="24"/>
                <w:szCs w:val="24"/>
                <w:highlight w:val="none"/>
                <w:lang w:val="en-US" w:eastAsia="zh-CN"/>
              </w:rPr>
              <w:t>1.778</w:t>
            </w:r>
            <w:r>
              <w:rPr>
                <w:color w:val="auto"/>
                <w:sz w:val="24"/>
                <w:szCs w:val="24"/>
                <w:highlight w:val="none"/>
              </w:rPr>
              <w:t>t/a。</w:t>
            </w:r>
          </w:p>
          <w:p w14:paraId="7E93D2C6">
            <w:pPr>
              <w:pStyle w:val="23"/>
              <w:rPr>
                <w:rFonts w:hint="eastAsia"/>
                <w:color w:val="auto"/>
                <w:lang w:eastAsia="zh-CN"/>
              </w:rPr>
            </w:pPr>
          </w:p>
          <w:p w14:paraId="69EF6D3B">
            <w:pPr>
              <w:bidi w:val="0"/>
              <w:rPr>
                <w:color w:val="auto"/>
                <w:highlight w:val="yellow"/>
              </w:rPr>
            </w:pPr>
          </w:p>
          <w:p w14:paraId="0A1310D8">
            <w:pPr>
              <w:pStyle w:val="23"/>
              <w:rPr>
                <w:color w:val="auto"/>
                <w:sz w:val="24"/>
                <w:szCs w:val="24"/>
              </w:rPr>
            </w:pPr>
          </w:p>
          <w:p w14:paraId="4AFAB21A">
            <w:pPr>
              <w:pStyle w:val="23"/>
              <w:rPr>
                <w:color w:val="auto"/>
                <w:sz w:val="24"/>
                <w:szCs w:val="24"/>
              </w:rPr>
            </w:pPr>
          </w:p>
          <w:p w14:paraId="5DACEB7D">
            <w:pPr>
              <w:pStyle w:val="23"/>
              <w:rPr>
                <w:color w:val="auto"/>
                <w:sz w:val="24"/>
                <w:szCs w:val="24"/>
              </w:rPr>
            </w:pPr>
          </w:p>
          <w:p w14:paraId="145FB1BF">
            <w:pPr>
              <w:pStyle w:val="23"/>
              <w:rPr>
                <w:color w:val="auto"/>
                <w:sz w:val="24"/>
                <w:szCs w:val="24"/>
              </w:rPr>
            </w:pPr>
          </w:p>
          <w:p w14:paraId="4DA4E820">
            <w:pPr>
              <w:pStyle w:val="23"/>
              <w:rPr>
                <w:color w:val="auto"/>
                <w:sz w:val="24"/>
                <w:szCs w:val="24"/>
              </w:rPr>
            </w:pPr>
          </w:p>
          <w:p w14:paraId="6AF280BF">
            <w:pPr>
              <w:pStyle w:val="23"/>
              <w:rPr>
                <w:color w:val="auto"/>
                <w:sz w:val="24"/>
                <w:szCs w:val="24"/>
              </w:rPr>
            </w:pPr>
          </w:p>
          <w:p w14:paraId="2189AF47">
            <w:pPr>
              <w:pStyle w:val="23"/>
              <w:rPr>
                <w:color w:val="auto"/>
                <w:sz w:val="24"/>
                <w:szCs w:val="24"/>
              </w:rPr>
            </w:pPr>
          </w:p>
          <w:p w14:paraId="15BD5A69">
            <w:pPr>
              <w:pStyle w:val="23"/>
              <w:rPr>
                <w:color w:val="auto"/>
                <w:sz w:val="24"/>
                <w:szCs w:val="24"/>
              </w:rPr>
            </w:pPr>
          </w:p>
          <w:p w14:paraId="694B3625">
            <w:pPr>
              <w:pStyle w:val="23"/>
              <w:rPr>
                <w:color w:val="auto"/>
                <w:sz w:val="24"/>
                <w:szCs w:val="24"/>
              </w:rPr>
            </w:pPr>
          </w:p>
          <w:p w14:paraId="683945B9">
            <w:pPr>
              <w:pStyle w:val="23"/>
              <w:rPr>
                <w:color w:val="auto"/>
                <w:sz w:val="24"/>
                <w:szCs w:val="24"/>
              </w:rPr>
            </w:pPr>
          </w:p>
          <w:p w14:paraId="09AC8080">
            <w:pPr>
              <w:pStyle w:val="23"/>
              <w:ind w:left="0" w:leftChars="0" w:firstLine="0" w:firstLineChars="0"/>
              <w:rPr>
                <w:color w:val="auto"/>
                <w:sz w:val="24"/>
                <w:szCs w:val="24"/>
              </w:rPr>
            </w:pPr>
          </w:p>
          <w:p w14:paraId="77D82478">
            <w:pPr>
              <w:pStyle w:val="23"/>
              <w:rPr>
                <w:color w:val="auto"/>
                <w:sz w:val="24"/>
                <w:szCs w:val="24"/>
              </w:rPr>
            </w:pPr>
          </w:p>
        </w:tc>
      </w:tr>
    </w:tbl>
    <w:p w14:paraId="103FB638">
      <w:pPr>
        <w:pStyle w:val="16"/>
        <w:jc w:val="center"/>
        <w:outlineLvl w:val="0"/>
        <w:rPr>
          <w:rFonts w:ascii="黑体" w:hAnsi="黑体" w:eastAsia="黑体"/>
          <w:snapToGrid w:val="0"/>
          <w:color w:val="auto"/>
          <w:sz w:val="30"/>
          <w:szCs w:val="30"/>
        </w:rPr>
      </w:pPr>
      <w:r>
        <w:rPr>
          <w:rFonts w:ascii="黑体" w:hAnsi="黑体" w:eastAsia="黑体"/>
          <w:snapToGrid w:val="0"/>
          <w:color w:val="auto"/>
          <w:sz w:val="36"/>
          <w:szCs w:val="36"/>
        </w:rPr>
        <w:br w:type="page"/>
      </w:r>
      <w:r>
        <w:rPr>
          <w:rFonts w:hint="eastAsia" w:ascii="黑体" w:hAnsi="黑体" w:eastAsia="黑体"/>
          <w:snapToGrid w:val="0"/>
          <w:color w:val="auto"/>
          <w:sz w:val="30"/>
          <w:szCs w:val="30"/>
        </w:rPr>
        <w:t>四、主要环境影响和保护措施</w:t>
      </w:r>
    </w:p>
    <w:tbl>
      <w:tblPr>
        <w:tblStyle w:val="17"/>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209"/>
      </w:tblGrid>
      <w:tr w14:paraId="1010A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Mar>
              <w:left w:w="28" w:type="dxa"/>
              <w:right w:w="28" w:type="dxa"/>
            </w:tcMar>
            <w:vAlign w:val="center"/>
          </w:tcPr>
          <w:p w14:paraId="41F6B1B3">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Cs/>
                <w:color w:val="auto"/>
                <w:szCs w:val="21"/>
              </w:rPr>
            </w:pPr>
            <w:r>
              <w:rPr>
                <w:rFonts w:hint="eastAsia" w:ascii="宋体" w:hAnsi="宋体" w:eastAsia="宋体" w:cs="宋体"/>
                <w:bCs/>
                <w:color w:val="auto"/>
                <w:szCs w:val="21"/>
                <w:lang w:eastAsia="zh-CN"/>
              </w:rPr>
              <w:t>施工</w:t>
            </w:r>
            <w:r>
              <w:rPr>
                <w:rFonts w:hint="eastAsia" w:ascii="宋体" w:hAnsi="宋体" w:cs="宋体"/>
                <w:bCs/>
                <w:color w:val="auto"/>
                <w:szCs w:val="21"/>
              </w:rPr>
              <w:t>期环</w:t>
            </w:r>
          </w:p>
          <w:p w14:paraId="796ED874">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Cs/>
                <w:color w:val="auto"/>
                <w:szCs w:val="21"/>
              </w:rPr>
            </w:pPr>
            <w:r>
              <w:rPr>
                <w:rFonts w:hint="eastAsia" w:ascii="宋体" w:hAnsi="宋体" w:cs="宋体"/>
                <w:bCs/>
                <w:color w:val="auto"/>
                <w:szCs w:val="21"/>
              </w:rPr>
              <w:t>境影</w:t>
            </w:r>
          </w:p>
          <w:p w14:paraId="7BE2D3E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Cs/>
                <w:color w:val="auto"/>
                <w:szCs w:val="21"/>
              </w:rPr>
            </w:pPr>
            <w:r>
              <w:rPr>
                <w:rFonts w:hint="eastAsia" w:ascii="宋体" w:hAnsi="宋体" w:cs="宋体"/>
                <w:bCs/>
                <w:color w:val="auto"/>
                <w:szCs w:val="21"/>
              </w:rPr>
              <w:t>响和</w:t>
            </w:r>
          </w:p>
          <w:p w14:paraId="4665D93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Cs/>
                <w:color w:val="auto"/>
                <w:szCs w:val="21"/>
              </w:rPr>
            </w:pPr>
            <w:r>
              <w:rPr>
                <w:rFonts w:hint="eastAsia" w:ascii="宋体" w:hAnsi="宋体" w:cs="宋体"/>
                <w:bCs/>
                <w:color w:val="auto"/>
                <w:szCs w:val="21"/>
              </w:rPr>
              <w:t>保护</w:t>
            </w:r>
          </w:p>
          <w:p w14:paraId="51E9785C">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ascii="宋体" w:hAnsi="宋体" w:cs="宋体"/>
                <w:bCs/>
                <w:color w:val="auto"/>
                <w:szCs w:val="21"/>
              </w:rPr>
            </w:pPr>
            <w:r>
              <w:rPr>
                <w:rFonts w:hint="eastAsia" w:ascii="宋体" w:hAnsi="宋体" w:cs="宋体"/>
                <w:bCs/>
                <w:color w:val="auto"/>
                <w:szCs w:val="21"/>
              </w:rPr>
              <w:t>措施</w:t>
            </w:r>
          </w:p>
        </w:tc>
        <w:tc>
          <w:tcPr>
            <w:tcW w:w="8209" w:type="dxa"/>
            <w:vAlign w:val="top"/>
          </w:tcPr>
          <w:p w14:paraId="63DCB33A">
            <w:pPr>
              <w:adjustRightInd w:val="0"/>
              <w:snapToGrid w:val="0"/>
              <w:spacing w:line="360" w:lineRule="auto"/>
              <w:ind w:left="0" w:leftChars="0" w:firstLine="0" w:firstLineChars="0"/>
              <w:rPr>
                <w:b/>
                <w:bCs/>
                <w:color w:val="auto"/>
                <w:sz w:val="24"/>
                <w:szCs w:val="24"/>
              </w:rPr>
            </w:pPr>
            <w:r>
              <w:rPr>
                <w:rFonts w:hint="eastAsia" w:eastAsia="宋体"/>
                <w:b/>
                <w:bCs/>
                <w:color w:val="auto"/>
                <w:sz w:val="24"/>
                <w:szCs w:val="24"/>
                <w:lang w:val="en-US" w:eastAsia="zh-CN"/>
              </w:rPr>
              <w:t>1.</w:t>
            </w:r>
            <w:r>
              <w:rPr>
                <w:rFonts w:hint="eastAsia"/>
                <w:b/>
                <w:bCs/>
                <w:color w:val="auto"/>
                <w:sz w:val="24"/>
                <w:szCs w:val="24"/>
              </w:rPr>
              <w:t>施工期环境保护措施</w:t>
            </w:r>
          </w:p>
          <w:p w14:paraId="39B4D5D1">
            <w:pPr>
              <w:adjustRightInd w:val="0"/>
              <w:snapToGrid w:val="0"/>
              <w:spacing w:line="360" w:lineRule="auto"/>
              <w:ind w:left="0" w:leftChars="0" w:firstLine="0" w:firstLineChars="0"/>
              <w:rPr>
                <w:rFonts w:hint="eastAsia" w:eastAsia="宋体"/>
                <w:color w:val="auto"/>
                <w:lang w:val="en-US" w:eastAsia="zh-CN"/>
              </w:rPr>
            </w:pPr>
            <w:r>
              <w:rPr>
                <w:color w:val="auto"/>
                <w:sz w:val="24"/>
                <w:szCs w:val="24"/>
              </w:rPr>
              <w:t>本项目</w:t>
            </w:r>
            <w:r>
              <w:rPr>
                <w:rFonts w:hint="eastAsia"/>
                <w:color w:val="auto"/>
                <w:sz w:val="24"/>
                <w:szCs w:val="24"/>
                <w:lang w:eastAsia="zh-CN"/>
              </w:rPr>
              <w:t>利用</w:t>
            </w:r>
            <w:r>
              <w:rPr>
                <w:color w:val="auto"/>
                <w:sz w:val="24"/>
                <w:szCs w:val="24"/>
              </w:rPr>
              <w:t>现有生产厂房</w:t>
            </w:r>
            <w:r>
              <w:rPr>
                <w:rFonts w:hint="eastAsia"/>
                <w:color w:val="auto"/>
                <w:sz w:val="24"/>
                <w:szCs w:val="24"/>
                <w:lang w:eastAsia="zh-CN"/>
              </w:rPr>
              <w:t>进行技改扩能</w:t>
            </w:r>
            <w:r>
              <w:rPr>
                <w:color w:val="auto"/>
                <w:sz w:val="24"/>
                <w:szCs w:val="24"/>
              </w:rPr>
              <w:t>，</w:t>
            </w:r>
            <w:r>
              <w:rPr>
                <w:rFonts w:hint="eastAsia"/>
                <w:color w:val="auto"/>
                <w:sz w:val="24"/>
                <w:szCs w:val="24"/>
                <w:lang w:eastAsia="zh-CN"/>
              </w:rPr>
              <w:t>不新增占地面积，</w:t>
            </w:r>
            <w:r>
              <w:rPr>
                <w:color w:val="auto"/>
                <w:sz w:val="24"/>
                <w:szCs w:val="24"/>
              </w:rPr>
              <w:t>不新建厂房，没有土建工程，</w:t>
            </w:r>
            <w:r>
              <w:rPr>
                <w:rFonts w:hint="eastAsia"/>
                <w:color w:val="auto"/>
                <w:sz w:val="24"/>
                <w:szCs w:val="24"/>
                <w:lang w:eastAsia="zh-CN"/>
              </w:rPr>
              <w:t>仅需</w:t>
            </w:r>
            <w:r>
              <w:rPr>
                <w:color w:val="auto"/>
                <w:sz w:val="24"/>
                <w:szCs w:val="24"/>
              </w:rPr>
              <w:t>对设备的布置、安装和调试，因此，本评价主要针对营运期对环境的影响做重点分析</w:t>
            </w:r>
            <w:r>
              <w:rPr>
                <w:rFonts w:hint="eastAsia" w:eastAsia="宋体"/>
                <w:color w:val="auto"/>
                <w:sz w:val="24"/>
                <w:szCs w:val="24"/>
                <w:lang w:eastAsia="zh-CN"/>
              </w:rPr>
              <w:t>。</w:t>
            </w:r>
          </w:p>
          <w:p w14:paraId="5F0E64C1">
            <w:pPr>
              <w:pStyle w:val="23"/>
              <w:ind w:left="0" w:leftChars="0" w:firstLine="0" w:firstLineChars="0"/>
              <w:rPr>
                <w:color w:val="auto"/>
              </w:rPr>
            </w:pPr>
          </w:p>
        </w:tc>
      </w:tr>
      <w:tr w14:paraId="2E936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dxa"/>
            <w:tcMar>
              <w:left w:w="28" w:type="dxa"/>
              <w:right w:w="28" w:type="dxa"/>
            </w:tcMar>
            <w:vAlign w:val="center"/>
          </w:tcPr>
          <w:p w14:paraId="2F211121">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eastAsia="宋体"/>
                <w:color w:val="auto"/>
                <w:lang w:eastAsia="zh-CN"/>
              </w:rPr>
              <w:t>运营</w:t>
            </w:r>
            <w:r>
              <w:rPr>
                <w:rFonts w:hint="eastAsia"/>
                <w:color w:val="auto"/>
              </w:rPr>
              <w:t>期环</w:t>
            </w:r>
          </w:p>
          <w:p w14:paraId="4795D626">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color w:val="auto"/>
              </w:rPr>
            </w:pPr>
            <w:r>
              <w:rPr>
                <w:rFonts w:hint="eastAsia"/>
                <w:color w:val="auto"/>
              </w:rPr>
              <w:t>境保</w:t>
            </w:r>
          </w:p>
          <w:p w14:paraId="24A5F139">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cs="宋体"/>
                <w:bCs/>
                <w:color w:val="auto"/>
                <w:szCs w:val="24"/>
              </w:rPr>
            </w:pPr>
            <w:r>
              <w:rPr>
                <w:rFonts w:hint="eastAsia"/>
                <w:color w:val="auto"/>
              </w:rPr>
              <w:t>护措施</w:t>
            </w:r>
          </w:p>
        </w:tc>
        <w:tc>
          <w:tcPr>
            <w:tcW w:w="8209" w:type="dxa"/>
          </w:tcPr>
          <w:p w14:paraId="08EF7A47">
            <w:pPr>
              <w:adjustRightInd w:val="0"/>
              <w:snapToGrid w:val="0"/>
              <w:spacing w:line="360" w:lineRule="auto"/>
              <w:ind w:left="0" w:leftChars="0" w:firstLine="0" w:firstLineChars="0"/>
              <w:rPr>
                <w:b/>
                <w:bCs/>
                <w:color w:val="auto"/>
                <w:sz w:val="24"/>
                <w:szCs w:val="24"/>
              </w:rPr>
            </w:pPr>
            <w:r>
              <w:rPr>
                <w:rFonts w:hint="eastAsia" w:eastAsia="宋体"/>
                <w:b/>
                <w:bCs/>
                <w:color w:val="auto"/>
                <w:sz w:val="24"/>
                <w:szCs w:val="24"/>
                <w:lang w:val="en-US" w:eastAsia="zh-CN"/>
              </w:rPr>
              <w:t>2.</w:t>
            </w:r>
            <w:r>
              <w:rPr>
                <w:rFonts w:hint="eastAsia"/>
                <w:b/>
                <w:bCs/>
                <w:color w:val="auto"/>
                <w:sz w:val="24"/>
                <w:szCs w:val="24"/>
              </w:rPr>
              <w:t>废气</w:t>
            </w:r>
          </w:p>
          <w:p w14:paraId="66F6F7AB">
            <w:pPr>
              <w:snapToGrid w:val="0"/>
              <w:spacing w:line="360" w:lineRule="auto"/>
              <w:ind w:firstLine="480" w:firstLineChars="200"/>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 w:val="0"/>
                <w:bCs w:val="0"/>
                <w:color w:val="auto"/>
                <w:sz w:val="24"/>
                <w:szCs w:val="24"/>
              </w:rPr>
              <w:t>污染物源强核算</w:t>
            </w:r>
          </w:p>
          <w:p w14:paraId="726E973D">
            <w:pPr>
              <w:widowControl/>
              <w:spacing w:line="360" w:lineRule="auto"/>
              <w:ind w:firstLine="480"/>
              <w:jc w:val="left"/>
              <w:rPr>
                <w:rFonts w:hint="eastAsia" w:cs="Times New Roman"/>
                <w:color w:val="auto"/>
                <w:sz w:val="24"/>
                <w:szCs w:val="24"/>
                <w:lang w:eastAsia="zh-CN"/>
              </w:rPr>
            </w:pPr>
            <w:r>
              <w:rPr>
                <w:rFonts w:hint="default" w:ascii="Times New Roman" w:hAnsi="Times New Roman" w:eastAsia="宋体" w:cs="Times New Roman"/>
                <w:color w:val="auto"/>
                <w:sz w:val="24"/>
                <w:szCs w:val="24"/>
              </w:rPr>
              <w:t>本项目产生的废气主要为</w:t>
            </w:r>
            <w:r>
              <w:rPr>
                <w:rFonts w:hint="eastAsia" w:cs="Times New Roman"/>
                <w:color w:val="auto"/>
                <w:sz w:val="24"/>
                <w:szCs w:val="24"/>
                <w:lang w:eastAsia="zh-CN"/>
              </w:rPr>
              <w:t>大豆膨化生产线各生产工序产生的颗粒物，磷脂分线真空捕集工序产生的非甲烷总烃。</w:t>
            </w:r>
          </w:p>
          <w:p w14:paraId="6C052C77">
            <w:pPr>
              <w:widowControl/>
              <w:spacing w:line="360" w:lineRule="auto"/>
              <w:ind w:firstLine="480"/>
              <w:jc w:val="left"/>
              <w:rPr>
                <w:rFonts w:hint="eastAsia" w:cs="Times New Roman"/>
                <w:color w:val="auto"/>
                <w:sz w:val="24"/>
                <w:szCs w:val="24"/>
                <w:lang w:eastAsia="zh-CN"/>
              </w:rPr>
            </w:pPr>
            <w:r>
              <w:rPr>
                <w:rFonts w:hint="eastAsia" w:cs="Times New Roman"/>
                <w:color w:val="auto"/>
                <w:sz w:val="24"/>
                <w:szCs w:val="24"/>
                <w:lang w:eastAsia="zh-CN"/>
              </w:rPr>
              <w:t>精炼线主线产生废气的工序为吸附脱色、真空脱臭，吸附脱色、真空脱臭工序产生的非甲烷总烃主要来自油料中非游离脂肪酸的挥发，由于</w:t>
            </w:r>
            <w:r>
              <w:rPr>
                <w:rFonts w:hint="eastAsia"/>
                <w:color w:val="auto"/>
                <w:sz w:val="24"/>
                <w:szCs w:val="24"/>
                <w:lang w:eastAsia="zh-CN"/>
              </w:rPr>
              <w:t>碱炼脱酸是中和掉毛油中的游离脂肪酸，生成</w:t>
            </w:r>
            <w:r>
              <w:rPr>
                <w:color w:val="auto"/>
                <w:sz w:val="24"/>
                <w:szCs w:val="24"/>
              </w:rPr>
              <w:t>脂肪酸钠</w:t>
            </w:r>
            <w:r>
              <w:rPr>
                <w:rFonts w:hint="eastAsia"/>
                <w:color w:val="auto"/>
                <w:sz w:val="24"/>
                <w:szCs w:val="24"/>
                <w:lang w:eastAsia="zh-CN"/>
              </w:rPr>
              <w:t>（皂脚），精炼线增加磷脂分线后，会造成毛油中的游离脂肪酸的降低，从而造成</w:t>
            </w:r>
            <w:r>
              <w:rPr>
                <w:color w:val="auto"/>
                <w:sz w:val="24"/>
                <w:szCs w:val="24"/>
              </w:rPr>
              <w:t>脂肪酸钠</w:t>
            </w:r>
            <w:r>
              <w:rPr>
                <w:rFonts w:hint="eastAsia"/>
                <w:color w:val="auto"/>
                <w:sz w:val="24"/>
                <w:szCs w:val="24"/>
                <w:lang w:eastAsia="zh-CN"/>
              </w:rPr>
              <w:t>（皂脚）的减少，而油料中非游离</w:t>
            </w:r>
            <w:r>
              <w:rPr>
                <w:rFonts w:hint="eastAsia" w:cs="Times New Roman"/>
                <w:color w:val="auto"/>
                <w:sz w:val="24"/>
                <w:szCs w:val="24"/>
                <w:lang w:eastAsia="zh-CN"/>
              </w:rPr>
              <w:t>脂肪酸的量不会发生变化，因此磷脂分线的加入不会导致吸附脱色、真空脱臭工序废气的产排情况不发生变化。</w:t>
            </w:r>
          </w:p>
          <w:p w14:paraId="6769B340">
            <w:pPr>
              <w:pStyle w:val="23"/>
              <w:spacing w:line="360" w:lineRule="auto"/>
              <w:ind w:firstLine="480"/>
              <w:jc w:val="both"/>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lang w:bidi="ar"/>
              </w:rPr>
              <w:t>①</w:t>
            </w:r>
            <w:r>
              <w:rPr>
                <w:rFonts w:hint="eastAsia" w:ascii="Times New Roman" w:eastAsia="宋体" w:cs="Times New Roman"/>
                <w:color w:val="auto"/>
                <w:sz w:val="24"/>
                <w:szCs w:val="24"/>
                <w:lang w:eastAsia="zh-CN" w:bidi="ar"/>
              </w:rPr>
              <w:t>大豆膨化生产线废气</w:t>
            </w:r>
            <w:r>
              <w:rPr>
                <w:rFonts w:hint="default" w:ascii="Times New Roman" w:hAnsi="Times New Roman" w:eastAsia="宋体" w:cs="Times New Roman"/>
                <w:color w:val="auto"/>
                <w:sz w:val="24"/>
                <w:szCs w:val="24"/>
                <w:lang w:bidi="ar"/>
              </w:rPr>
              <w:t>（G</w:t>
            </w:r>
            <w:r>
              <w:rPr>
                <w:rFonts w:hint="eastAsia" w:ascii="Times New Roman" w:eastAsia="宋体" w:cs="Times New Roman"/>
                <w:color w:val="auto"/>
                <w:sz w:val="24"/>
                <w:szCs w:val="24"/>
                <w:lang w:val="en-US" w:eastAsia="zh-CN" w:bidi="ar"/>
              </w:rPr>
              <w:t>25</w:t>
            </w:r>
            <w:r>
              <w:rPr>
                <w:rFonts w:hint="default" w:ascii="Times New Roman" w:hAnsi="Times New Roman" w:eastAsia="宋体" w:cs="Times New Roman"/>
                <w:color w:val="auto"/>
                <w:sz w:val="24"/>
                <w:szCs w:val="24"/>
                <w:lang w:bidi="ar"/>
              </w:rPr>
              <w:t>~</w:t>
            </w:r>
            <w:r>
              <w:rPr>
                <w:rFonts w:hint="eastAsia" w:ascii="Times New Roman" w:eastAsia="宋体" w:cs="Times New Roman"/>
                <w:color w:val="auto"/>
                <w:sz w:val="24"/>
                <w:szCs w:val="24"/>
                <w:lang w:val="en-US" w:eastAsia="zh-CN" w:bidi="ar"/>
              </w:rPr>
              <w:t>G33</w:t>
            </w:r>
            <w:r>
              <w:rPr>
                <w:rFonts w:hint="default" w:ascii="Times New Roman" w:hAnsi="Times New Roman" w:eastAsia="宋体" w:cs="Times New Roman"/>
                <w:color w:val="auto"/>
                <w:sz w:val="24"/>
                <w:szCs w:val="24"/>
                <w:lang w:bidi="ar"/>
              </w:rPr>
              <w:t>）</w:t>
            </w:r>
          </w:p>
          <w:p w14:paraId="3E8E214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cs="Times New Roman"/>
                <w:b w:val="0"/>
                <w:bCs w:val="0"/>
                <w:color w:val="auto"/>
                <w:sz w:val="24"/>
                <w:szCs w:val="24"/>
                <w:lang w:eastAsia="zh-CN"/>
              </w:rPr>
              <w:t>本</w:t>
            </w:r>
            <w:r>
              <w:rPr>
                <w:rFonts w:hint="default" w:ascii="Times New Roman" w:hAnsi="Times New Roman" w:eastAsia="宋体" w:cs="Times New Roman"/>
                <w:b w:val="0"/>
                <w:bCs w:val="0"/>
                <w:color w:val="auto"/>
                <w:sz w:val="24"/>
                <w:szCs w:val="24"/>
                <w:lang w:eastAsia="zh-CN"/>
              </w:rPr>
              <w:t>项目大豆膨化生产线原料大豆用量为</w:t>
            </w:r>
            <w:r>
              <w:rPr>
                <w:rFonts w:hint="default" w:ascii="Times New Roman" w:hAnsi="Times New Roman" w:eastAsia="宋体" w:cs="Times New Roman"/>
                <w:b w:val="0"/>
                <w:bCs w:val="0"/>
                <w:color w:val="auto"/>
                <w:sz w:val="24"/>
                <w:szCs w:val="24"/>
                <w:lang w:val="en-US" w:eastAsia="zh-CN"/>
              </w:rPr>
              <w:t>250t/d</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即7.5万t/a</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eastAsia="zh-CN"/>
              </w:rPr>
              <w:t>大豆粉生产能力为</w:t>
            </w:r>
            <w:r>
              <w:rPr>
                <w:rFonts w:hint="default" w:ascii="Times New Roman" w:hAnsi="Times New Roman" w:eastAsia="宋体" w:cs="Times New Roman"/>
                <w:b w:val="0"/>
                <w:bCs w:val="0"/>
                <w:color w:val="auto"/>
                <w:sz w:val="24"/>
                <w:szCs w:val="24"/>
                <w:lang w:val="en-US" w:eastAsia="zh-CN"/>
              </w:rPr>
              <w:t>240t/d，即7.2万t/a，工作时间为24h/d</w:t>
            </w:r>
            <w:r>
              <w:rPr>
                <w:rFonts w:hint="eastAsia" w:eastAsia="宋体" w:cs="Times New Roman"/>
                <w:b w:val="0"/>
                <w:bCs w:val="0"/>
                <w:color w:val="auto"/>
                <w:sz w:val="24"/>
                <w:szCs w:val="24"/>
                <w:lang w:val="en-US" w:eastAsia="zh-CN"/>
              </w:rPr>
              <w:t>，</w:t>
            </w:r>
            <w:r>
              <w:rPr>
                <w:rFonts w:hint="default" w:ascii="Times New Roman" w:hAnsi="Times New Roman" w:eastAsia="宋体" w:cs="Times New Roman"/>
                <w:b w:val="0"/>
                <w:bCs w:val="0"/>
                <w:color w:val="auto"/>
                <w:sz w:val="24"/>
                <w:szCs w:val="24"/>
                <w:lang w:val="en-US" w:eastAsia="zh-CN"/>
              </w:rPr>
              <w:t>全年工作天数为300天。</w:t>
            </w:r>
          </w:p>
          <w:p w14:paraId="17AD41A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称量（G2</w:t>
            </w:r>
            <w:r>
              <w:rPr>
                <w:rFonts w:hint="eastAsia" w:eastAsia="宋体" w:cs="Times New Roman"/>
                <w:b w:val="0"/>
                <w:bCs w:val="0"/>
                <w:color w:val="auto"/>
                <w:sz w:val="24"/>
                <w:szCs w:val="24"/>
                <w:lang w:val="en-US" w:eastAsia="zh-CN"/>
              </w:rPr>
              <w:t>5</w:t>
            </w:r>
            <w:r>
              <w:rPr>
                <w:rFonts w:hint="default" w:ascii="Times New Roman" w:hAnsi="Times New Roman" w:eastAsia="宋体" w:cs="Times New Roman"/>
                <w:b w:val="0"/>
                <w:bCs w:val="0"/>
                <w:color w:val="auto"/>
                <w:sz w:val="24"/>
                <w:szCs w:val="24"/>
                <w:lang w:val="en-US" w:eastAsia="zh-CN"/>
              </w:rPr>
              <w:t>）、振动清理（G2</w:t>
            </w:r>
            <w:r>
              <w:rPr>
                <w:rFonts w:hint="eastAsia" w:eastAsia="宋体" w:cs="Times New Roman"/>
                <w:b w:val="0"/>
                <w:bCs w:val="0"/>
                <w:color w:val="auto"/>
                <w:sz w:val="24"/>
                <w:szCs w:val="24"/>
                <w:lang w:val="en-US" w:eastAsia="zh-CN"/>
              </w:rPr>
              <w:t>6</w:t>
            </w:r>
            <w:r>
              <w:rPr>
                <w:rFonts w:hint="default" w:ascii="Times New Roman" w:hAnsi="Times New Roman" w:eastAsia="宋体" w:cs="Times New Roman"/>
                <w:b w:val="0"/>
                <w:bCs w:val="0"/>
                <w:color w:val="auto"/>
                <w:sz w:val="24"/>
                <w:szCs w:val="24"/>
                <w:lang w:val="en-US" w:eastAsia="zh-CN"/>
              </w:rPr>
              <w:t>）</w:t>
            </w:r>
          </w:p>
          <w:p w14:paraId="5E6BD160">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sz w:val="24"/>
                <w:szCs w:val="24"/>
                <w:lang w:val="en-US"/>
              </w:rPr>
            </w:pPr>
            <w:r>
              <w:rPr>
                <w:rFonts w:hint="default" w:ascii="Times New Roman" w:hAnsi="Times New Roman" w:eastAsia="宋体" w:cs="Times New Roman"/>
                <w:b w:val="0"/>
                <w:bCs w:val="0"/>
                <w:color w:val="auto"/>
                <w:sz w:val="24"/>
                <w:szCs w:val="24"/>
                <w:lang w:eastAsia="zh-CN"/>
              </w:rPr>
              <w:t>参照《</w:t>
            </w:r>
            <w:r>
              <w:rPr>
                <w:rFonts w:hint="default" w:ascii="Times New Roman" w:hAnsi="Times New Roman" w:eastAsia="宋体" w:cs="Times New Roman"/>
                <w:b w:val="0"/>
                <w:bCs w:val="0"/>
                <w:color w:val="auto"/>
                <w:kern w:val="0"/>
                <w:sz w:val="24"/>
                <w:szCs w:val="24"/>
                <w:lang w:val="en-US" w:eastAsia="zh-CN" w:bidi="ar"/>
              </w:rPr>
              <w:t>排放源统计调查产排污核算方法和系数手册—谷物磨制行业系数手册</w:t>
            </w:r>
            <w:r>
              <w:rPr>
                <w:rFonts w:hint="default" w:ascii="Times New Roman" w:hAnsi="Times New Roman" w:eastAsia="宋体" w:cs="Times New Roman"/>
                <w:b w:val="0"/>
                <w:bCs w:val="0"/>
                <w:color w:val="auto"/>
                <w:sz w:val="24"/>
                <w:szCs w:val="24"/>
                <w:lang w:eastAsia="zh-CN"/>
              </w:rPr>
              <w:t>》</w:t>
            </w:r>
            <w:r>
              <w:rPr>
                <w:rFonts w:hint="default" w:ascii="Times New Roman" w:hAnsi="Times New Roman" w:eastAsia="宋体" w:cs="Times New Roman"/>
                <w:bCs/>
                <w:color w:val="auto"/>
                <w:sz w:val="24"/>
                <w:szCs w:val="24"/>
              </w:rPr>
              <w:t>（生态环境部公告2021年第24号）</w:t>
            </w:r>
            <w:r>
              <w:rPr>
                <w:rFonts w:hint="default" w:ascii="Times New Roman" w:hAnsi="Times New Roman" w:eastAsia="宋体" w:cs="Times New Roman"/>
                <w:bCs/>
                <w:color w:val="auto"/>
                <w:sz w:val="24"/>
                <w:szCs w:val="24"/>
                <w:lang w:eastAsia="zh-CN"/>
              </w:rPr>
              <w:t>，</w:t>
            </w:r>
            <w:r>
              <w:rPr>
                <w:rFonts w:hint="default" w:ascii="Times New Roman" w:hAnsi="Times New Roman" w:eastAsia="宋体" w:cs="Times New Roman"/>
                <w:color w:val="auto"/>
                <w:kern w:val="0"/>
                <w:sz w:val="24"/>
                <w:szCs w:val="24"/>
                <w:lang w:val="en-US" w:eastAsia="zh-CN" w:bidi="ar"/>
              </w:rPr>
              <w:t>燕麦、黄豆、绿豆、红豆、豌豆、其他豆类、粗磨类谷物、谷物片等，废水、废气指标可参考1313玉米加工的系数手册，玉米—清理、磨制—</w:t>
            </w:r>
            <w:r>
              <w:rPr>
                <w:rFonts w:hint="default" w:ascii="Times New Roman" w:hAnsi="Times New Roman" w:cs="Times New Roman"/>
                <w:color w:val="auto"/>
                <w:sz w:val="24"/>
                <w:szCs w:val="24"/>
                <w:lang w:eastAsia="zh-CN"/>
              </w:rPr>
              <w:t>颗粒物产污系数为</w:t>
            </w:r>
            <w:r>
              <w:rPr>
                <w:rFonts w:hint="default" w:ascii="Times New Roman" w:hAnsi="Times New Roman" w:cs="Times New Roman"/>
                <w:color w:val="auto"/>
                <w:sz w:val="24"/>
                <w:szCs w:val="24"/>
                <w:lang w:val="en-US" w:eastAsia="zh-CN"/>
              </w:rPr>
              <w:t>0.004kg/t-原料</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则称量（G21）、振动清理工序（G22）颗粒物产生量为0.0</w:t>
            </w:r>
            <w:r>
              <w:rPr>
                <w:rFonts w:hint="eastAsia" w:cs="Times New Roman"/>
                <w:color w:val="auto"/>
                <w:sz w:val="24"/>
                <w:szCs w:val="24"/>
                <w:lang w:val="en-US" w:eastAsia="zh-CN"/>
              </w:rPr>
              <w:t>83</w:t>
            </w:r>
            <w:r>
              <w:rPr>
                <w:rFonts w:hint="default" w:ascii="Times New Roman" w:hAnsi="Times New Roman" w:cs="Times New Roman"/>
                <w:color w:val="auto"/>
                <w:sz w:val="24"/>
                <w:szCs w:val="24"/>
                <w:lang w:val="en-US" w:eastAsia="zh-CN"/>
              </w:rPr>
              <w:t>kg/h，即0.</w:t>
            </w:r>
            <w:r>
              <w:rPr>
                <w:rFonts w:hint="eastAsia" w:cs="Times New Roman"/>
                <w:color w:val="auto"/>
                <w:sz w:val="24"/>
                <w:szCs w:val="24"/>
                <w:lang w:val="en-US" w:eastAsia="zh-CN"/>
              </w:rPr>
              <w:t>6</w:t>
            </w:r>
            <w:r>
              <w:rPr>
                <w:rFonts w:hint="default" w:ascii="Times New Roman" w:hAnsi="Times New Roman" w:cs="Times New Roman"/>
                <w:color w:val="auto"/>
                <w:sz w:val="24"/>
                <w:szCs w:val="24"/>
                <w:lang w:val="en-US" w:eastAsia="zh-CN"/>
              </w:rPr>
              <w:t>t/a。</w:t>
            </w:r>
          </w:p>
          <w:p w14:paraId="62C165AF">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初破（G2</w:t>
            </w:r>
            <w:r>
              <w:rPr>
                <w:rFonts w:hint="eastAsia" w:cs="Times New Roman"/>
                <w:b w:val="0"/>
                <w:bCs w:val="0"/>
                <w:color w:val="auto"/>
                <w:sz w:val="24"/>
                <w:szCs w:val="24"/>
                <w:lang w:val="en-US" w:eastAsia="zh-CN"/>
              </w:rPr>
              <w:t>7</w:t>
            </w:r>
            <w:r>
              <w:rPr>
                <w:rFonts w:hint="default" w:ascii="Times New Roman" w:hAnsi="Times New Roman" w:cs="Times New Roman"/>
                <w:b w:val="0"/>
                <w:bCs w:val="0"/>
                <w:color w:val="auto"/>
                <w:sz w:val="24"/>
                <w:szCs w:val="24"/>
                <w:lang w:val="en-US" w:eastAsia="zh-CN"/>
              </w:rPr>
              <w:t>）、筛分(G2</w:t>
            </w:r>
            <w:r>
              <w:rPr>
                <w:rFonts w:hint="eastAsia" w:cs="Times New Roman"/>
                <w:b w:val="0"/>
                <w:bCs w:val="0"/>
                <w:color w:val="auto"/>
                <w:sz w:val="24"/>
                <w:szCs w:val="24"/>
                <w:lang w:val="en-US" w:eastAsia="zh-CN"/>
              </w:rPr>
              <w:t>8</w:t>
            </w:r>
            <w:r>
              <w:rPr>
                <w:rFonts w:hint="default" w:ascii="Times New Roman" w:hAnsi="Times New Roman" w:cs="Times New Roman"/>
                <w:b w:val="0"/>
                <w:bCs w:val="0"/>
                <w:color w:val="auto"/>
                <w:sz w:val="24"/>
                <w:szCs w:val="24"/>
                <w:lang w:val="en-US" w:eastAsia="zh-CN"/>
              </w:rPr>
              <w:t>)、成品破碎(G</w:t>
            </w:r>
            <w:r>
              <w:rPr>
                <w:rFonts w:hint="eastAsia" w:cs="Times New Roman"/>
                <w:b w:val="0"/>
                <w:bCs w:val="0"/>
                <w:color w:val="auto"/>
                <w:sz w:val="24"/>
                <w:szCs w:val="24"/>
                <w:lang w:val="en-US" w:eastAsia="zh-CN"/>
              </w:rPr>
              <w:t>32</w:t>
            </w:r>
            <w:r>
              <w:rPr>
                <w:rFonts w:hint="default" w:ascii="Times New Roman" w:hAnsi="Times New Roman" w:cs="Times New Roman"/>
                <w:b w:val="0"/>
                <w:bCs w:val="0"/>
                <w:color w:val="auto"/>
                <w:sz w:val="24"/>
                <w:szCs w:val="24"/>
                <w:lang w:val="en-US" w:eastAsia="zh-CN"/>
              </w:rPr>
              <w:t>)、打包(G</w:t>
            </w:r>
            <w:r>
              <w:rPr>
                <w:rFonts w:hint="eastAsia" w:cs="Times New Roman"/>
                <w:b w:val="0"/>
                <w:bCs w:val="0"/>
                <w:color w:val="auto"/>
                <w:sz w:val="24"/>
                <w:szCs w:val="24"/>
                <w:lang w:val="en-US" w:eastAsia="zh-CN"/>
              </w:rPr>
              <w:t>33</w:t>
            </w:r>
            <w:r>
              <w:rPr>
                <w:rFonts w:hint="default" w:ascii="Times New Roman" w:hAnsi="Times New Roman" w:cs="Times New Roman"/>
                <w:b w:val="0"/>
                <w:bCs w:val="0"/>
                <w:color w:val="auto"/>
                <w:sz w:val="24"/>
                <w:szCs w:val="24"/>
                <w:lang w:val="en-US" w:eastAsia="zh-CN"/>
              </w:rPr>
              <w:t>)</w:t>
            </w:r>
          </w:p>
          <w:p w14:paraId="0177CEE5">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eastAsia="zh-CN" w:bidi="ar"/>
              </w:rPr>
            </w:pPr>
            <w:r>
              <w:rPr>
                <w:rFonts w:hint="default" w:ascii="Times New Roman" w:hAnsi="Times New Roman" w:cs="Times New Roman"/>
                <w:b w:val="0"/>
                <w:bCs w:val="0"/>
                <w:color w:val="auto"/>
                <w:sz w:val="24"/>
                <w:szCs w:val="24"/>
                <w:lang w:eastAsia="zh-CN"/>
              </w:rPr>
              <w:t>根据《</w:t>
            </w:r>
            <w:r>
              <w:rPr>
                <w:rFonts w:hint="default" w:ascii="Times New Roman" w:hAnsi="Times New Roman" w:eastAsia="宋体" w:cs="Times New Roman"/>
                <w:b w:val="0"/>
                <w:bCs w:val="0"/>
                <w:color w:val="auto"/>
                <w:kern w:val="0"/>
                <w:sz w:val="24"/>
                <w:szCs w:val="24"/>
                <w:lang w:val="en-US" w:eastAsia="zh-CN" w:bidi="ar"/>
              </w:rPr>
              <w:t>排放源统计调查产排污核算方法和系数手册</w:t>
            </w:r>
            <w:r>
              <w:rPr>
                <w:rFonts w:hint="default" w:ascii="Times New Roman" w:hAnsi="Times New Roman" w:cs="Times New Roman"/>
                <w:b w:val="0"/>
                <w:bCs w:val="0"/>
                <w:color w:val="auto"/>
                <w:kern w:val="0"/>
                <w:sz w:val="24"/>
                <w:szCs w:val="24"/>
                <w:lang w:val="en-US" w:eastAsia="zh-CN" w:bidi="ar"/>
              </w:rPr>
              <w:t>—饲料加工行业系数手册</w:t>
            </w: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eastAsiaTheme="minorEastAsia"/>
                <w:bCs/>
                <w:color w:val="auto"/>
                <w:sz w:val="24"/>
                <w:szCs w:val="24"/>
              </w:rPr>
              <w:t>（生态环境部公告2021年第24号）</w:t>
            </w:r>
            <w:r>
              <w:rPr>
                <w:rFonts w:hint="default" w:ascii="Times New Roman" w:hAnsi="Times New Roman" w:cs="Times New Roman" w:eastAsiaTheme="minorEastAsia"/>
                <w:bCs/>
                <w:color w:val="auto"/>
                <w:sz w:val="24"/>
                <w:szCs w:val="24"/>
                <w:lang w:eastAsia="zh-CN"/>
              </w:rPr>
              <w:t>中</w:t>
            </w:r>
            <w:r>
              <w:rPr>
                <w:rFonts w:hint="default" w:ascii="Times New Roman" w:hAnsi="Times New Roman" w:cs="Times New Roman" w:eastAsiaTheme="minorEastAsia"/>
                <w:bCs/>
                <w:color w:val="auto"/>
                <w:sz w:val="24"/>
                <w:szCs w:val="24"/>
                <w:lang w:val="en-US" w:eastAsia="zh-CN"/>
              </w:rPr>
              <w:t>配合饲料—玉米、蛋白质类原料（豆粕等）、维生素等—粉碎、混料、制粒（可不制粒）—规模等级＜10万吨/年—</w:t>
            </w:r>
            <w:r>
              <w:rPr>
                <w:rFonts w:hint="default" w:ascii="Times New Roman" w:hAnsi="Times New Roman" w:cs="Times New Roman"/>
                <w:color w:val="auto"/>
                <w:sz w:val="24"/>
                <w:szCs w:val="24"/>
                <w:lang w:eastAsia="zh-CN"/>
              </w:rPr>
              <w:t>颗粒物产污系数为</w:t>
            </w:r>
            <w:r>
              <w:rPr>
                <w:rFonts w:hint="default" w:ascii="Times New Roman" w:hAnsi="Times New Roman" w:cs="Times New Roman"/>
                <w:color w:val="auto"/>
                <w:sz w:val="24"/>
                <w:szCs w:val="24"/>
                <w:lang w:val="en-US" w:eastAsia="zh-CN"/>
              </w:rPr>
              <w:t>0.043kg/t-产品</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则称量、振动清理、初破、筛分、成品破碎、打包工序颗粒物产生量为</w:t>
            </w:r>
            <w:r>
              <w:rPr>
                <w:rFonts w:hint="eastAsia" w:cs="Times New Roman"/>
                <w:color w:val="auto"/>
                <w:sz w:val="24"/>
                <w:szCs w:val="24"/>
                <w:lang w:val="en-US" w:eastAsia="zh-CN"/>
              </w:rPr>
              <w:t>1.720</w:t>
            </w:r>
            <w:r>
              <w:rPr>
                <w:rFonts w:hint="default" w:ascii="Times New Roman" w:hAnsi="Times New Roman" w:cs="Times New Roman"/>
                <w:color w:val="auto"/>
                <w:sz w:val="24"/>
                <w:szCs w:val="24"/>
                <w:lang w:val="en-US" w:eastAsia="zh-CN"/>
              </w:rPr>
              <w:t>kg/h，即</w:t>
            </w:r>
            <w:r>
              <w:rPr>
                <w:rFonts w:hint="eastAsia" w:cs="Times New Roman"/>
                <w:color w:val="auto"/>
                <w:sz w:val="24"/>
                <w:szCs w:val="24"/>
                <w:lang w:val="en-US" w:eastAsia="zh-CN"/>
              </w:rPr>
              <w:t>12.384</w:t>
            </w:r>
            <w:r>
              <w:rPr>
                <w:rFonts w:hint="default" w:ascii="Times New Roman" w:hAnsi="Times New Roman" w:cs="Times New Roman"/>
                <w:color w:val="auto"/>
                <w:sz w:val="24"/>
                <w:szCs w:val="24"/>
                <w:lang w:val="en-US" w:eastAsia="zh-CN"/>
              </w:rPr>
              <w:t>t/a。</w:t>
            </w:r>
          </w:p>
          <w:p w14:paraId="52A8E0A2">
            <w:pPr>
              <w:keepNext w:val="0"/>
              <w:keepLines w:val="0"/>
              <w:pageBreakBefore w:val="0"/>
              <w:widowControl/>
              <w:kinsoku/>
              <w:wordWrap/>
              <w:overflowPunct/>
              <w:topLinePunct w:val="0"/>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lang w:eastAsia="zh-CN" w:bidi="ar"/>
              </w:rPr>
            </w:pPr>
            <w:r>
              <w:rPr>
                <w:rFonts w:hint="eastAsia" w:cs="Times New Roman"/>
                <w:color w:val="auto"/>
                <w:kern w:val="0"/>
                <w:sz w:val="24"/>
                <w:szCs w:val="24"/>
                <w:lang w:eastAsia="zh-CN" w:bidi="ar"/>
              </w:rPr>
              <w:t>调质（</w:t>
            </w:r>
            <w:r>
              <w:rPr>
                <w:rFonts w:hint="eastAsia" w:cs="Times New Roman"/>
                <w:color w:val="auto"/>
                <w:kern w:val="0"/>
                <w:sz w:val="24"/>
                <w:szCs w:val="24"/>
                <w:lang w:val="en-US" w:eastAsia="zh-CN" w:bidi="ar"/>
              </w:rPr>
              <w:t>G29</w:t>
            </w:r>
            <w:r>
              <w:rPr>
                <w:rFonts w:hint="eastAsia" w:cs="Times New Roman"/>
                <w:color w:val="auto"/>
                <w:kern w:val="0"/>
                <w:sz w:val="24"/>
                <w:szCs w:val="24"/>
                <w:lang w:eastAsia="zh-CN" w:bidi="ar"/>
              </w:rPr>
              <w:t>）、膨化（</w:t>
            </w:r>
            <w:r>
              <w:rPr>
                <w:rFonts w:hint="eastAsia" w:cs="Times New Roman"/>
                <w:color w:val="auto"/>
                <w:kern w:val="0"/>
                <w:sz w:val="24"/>
                <w:szCs w:val="24"/>
                <w:lang w:val="en-US" w:eastAsia="zh-CN" w:bidi="ar"/>
              </w:rPr>
              <w:t>G30</w:t>
            </w:r>
            <w:r>
              <w:rPr>
                <w:rFonts w:hint="eastAsia" w:cs="Times New Roman"/>
                <w:color w:val="auto"/>
                <w:kern w:val="0"/>
                <w:sz w:val="24"/>
                <w:szCs w:val="24"/>
                <w:lang w:eastAsia="zh-CN" w:bidi="ar"/>
              </w:rPr>
              <w:t>）、膨化冷却（</w:t>
            </w:r>
            <w:r>
              <w:rPr>
                <w:rFonts w:hint="eastAsia" w:cs="Times New Roman"/>
                <w:color w:val="auto"/>
                <w:kern w:val="0"/>
                <w:sz w:val="24"/>
                <w:szCs w:val="24"/>
                <w:lang w:val="en-US" w:eastAsia="zh-CN" w:bidi="ar"/>
              </w:rPr>
              <w:t>G31</w:t>
            </w:r>
            <w:r>
              <w:rPr>
                <w:rFonts w:hint="eastAsia" w:cs="Times New Roman"/>
                <w:color w:val="auto"/>
                <w:kern w:val="0"/>
                <w:sz w:val="24"/>
                <w:szCs w:val="24"/>
                <w:lang w:eastAsia="zh-CN" w:bidi="ar"/>
              </w:rPr>
              <w:t>）</w:t>
            </w:r>
          </w:p>
          <w:p w14:paraId="5041C8F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kern w:val="0"/>
                <w:sz w:val="24"/>
                <w:szCs w:val="24"/>
                <w:lang w:val="en-US" w:bidi="ar"/>
              </w:rPr>
            </w:pPr>
            <w:r>
              <w:rPr>
                <w:rFonts w:hint="eastAsia" w:cs="Times New Roman"/>
                <w:color w:val="auto"/>
                <w:kern w:val="0"/>
                <w:sz w:val="24"/>
                <w:szCs w:val="24"/>
                <w:lang w:eastAsia="zh-CN" w:bidi="ar"/>
              </w:rPr>
              <w:t>本评价类比《益海（广汉）粮油饲料有限公司年产</w:t>
            </w:r>
            <w:r>
              <w:rPr>
                <w:rFonts w:hint="eastAsia" w:cs="Times New Roman"/>
                <w:color w:val="auto"/>
                <w:kern w:val="0"/>
                <w:sz w:val="24"/>
                <w:szCs w:val="24"/>
                <w:lang w:val="en-US" w:eastAsia="zh-CN" w:bidi="ar"/>
              </w:rPr>
              <w:t>12万吨膨化大豆粉生产线技术改造项目环境影响报告表</w:t>
            </w:r>
            <w:r>
              <w:rPr>
                <w:rFonts w:hint="eastAsia" w:cs="Times New Roman"/>
                <w:color w:val="auto"/>
                <w:kern w:val="0"/>
                <w:sz w:val="24"/>
                <w:szCs w:val="24"/>
                <w:lang w:eastAsia="zh-CN" w:bidi="ar"/>
              </w:rPr>
              <w:t>》中的工艺数据，其使用的原辅材料、生产工艺与本项目相同。调质（</w:t>
            </w:r>
            <w:r>
              <w:rPr>
                <w:rFonts w:hint="eastAsia" w:cs="Times New Roman"/>
                <w:color w:val="auto"/>
                <w:kern w:val="0"/>
                <w:sz w:val="24"/>
                <w:szCs w:val="24"/>
                <w:lang w:val="en-US" w:eastAsia="zh-CN" w:bidi="ar"/>
              </w:rPr>
              <w:t>G25</w:t>
            </w:r>
            <w:r>
              <w:rPr>
                <w:rFonts w:hint="eastAsia" w:cs="Times New Roman"/>
                <w:color w:val="auto"/>
                <w:kern w:val="0"/>
                <w:sz w:val="24"/>
                <w:szCs w:val="24"/>
                <w:lang w:eastAsia="zh-CN" w:bidi="ar"/>
              </w:rPr>
              <w:t>）、膨化（</w:t>
            </w:r>
            <w:r>
              <w:rPr>
                <w:rFonts w:hint="eastAsia" w:cs="Times New Roman"/>
                <w:color w:val="auto"/>
                <w:kern w:val="0"/>
                <w:sz w:val="24"/>
                <w:szCs w:val="24"/>
                <w:lang w:val="en-US" w:eastAsia="zh-CN" w:bidi="ar"/>
              </w:rPr>
              <w:t>G26</w:t>
            </w:r>
            <w:r>
              <w:rPr>
                <w:rFonts w:hint="eastAsia" w:cs="Times New Roman"/>
                <w:color w:val="auto"/>
                <w:kern w:val="0"/>
                <w:sz w:val="24"/>
                <w:szCs w:val="24"/>
                <w:lang w:eastAsia="zh-CN" w:bidi="ar"/>
              </w:rPr>
              <w:t>）、翻板冷却（</w:t>
            </w:r>
            <w:r>
              <w:rPr>
                <w:rFonts w:hint="eastAsia" w:cs="Times New Roman"/>
                <w:color w:val="auto"/>
                <w:kern w:val="0"/>
                <w:sz w:val="24"/>
                <w:szCs w:val="24"/>
                <w:lang w:val="en-US" w:eastAsia="zh-CN" w:bidi="ar"/>
              </w:rPr>
              <w:t>G27</w:t>
            </w:r>
            <w:r>
              <w:rPr>
                <w:rFonts w:hint="eastAsia" w:cs="Times New Roman"/>
                <w:color w:val="auto"/>
                <w:kern w:val="0"/>
                <w:sz w:val="24"/>
                <w:szCs w:val="24"/>
                <w:lang w:eastAsia="zh-CN" w:bidi="ar"/>
              </w:rPr>
              <w:t>）工序颗粒物产污系数为</w:t>
            </w:r>
            <w:r>
              <w:rPr>
                <w:rFonts w:hint="default" w:ascii="Times New Roman" w:hAnsi="Times New Roman" w:cs="Times New Roman"/>
                <w:color w:val="auto"/>
                <w:sz w:val="24"/>
                <w:szCs w:val="24"/>
                <w:lang w:val="en-US" w:eastAsia="zh-CN"/>
              </w:rPr>
              <w:t>0.</w:t>
            </w:r>
            <w:r>
              <w:rPr>
                <w:rFonts w:hint="eastAsia" w:cs="Times New Roman"/>
                <w:color w:val="auto"/>
                <w:sz w:val="24"/>
                <w:szCs w:val="24"/>
                <w:lang w:val="en-US" w:eastAsia="zh-CN"/>
              </w:rPr>
              <w:t>12</w:t>
            </w:r>
            <w:r>
              <w:rPr>
                <w:rFonts w:hint="default" w:ascii="Times New Roman" w:hAnsi="Times New Roman" w:cs="Times New Roman"/>
                <w:color w:val="auto"/>
                <w:sz w:val="24"/>
                <w:szCs w:val="24"/>
                <w:lang w:val="en-US" w:eastAsia="zh-CN"/>
              </w:rPr>
              <w:t>kg/t-产品</w:t>
            </w:r>
            <w:r>
              <w:rPr>
                <w:rFonts w:hint="eastAsia" w:cs="Times New Roman"/>
                <w:color w:val="auto"/>
                <w:kern w:val="0"/>
                <w:sz w:val="24"/>
                <w:szCs w:val="24"/>
                <w:lang w:val="en-US" w:eastAsia="zh-CN" w:bidi="ar"/>
              </w:rPr>
              <w:t>，则颗粒物产生量为3.60kg/h，即25.920t/a。</w:t>
            </w:r>
          </w:p>
          <w:p w14:paraId="1280F3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b w:val="0"/>
                <w:bCs w:val="0"/>
                <w:color w:val="auto"/>
                <w:sz w:val="24"/>
                <w:szCs w:val="24"/>
                <w:highlight w:val="yellow"/>
                <w:lang w:eastAsia="zh-CN"/>
              </w:rPr>
            </w:pPr>
            <w:r>
              <w:rPr>
                <w:rFonts w:hint="eastAsia" w:cs="Times New Roman"/>
                <w:color w:val="auto"/>
                <w:sz w:val="24"/>
                <w:szCs w:val="24"/>
                <w:highlight w:val="none"/>
                <w:lang w:eastAsia="zh-CN"/>
              </w:rPr>
              <w:t>大豆膨化生产线称量、振动清理、初破、筛分、成品破碎、打包工序产生的颗粒物经收集后采用布袋除尘器处理后引至</w:t>
            </w:r>
            <w:r>
              <w:rPr>
                <w:rFonts w:hint="eastAsia" w:cs="Times New Roman"/>
                <w:color w:val="auto"/>
                <w:sz w:val="24"/>
                <w:szCs w:val="24"/>
                <w:highlight w:val="none"/>
                <w:lang w:val="en-US" w:eastAsia="zh-CN"/>
              </w:rPr>
              <w:t>1根20m高的DA022排气筒排放，根据建设单位提供的设计资料，DA022排气筒风机风量为20000m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/h，其收集效率按90%计，除尘效率按95%计，则颗粒物排放浓度为4.118mg</w:t>
            </w:r>
            <w:r>
              <w:rPr>
                <w:rFonts w:hint="default" w:ascii="Times New Roman" w:hAnsi="Times New Roman" w:cs="Times New Roman"/>
                <w:color w:val="auto"/>
                <w:sz w:val="24"/>
                <w:szCs w:val="24"/>
                <w:highlight w:val="none"/>
                <w:lang w:val="en-US" w:eastAsia="zh-CN"/>
              </w:rPr>
              <w:t>/m</w:t>
            </w:r>
            <w:r>
              <w:rPr>
                <w:rFonts w:hint="default" w:ascii="Times New Roman" w:hAnsi="Times New Roman" w:cs="Times New Roman"/>
                <w:color w:val="auto"/>
                <w:sz w:val="24"/>
                <w:szCs w:val="24"/>
                <w:highlight w:val="none"/>
                <w:vertAlign w:val="superscript"/>
                <w:lang w:val="en-US" w:eastAsia="zh-CN"/>
              </w:rPr>
              <w:t>3</w:t>
            </w:r>
            <w:r>
              <w:rPr>
                <w:rFonts w:hint="default" w:ascii="Times New Roman" w:hAnsi="Times New Roman" w:cs="Times New Roman"/>
                <w:color w:val="auto"/>
                <w:sz w:val="24"/>
                <w:szCs w:val="24"/>
                <w:highlight w:val="none"/>
                <w:lang w:val="en-US" w:eastAsia="zh-CN"/>
              </w:rPr>
              <w:t>,排放速率为0.0</w:t>
            </w:r>
            <w:r>
              <w:rPr>
                <w:rFonts w:hint="eastAsia" w:cs="Times New Roman"/>
                <w:color w:val="auto"/>
                <w:sz w:val="24"/>
                <w:szCs w:val="24"/>
                <w:highlight w:val="none"/>
                <w:lang w:val="en-US" w:eastAsia="zh-CN"/>
              </w:rPr>
              <w:t>82</w:t>
            </w:r>
            <w:r>
              <w:rPr>
                <w:rFonts w:hint="default" w:ascii="Times New Roman" w:hAnsi="Times New Roman" w:cs="Times New Roman"/>
                <w:color w:val="auto"/>
                <w:sz w:val="24"/>
                <w:szCs w:val="24"/>
                <w:highlight w:val="none"/>
                <w:lang w:val="en-US" w:eastAsia="zh-CN"/>
              </w:rPr>
              <w:t>kg/h，即0.</w:t>
            </w:r>
            <w:r>
              <w:rPr>
                <w:rFonts w:hint="eastAsia" w:cs="Times New Roman"/>
                <w:color w:val="auto"/>
                <w:sz w:val="24"/>
                <w:szCs w:val="24"/>
                <w:highlight w:val="none"/>
                <w:lang w:val="en-US" w:eastAsia="zh-CN"/>
              </w:rPr>
              <w:t>593</w:t>
            </w:r>
            <w:r>
              <w:rPr>
                <w:rFonts w:hint="default" w:ascii="Times New Roman" w:hAnsi="Times New Roman" w:cs="Times New Roman"/>
                <w:color w:val="auto"/>
                <w:sz w:val="24"/>
                <w:szCs w:val="24"/>
                <w:highlight w:val="none"/>
                <w:lang w:val="en-US" w:eastAsia="zh-CN"/>
              </w:rPr>
              <w:t>t/a；调质、膨化、翻版冷却工序产生的颗粒物经收集后采用</w:t>
            </w:r>
            <w:r>
              <w:rPr>
                <w:rFonts w:hint="default" w:ascii="Times New Roman" w:hAnsi="Times New Roman" w:cs="Times New Roman"/>
                <w:color w:val="auto"/>
                <w:sz w:val="24"/>
                <w:szCs w:val="24"/>
                <w:highlight w:val="none"/>
                <w:lang w:eastAsia="zh-CN"/>
              </w:rPr>
              <w:t>布袋除尘器处理后引至</w:t>
            </w:r>
            <w:r>
              <w:rPr>
                <w:rFonts w:hint="default" w:ascii="Times New Roman" w:hAnsi="Times New Roman" w:cs="Times New Roman"/>
                <w:color w:val="auto"/>
                <w:sz w:val="24"/>
                <w:szCs w:val="24"/>
                <w:highlight w:val="none"/>
                <w:lang w:val="en-US" w:eastAsia="zh-CN"/>
              </w:rPr>
              <w:t>1根20m高的</w:t>
            </w:r>
            <w:r>
              <w:rPr>
                <w:rFonts w:hint="eastAsia" w:cs="Times New Roman"/>
                <w:color w:val="auto"/>
                <w:sz w:val="24"/>
                <w:szCs w:val="24"/>
                <w:highlight w:val="none"/>
                <w:lang w:val="en-US" w:eastAsia="zh-CN"/>
              </w:rPr>
              <w:t>DA023</w:t>
            </w:r>
            <w:r>
              <w:rPr>
                <w:rFonts w:hint="default" w:ascii="Times New Roman" w:hAnsi="Times New Roman" w:cs="Times New Roman"/>
                <w:color w:val="auto"/>
                <w:sz w:val="24"/>
                <w:szCs w:val="24"/>
                <w:highlight w:val="none"/>
                <w:lang w:val="en-US" w:eastAsia="zh-CN"/>
              </w:rPr>
              <w:t>排气筒排放，</w:t>
            </w:r>
            <w:r>
              <w:rPr>
                <w:rFonts w:hint="eastAsia" w:cs="Times New Roman"/>
                <w:color w:val="auto"/>
                <w:sz w:val="24"/>
                <w:szCs w:val="24"/>
                <w:highlight w:val="none"/>
                <w:lang w:val="en-US" w:eastAsia="zh-CN"/>
              </w:rPr>
              <w:t>根据建设单位提供的设计资料，DA023排气筒风机风量为80000m</w:t>
            </w:r>
            <w:r>
              <w:rPr>
                <w:rFonts w:hint="eastAsia" w:cs="Times New Roman"/>
                <w:color w:val="auto"/>
                <w:sz w:val="24"/>
                <w:szCs w:val="24"/>
                <w:highlight w:val="none"/>
                <w:vertAlign w:val="superscript"/>
                <w:lang w:val="en-US" w:eastAsia="zh-CN"/>
              </w:rPr>
              <w:t>3</w:t>
            </w:r>
            <w:r>
              <w:rPr>
                <w:rFonts w:hint="eastAsia" w:cs="Times New Roman"/>
                <w:color w:val="auto"/>
                <w:sz w:val="24"/>
                <w:szCs w:val="24"/>
                <w:highlight w:val="none"/>
                <w:lang w:val="en-US" w:eastAsia="zh-CN"/>
              </w:rPr>
              <w:t>/h，其收集效率按90%计，除尘效率按95%计，</w:t>
            </w:r>
            <w:r>
              <w:rPr>
                <w:rFonts w:hint="default" w:ascii="Times New Roman" w:hAnsi="Times New Roman" w:cs="Times New Roman"/>
                <w:color w:val="auto"/>
                <w:sz w:val="24"/>
                <w:szCs w:val="24"/>
                <w:highlight w:val="none"/>
                <w:lang w:val="en-US" w:eastAsia="zh-CN"/>
              </w:rPr>
              <w:t>则颗粒物</w:t>
            </w:r>
            <w:r>
              <w:rPr>
                <w:rFonts w:hint="default" w:ascii="Times New Roman" w:hAnsi="Times New Roman" w:cs="Times New Roman"/>
                <w:b w:val="0"/>
                <w:bCs w:val="0"/>
                <w:color w:val="auto"/>
                <w:sz w:val="24"/>
                <w:szCs w:val="24"/>
                <w:highlight w:val="none"/>
                <w:lang w:val="en-US" w:eastAsia="zh-CN"/>
              </w:rPr>
              <w:t>排放浓度为</w:t>
            </w:r>
            <w:r>
              <w:rPr>
                <w:rFonts w:hint="eastAsia" w:cs="Times New Roman"/>
                <w:b w:val="0"/>
                <w:bCs w:val="0"/>
                <w:color w:val="auto"/>
                <w:sz w:val="24"/>
                <w:szCs w:val="24"/>
                <w:highlight w:val="none"/>
                <w:lang w:val="en-US" w:eastAsia="zh-CN"/>
              </w:rPr>
              <w:t>2.057</w:t>
            </w:r>
            <w:r>
              <w:rPr>
                <w:rFonts w:hint="default" w:ascii="Times New Roman" w:hAnsi="Times New Roman" w:cs="Times New Roman"/>
                <w:b w:val="0"/>
                <w:bCs w:val="0"/>
                <w:color w:val="auto"/>
                <w:sz w:val="24"/>
                <w:szCs w:val="24"/>
                <w:highlight w:val="none"/>
                <w:lang w:val="en-US" w:eastAsia="zh-CN"/>
              </w:rPr>
              <w:t>mg/m</w:t>
            </w:r>
            <w:r>
              <w:rPr>
                <w:rFonts w:hint="default" w:ascii="Times New Roman" w:hAnsi="Times New Roman" w:cs="Times New Roman"/>
                <w:b w:val="0"/>
                <w:bCs w:val="0"/>
                <w:color w:val="auto"/>
                <w:sz w:val="24"/>
                <w:szCs w:val="24"/>
                <w:highlight w:val="none"/>
                <w:vertAlign w:val="superscript"/>
                <w:lang w:val="en-US" w:eastAsia="zh-CN"/>
              </w:rPr>
              <w:t>3</w:t>
            </w:r>
            <w:r>
              <w:rPr>
                <w:rFonts w:hint="eastAsia" w:cs="Times New Roman"/>
                <w:b w:val="0"/>
                <w:bCs w:val="0"/>
                <w:color w:val="auto"/>
                <w:sz w:val="24"/>
                <w:szCs w:val="24"/>
                <w:highlight w:val="none"/>
                <w:lang w:val="en-US" w:eastAsia="zh-CN"/>
              </w:rPr>
              <w:t>，</w:t>
            </w:r>
            <w:r>
              <w:rPr>
                <w:rFonts w:hint="default" w:ascii="Times New Roman" w:hAnsi="Times New Roman" w:cs="Times New Roman"/>
                <w:b w:val="0"/>
                <w:bCs w:val="0"/>
                <w:color w:val="auto"/>
                <w:sz w:val="24"/>
                <w:szCs w:val="24"/>
                <w:highlight w:val="none"/>
                <w:lang w:val="en-US" w:eastAsia="zh-CN"/>
              </w:rPr>
              <w:t>排放速率为0.1</w:t>
            </w:r>
            <w:r>
              <w:rPr>
                <w:rFonts w:hint="eastAsia" w:cs="Times New Roman"/>
                <w:b w:val="0"/>
                <w:bCs w:val="0"/>
                <w:color w:val="auto"/>
                <w:sz w:val="24"/>
                <w:szCs w:val="24"/>
                <w:highlight w:val="none"/>
                <w:lang w:val="en-US" w:eastAsia="zh-CN"/>
              </w:rPr>
              <w:t>65</w:t>
            </w:r>
            <w:r>
              <w:rPr>
                <w:rFonts w:hint="default" w:ascii="Times New Roman" w:hAnsi="Times New Roman" w:cs="Times New Roman"/>
                <w:b w:val="0"/>
                <w:bCs w:val="0"/>
                <w:color w:val="auto"/>
                <w:sz w:val="24"/>
                <w:szCs w:val="24"/>
                <w:highlight w:val="none"/>
                <w:lang w:val="en-US" w:eastAsia="zh-CN"/>
              </w:rPr>
              <w:t>kg/h，即</w:t>
            </w:r>
            <w:r>
              <w:rPr>
                <w:rFonts w:hint="eastAsia" w:cs="Times New Roman"/>
                <w:b w:val="0"/>
                <w:bCs w:val="0"/>
                <w:color w:val="auto"/>
                <w:sz w:val="24"/>
                <w:szCs w:val="24"/>
                <w:highlight w:val="none"/>
                <w:lang w:val="en-US" w:eastAsia="zh-CN"/>
              </w:rPr>
              <w:t>1.185</w:t>
            </w:r>
            <w:r>
              <w:rPr>
                <w:rFonts w:hint="default" w:ascii="Times New Roman" w:hAnsi="Times New Roman" w:cs="Times New Roman"/>
                <w:b w:val="0"/>
                <w:bCs w:val="0"/>
                <w:color w:val="auto"/>
                <w:sz w:val="24"/>
                <w:szCs w:val="24"/>
                <w:highlight w:val="none"/>
                <w:lang w:val="en-US" w:eastAsia="zh-CN"/>
              </w:rPr>
              <w:t>t/a，</w:t>
            </w:r>
            <w:r>
              <w:rPr>
                <w:rFonts w:hint="eastAsia" w:cs="Times New Roman"/>
                <w:b w:val="0"/>
                <w:bCs w:val="0"/>
                <w:color w:val="auto"/>
                <w:sz w:val="24"/>
                <w:szCs w:val="24"/>
                <w:highlight w:val="none"/>
                <w:lang w:val="en-US" w:eastAsia="zh-CN"/>
              </w:rPr>
              <w:t>DA022</w:t>
            </w:r>
            <w:r>
              <w:rPr>
                <w:rFonts w:hint="default" w:ascii="Times New Roman" w:hAnsi="Times New Roman" w:cs="Times New Roman"/>
                <w:b w:val="0"/>
                <w:bCs w:val="0"/>
                <w:color w:val="auto"/>
                <w:sz w:val="24"/>
                <w:szCs w:val="24"/>
                <w:highlight w:val="none"/>
                <w:lang w:val="en-US" w:eastAsia="zh-CN"/>
              </w:rPr>
              <w:t>、</w:t>
            </w:r>
            <w:r>
              <w:rPr>
                <w:rFonts w:hint="eastAsia" w:cs="Times New Roman"/>
                <w:b w:val="0"/>
                <w:bCs w:val="0"/>
                <w:color w:val="auto"/>
                <w:sz w:val="24"/>
                <w:szCs w:val="24"/>
                <w:highlight w:val="none"/>
                <w:lang w:val="en-US" w:eastAsia="zh-CN"/>
              </w:rPr>
              <w:t>DA023</w:t>
            </w:r>
            <w:r>
              <w:rPr>
                <w:rFonts w:hint="default" w:ascii="Times New Roman" w:hAnsi="Times New Roman" w:cs="Times New Roman"/>
                <w:b w:val="0"/>
                <w:bCs w:val="0"/>
                <w:color w:val="auto"/>
                <w:sz w:val="24"/>
                <w:szCs w:val="24"/>
                <w:highlight w:val="none"/>
                <w:lang w:val="en-US" w:eastAsia="zh-CN"/>
              </w:rPr>
              <w:t>排气筒颗粒物排放浓度、排放速率均满足</w:t>
            </w:r>
            <w:r>
              <w:rPr>
                <w:rFonts w:hint="default" w:ascii="Times New Roman" w:hAnsi="Times New Roman" w:eastAsia="宋体" w:cs="Times New Roman"/>
                <w:b w:val="0"/>
                <w:bCs w:val="0"/>
                <w:color w:val="auto"/>
                <w:sz w:val="24"/>
                <w:szCs w:val="24"/>
                <w:highlight w:val="none"/>
              </w:rPr>
              <w:t>《大气污染物综合排放标准》（DB50/418-2016）表1</w:t>
            </w:r>
            <w:r>
              <w:rPr>
                <w:rFonts w:hint="default" w:ascii="Times New Roman" w:hAnsi="Times New Roman" w:eastAsia="宋体" w:cs="Times New Roman"/>
                <w:b w:val="0"/>
                <w:bCs w:val="0"/>
                <w:color w:val="auto"/>
                <w:sz w:val="24"/>
                <w:szCs w:val="24"/>
                <w:highlight w:val="none"/>
                <w:lang w:eastAsia="zh-CN"/>
              </w:rPr>
              <w:t>标准值</w:t>
            </w:r>
            <w:r>
              <w:rPr>
                <w:rFonts w:hint="default" w:ascii="Times New Roman" w:hAnsi="Times New Roman" w:cs="Times New Roman"/>
                <w:b w:val="0"/>
                <w:bCs w:val="0"/>
                <w:color w:val="auto"/>
                <w:sz w:val="24"/>
                <w:szCs w:val="24"/>
                <w:highlight w:val="none"/>
                <w:lang w:eastAsia="zh-CN"/>
              </w:rPr>
              <w:t>。</w:t>
            </w:r>
          </w:p>
          <w:p w14:paraId="25BD04BB">
            <w:pPr>
              <w:pStyle w:val="4"/>
              <w:ind w:firstLine="480" w:firstLineChars="200"/>
              <w:rPr>
                <w:rFonts w:hint="default" w:ascii="Times New Roman" w:hAnsi="Times New Roman" w:cs="Times New Roman"/>
                <w:b w:val="0"/>
                <w:bCs w:val="0"/>
                <w:color w:val="auto"/>
                <w:highlight w:val="none"/>
                <w:lang w:val="en-US"/>
              </w:rPr>
            </w:pPr>
            <w:r>
              <w:rPr>
                <w:rFonts w:hint="default" w:ascii="Times New Roman" w:hAnsi="Times New Roman" w:cs="Times New Roman"/>
                <w:b w:val="0"/>
                <w:bCs w:val="0"/>
                <w:color w:val="auto"/>
                <w:sz w:val="24"/>
                <w:szCs w:val="24"/>
                <w:highlight w:val="none"/>
                <w:lang w:val="en-US" w:eastAsia="zh-CN"/>
              </w:rPr>
              <w:t>由于大豆膨化生产线各工序不能完全密闭，</w:t>
            </w:r>
            <w:r>
              <w:rPr>
                <w:rFonts w:hint="default" w:ascii="Times New Roman" w:hAnsi="Times New Roman" w:cs="Times New Roman"/>
                <w:b w:val="0"/>
                <w:bCs w:val="0"/>
                <w:color w:val="auto"/>
                <w:sz w:val="24"/>
                <w:szCs w:val="24"/>
                <w:highlight w:val="none"/>
              </w:rPr>
              <w:t>有</w:t>
            </w:r>
            <w:r>
              <w:rPr>
                <w:rFonts w:hint="default" w:ascii="Times New Roman" w:hAnsi="Times New Roman" w:cs="Times New Roman"/>
                <w:b w:val="0"/>
                <w:bCs w:val="0"/>
                <w:color w:val="auto"/>
                <w:sz w:val="24"/>
                <w:szCs w:val="24"/>
                <w:highlight w:val="none"/>
                <w:lang w:eastAsia="zh-CN"/>
              </w:rPr>
              <w:t>少量废气</w:t>
            </w:r>
            <w:r>
              <w:rPr>
                <w:rFonts w:hint="default" w:ascii="Times New Roman" w:hAnsi="Times New Roman" w:cs="Times New Roman"/>
                <w:b w:val="0"/>
                <w:bCs w:val="0"/>
                <w:color w:val="auto"/>
                <w:sz w:val="24"/>
                <w:szCs w:val="24"/>
                <w:highlight w:val="none"/>
              </w:rPr>
              <w:t>无法被收集、处理，将以无组织形式排放，</w:t>
            </w:r>
            <w:r>
              <w:rPr>
                <w:rFonts w:hint="default" w:ascii="Times New Roman" w:hAnsi="Times New Roman" w:cs="Times New Roman"/>
                <w:b w:val="0"/>
                <w:bCs w:val="0"/>
                <w:color w:val="auto"/>
                <w:sz w:val="24"/>
                <w:szCs w:val="24"/>
                <w:highlight w:val="none"/>
                <w:lang w:eastAsia="zh-CN"/>
              </w:rPr>
              <w:t>则颗粒物</w:t>
            </w:r>
            <w:r>
              <w:rPr>
                <w:rFonts w:hint="default" w:ascii="Times New Roman" w:hAnsi="Times New Roman" w:cs="Times New Roman"/>
                <w:b w:val="0"/>
                <w:bCs w:val="0"/>
                <w:color w:val="auto"/>
                <w:sz w:val="24"/>
                <w:szCs w:val="24"/>
                <w:highlight w:val="none"/>
                <w:lang w:val="en-US" w:eastAsia="zh-CN"/>
              </w:rPr>
              <w:t>无组织排放量为0.</w:t>
            </w:r>
            <w:r>
              <w:rPr>
                <w:rFonts w:hint="eastAsia" w:ascii="Times New Roman" w:hAnsi="Times New Roman" w:cs="Times New Roman"/>
                <w:b w:val="0"/>
                <w:bCs w:val="0"/>
                <w:color w:val="auto"/>
                <w:sz w:val="24"/>
                <w:szCs w:val="24"/>
                <w:highlight w:val="none"/>
                <w:lang w:val="en-US" w:eastAsia="zh-CN"/>
              </w:rPr>
              <w:t>549</w:t>
            </w:r>
            <w:r>
              <w:rPr>
                <w:rFonts w:hint="default" w:ascii="Times New Roman" w:hAnsi="Times New Roman" w:cs="Times New Roman"/>
                <w:b w:val="0"/>
                <w:bCs w:val="0"/>
                <w:color w:val="auto"/>
                <w:sz w:val="24"/>
                <w:szCs w:val="24"/>
                <w:highlight w:val="none"/>
                <w:lang w:val="en-US" w:eastAsia="zh-CN"/>
              </w:rPr>
              <w:t>kg/h，即</w:t>
            </w:r>
            <w:r>
              <w:rPr>
                <w:rFonts w:hint="eastAsia" w:ascii="Times New Roman" w:hAnsi="Times New Roman" w:cs="Times New Roman"/>
                <w:b w:val="0"/>
                <w:bCs w:val="0"/>
                <w:color w:val="auto"/>
                <w:sz w:val="24"/>
                <w:szCs w:val="24"/>
                <w:highlight w:val="none"/>
                <w:lang w:val="en-US" w:eastAsia="zh-CN"/>
              </w:rPr>
              <w:t>3.950</w:t>
            </w:r>
            <w:r>
              <w:rPr>
                <w:rFonts w:hint="default" w:ascii="Times New Roman" w:hAnsi="Times New Roman" w:cs="Times New Roman"/>
                <w:b w:val="0"/>
                <w:bCs w:val="0"/>
                <w:color w:val="auto"/>
                <w:sz w:val="24"/>
                <w:szCs w:val="24"/>
                <w:highlight w:val="none"/>
                <w:lang w:val="en-US" w:eastAsia="zh-CN"/>
              </w:rPr>
              <w:t>t/a。</w:t>
            </w:r>
          </w:p>
          <w:p w14:paraId="679B8E0D">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ascii="Times New Roman" w:hAnsi="Times New Roman" w:eastAsia="宋体" w:cs="Times New Roman"/>
                <w:color w:val="auto"/>
                <w:kern w:val="0"/>
                <w:sz w:val="24"/>
                <w:szCs w:val="24"/>
                <w:highlight w:val="none"/>
                <w:lang w:eastAsia="zh-CN" w:bidi="ar"/>
              </w:rPr>
            </w:pPr>
            <w:r>
              <w:rPr>
                <w:rFonts w:hint="default" w:ascii="Times New Roman" w:hAnsi="Times New Roman" w:eastAsia="宋体" w:cs="Times New Roman"/>
                <w:color w:val="auto"/>
                <w:kern w:val="0"/>
                <w:sz w:val="24"/>
                <w:szCs w:val="24"/>
                <w:highlight w:val="none"/>
                <w:lang w:bidi="ar"/>
              </w:rPr>
              <w:t>②</w:t>
            </w:r>
            <w:r>
              <w:rPr>
                <w:rFonts w:hint="eastAsia" w:eastAsia="宋体" w:cs="Times New Roman"/>
                <w:color w:val="auto"/>
                <w:kern w:val="0"/>
                <w:sz w:val="24"/>
                <w:szCs w:val="24"/>
                <w:highlight w:val="none"/>
                <w:lang w:eastAsia="zh-CN" w:bidi="ar"/>
              </w:rPr>
              <w:t>磷脂分线废气</w:t>
            </w:r>
          </w:p>
          <w:p w14:paraId="16FA779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cs="Times New Roman"/>
                <w:color w:val="auto"/>
                <w:kern w:val="0"/>
                <w:sz w:val="24"/>
                <w:szCs w:val="24"/>
                <w:lang w:eastAsia="zh-CN" w:bidi="ar"/>
              </w:rPr>
            </w:pPr>
            <w:r>
              <w:rPr>
                <w:rFonts w:hint="eastAsia" w:eastAsia="宋体" w:cs="Times New Roman"/>
                <w:color w:val="auto"/>
                <w:kern w:val="0"/>
                <w:sz w:val="24"/>
                <w:szCs w:val="24"/>
                <w:lang w:eastAsia="zh-CN" w:bidi="ar"/>
              </w:rPr>
              <w:t>真空捕集（</w:t>
            </w:r>
            <w:r>
              <w:rPr>
                <w:rFonts w:hint="eastAsia" w:eastAsia="宋体" w:cs="Times New Roman"/>
                <w:color w:val="auto"/>
                <w:kern w:val="0"/>
                <w:sz w:val="24"/>
                <w:szCs w:val="24"/>
                <w:lang w:val="en-US" w:eastAsia="zh-CN" w:bidi="ar"/>
              </w:rPr>
              <w:t>G34</w:t>
            </w:r>
            <w:r>
              <w:rPr>
                <w:rFonts w:hint="eastAsia" w:eastAsia="宋体" w:cs="Times New Roman"/>
                <w:color w:val="auto"/>
                <w:kern w:val="0"/>
                <w:sz w:val="24"/>
                <w:szCs w:val="24"/>
                <w:lang w:eastAsia="zh-CN" w:bidi="ar"/>
              </w:rPr>
              <w:t>）</w:t>
            </w:r>
          </w:p>
          <w:p w14:paraId="5C6F594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textAlignment w:val="auto"/>
              <w:rPr>
                <w:rFonts w:hint="default" w:cs="Times New Roman"/>
                <w:color w:val="auto"/>
                <w:sz w:val="24"/>
                <w:szCs w:val="24"/>
                <w:lang w:val="en-US" w:eastAsia="zh-CN"/>
              </w:rPr>
            </w:pPr>
            <w:r>
              <w:rPr>
                <w:rFonts w:hint="eastAsia" w:eastAsia="宋体" w:cs="Times New Roman"/>
                <w:color w:val="auto"/>
                <w:kern w:val="0"/>
                <w:sz w:val="24"/>
                <w:szCs w:val="24"/>
                <w:lang w:eastAsia="zh-CN" w:bidi="ar"/>
              </w:rPr>
              <w:t>薄膜蒸发工序的主要目的是蒸发掉水化油脚中的水分，加热温度为</w:t>
            </w:r>
            <w:r>
              <w:rPr>
                <w:rFonts w:hint="eastAsia" w:eastAsia="宋体" w:cs="Times New Roman"/>
                <w:color w:val="auto"/>
                <w:sz w:val="24"/>
                <w:szCs w:val="24"/>
                <w:lang w:val="en-US" w:eastAsia="zh-CN"/>
              </w:rPr>
              <w:t>110</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120℃，水化油脚在薄膜蒸发的过程中受热会产生非甲烷总烃，由于水化油脚的沸点温度在230</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257℃，因此水化油脚在薄膜蒸发的过程中非甲烷总烃产生量少，本评价不对其产生量进行定量核算，非甲烷总烃跟随水蒸气经</w:t>
            </w:r>
            <w:r>
              <w:rPr>
                <w:rFonts w:hint="eastAsia" w:eastAsia="宋体" w:cs="Times New Roman"/>
                <w:color w:val="auto"/>
                <w:kern w:val="0"/>
                <w:sz w:val="24"/>
                <w:szCs w:val="24"/>
                <w:lang w:eastAsia="zh-CN" w:bidi="ar"/>
              </w:rPr>
              <w:t>真空捕集器真空冷凝后无组织排放。</w:t>
            </w:r>
          </w:p>
          <w:p w14:paraId="6C0AD4FA">
            <w:pPr>
              <w:tabs>
                <w:tab w:val="left" w:pos="652"/>
              </w:tabs>
              <w:snapToGrid w:val="0"/>
              <w:spacing w:line="360" w:lineRule="auto"/>
              <w:ind w:left="0" w:leftChars="0" w:firstLine="480" w:firstLineChars="200"/>
              <w:rPr>
                <w:rFonts w:hint="default" w:ascii="Times New Roman" w:hAnsi="Times New Roman" w:cs="Times New Roman"/>
                <w:color w:val="auto"/>
              </w:rPr>
            </w:pPr>
            <w:r>
              <w:rPr>
                <w:rFonts w:hint="eastAsia" w:cs="Times New Roman"/>
                <w:b w:val="0"/>
                <w:bCs w:val="0"/>
                <w:color w:val="auto"/>
                <w:sz w:val="24"/>
                <w:szCs w:val="24"/>
                <w:lang w:eastAsia="zh-CN"/>
              </w:rPr>
              <w:t>本项目</w:t>
            </w:r>
            <w:r>
              <w:rPr>
                <w:rFonts w:hint="default" w:ascii="Times New Roman" w:hAnsi="Times New Roman" w:cs="Times New Roman"/>
                <w:color w:val="auto"/>
              </w:rPr>
              <w:t>废气产排</w:t>
            </w:r>
            <w:r>
              <w:rPr>
                <w:rFonts w:hint="default" w:ascii="Times New Roman" w:hAnsi="Times New Roman" w:cs="Times New Roman"/>
                <w:color w:val="auto"/>
                <w:lang w:eastAsia="zh-CN"/>
              </w:rPr>
              <w:t>节点、污染物及污染治理设施</w:t>
            </w:r>
            <w:r>
              <w:rPr>
                <w:rFonts w:hint="eastAsia" w:cs="Times New Roman"/>
                <w:color w:val="auto"/>
                <w:lang w:eastAsia="zh-CN"/>
              </w:rPr>
              <w:t>、</w:t>
            </w:r>
            <w:r>
              <w:rPr>
                <w:rFonts w:hint="eastAsia"/>
                <w:color w:val="auto"/>
                <w:sz w:val="24"/>
                <w:szCs w:val="24"/>
                <w:lang w:eastAsia="zh-CN"/>
              </w:rPr>
              <w:t>废气排放口基本信息见废气产排情况见表</w:t>
            </w:r>
            <w:r>
              <w:rPr>
                <w:rFonts w:hint="eastAsia"/>
                <w:color w:val="auto"/>
                <w:sz w:val="24"/>
                <w:szCs w:val="24"/>
                <w:lang w:val="en-US" w:eastAsia="zh-CN"/>
              </w:rPr>
              <w:t>4.2-1、表4.2-2、表4.2-3。</w:t>
            </w:r>
          </w:p>
          <w:p w14:paraId="0B5D4B2B">
            <w:pPr>
              <w:pStyle w:val="3"/>
              <w:bidi w:val="0"/>
              <w:jc w:val="center"/>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2-1</w:t>
            </w:r>
            <w:r>
              <w:rPr>
                <w:rFonts w:hint="default" w:ascii="Times New Roman" w:hAnsi="Times New Roman" w:cs="Times New Roman"/>
                <w:color w:val="auto"/>
              </w:rPr>
              <w:t xml:space="preserve"> 废气产排</w:t>
            </w:r>
            <w:r>
              <w:rPr>
                <w:rFonts w:hint="default" w:ascii="Times New Roman" w:hAnsi="Times New Roman" w:cs="Times New Roman"/>
                <w:color w:val="auto"/>
                <w:lang w:eastAsia="zh-CN"/>
              </w:rPr>
              <w:t>节点、污染物及污染治理设施</w:t>
            </w:r>
            <w:r>
              <w:rPr>
                <w:rFonts w:hint="default" w:ascii="Times New Roman" w:hAnsi="Times New Roman" w:cs="Times New Roman"/>
                <w:color w:val="auto"/>
              </w:rPr>
              <w:t>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237"/>
              <w:gridCol w:w="1040"/>
              <w:gridCol w:w="1141"/>
              <w:gridCol w:w="1141"/>
              <w:gridCol w:w="1147"/>
              <w:gridCol w:w="1146"/>
            </w:tblGrid>
            <w:tr w14:paraId="78807E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vMerge w:val="restart"/>
                  <w:tcBorders>
                    <w:tl2br w:val="nil"/>
                    <w:tr2bl w:val="nil"/>
                  </w:tcBorders>
                  <w:vAlign w:val="center"/>
                </w:tcPr>
                <w:p w14:paraId="493683C7">
                  <w:pPr>
                    <w:pStyle w:val="3"/>
                    <w:bidi w:val="0"/>
                    <w:rPr>
                      <w:rFonts w:hint="eastAsia"/>
                      <w:color w:val="auto"/>
                      <w:lang w:eastAsia="zh-CN"/>
                    </w:rPr>
                  </w:pPr>
                  <w:r>
                    <w:rPr>
                      <w:rFonts w:hint="eastAsia"/>
                      <w:color w:val="auto"/>
                      <w:lang w:eastAsia="zh-CN"/>
                    </w:rPr>
                    <w:t>产污</w:t>
                  </w:r>
                </w:p>
                <w:p w14:paraId="45A2DBF4">
                  <w:pPr>
                    <w:pStyle w:val="3"/>
                    <w:bidi w:val="0"/>
                    <w:rPr>
                      <w:rFonts w:hint="eastAsia"/>
                      <w:color w:val="auto"/>
                      <w:lang w:eastAsia="zh-CN"/>
                    </w:rPr>
                  </w:pPr>
                  <w:r>
                    <w:rPr>
                      <w:rFonts w:hint="eastAsia"/>
                      <w:color w:val="auto"/>
                      <w:lang w:eastAsia="zh-CN"/>
                    </w:rPr>
                    <w:t>环节</w:t>
                  </w:r>
                </w:p>
              </w:tc>
              <w:tc>
                <w:tcPr>
                  <w:tcW w:w="774" w:type="pct"/>
                  <w:vMerge w:val="restart"/>
                  <w:tcBorders>
                    <w:tl2br w:val="nil"/>
                    <w:tr2bl w:val="nil"/>
                  </w:tcBorders>
                  <w:vAlign w:val="center"/>
                </w:tcPr>
                <w:p w14:paraId="161E1064">
                  <w:pPr>
                    <w:pStyle w:val="3"/>
                    <w:bidi w:val="0"/>
                    <w:rPr>
                      <w:rFonts w:hint="eastAsia"/>
                      <w:color w:val="auto"/>
                      <w:lang w:eastAsia="zh-CN"/>
                    </w:rPr>
                  </w:pPr>
                  <w:r>
                    <w:rPr>
                      <w:rFonts w:hint="eastAsia"/>
                      <w:color w:val="auto"/>
                      <w:lang w:eastAsia="zh-CN"/>
                    </w:rPr>
                    <w:t>污染物</w:t>
                  </w:r>
                </w:p>
                <w:p w14:paraId="2269B39C">
                  <w:pPr>
                    <w:pStyle w:val="3"/>
                    <w:bidi w:val="0"/>
                    <w:rPr>
                      <w:rFonts w:hint="eastAsia"/>
                      <w:color w:val="auto"/>
                      <w:lang w:eastAsia="zh-CN"/>
                    </w:rPr>
                  </w:pPr>
                  <w:r>
                    <w:rPr>
                      <w:rFonts w:hint="eastAsia"/>
                      <w:color w:val="auto"/>
                      <w:lang w:eastAsia="zh-CN"/>
                    </w:rPr>
                    <w:t>种类</w:t>
                  </w:r>
                </w:p>
              </w:tc>
              <w:tc>
                <w:tcPr>
                  <w:tcW w:w="651" w:type="pct"/>
                  <w:vMerge w:val="restart"/>
                  <w:tcBorders>
                    <w:tl2br w:val="nil"/>
                    <w:tr2bl w:val="nil"/>
                  </w:tcBorders>
                  <w:vAlign w:val="center"/>
                </w:tcPr>
                <w:p w14:paraId="7B93BD9E">
                  <w:pPr>
                    <w:pStyle w:val="3"/>
                    <w:bidi w:val="0"/>
                    <w:rPr>
                      <w:rFonts w:hint="eastAsia"/>
                      <w:color w:val="auto"/>
                      <w:lang w:eastAsia="zh-CN"/>
                    </w:rPr>
                  </w:pPr>
                  <w:r>
                    <w:rPr>
                      <w:rFonts w:hint="eastAsia"/>
                      <w:color w:val="auto"/>
                      <w:lang w:eastAsia="zh-CN"/>
                    </w:rPr>
                    <w:t>排放形式</w:t>
                  </w:r>
                </w:p>
              </w:tc>
              <w:tc>
                <w:tcPr>
                  <w:tcW w:w="2145" w:type="pct"/>
                  <w:gridSpan w:val="3"/>
                  <w:tcBorders>
                    <w:tl2br w:val="nil"/>
                    <w:tr2bl w:val="nil"/>
                  </w:tcBorders>
                  <w:vAlign w:val="center"/>
                </w:tcPr>
                <w:p w14:paraId="277E662D">
                  <w:pPr>
                    <w:pStyle w:val="3"/>
                    <w:bidi w:val="0"/>
                    <w:rPr>
                      <w:color w:val="auto"/>
                    </w:rPr>
                  </w:pPr>
                  <w:r>
                    <w:rPr>
                      <w:rFonts w:hint="eastAsia"/>
                      <w:color w:val="auto"/>
                      <w:lang w:eastAsia="zh-CN"/>
                    </w:rPr>
                    <w:t>污染治理设施</w:t>
                  </w:r>
                </w:p>
              </w:tc>
              <w:tc>
                <w:tcPr>
                  <w:tcW w:w="716" w:type="pct"/>
                  <w:vMerge w:val="restart"/>
                  <w:tcBorders>
                    <w:tl2br w:val="nil"/>
                    <w:tr2bl w:val="nil"/>
                  </w:tcBorders>
                  <w:vAlign w:val="center"/>
                </w:tcPr>
                <w:p w14:paraId="4F0A9092">
                  <w:pPr>
                    <w:pStyle w:val="3"/>
                    <w:bidi w:val="0"/>
                    <w:rPr>
                      <w:rFonts w:hint="eastAsia"/>
                      <w:color w:val="auto"/>
                      <w:lang w:eastAsia="zh-CN"/>
                    </w:rPr>
                  </w:pPr>
                  <w:r>
                    <w:rPr>
                      <w:rFonts w:hint="eastAsia"/>
                      <w:color w:val="auto"/>
                      <w:lang w:eastAsia="zh-CN"/>
                    </w:rPr>
                    <w:t>排放标准</w:t>
                  </w:r>
                </w:p>
              </w:tc>
            </w:tr>
            <w:tr w14:paraId="310869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vMerge w:val="continue"/>
                  <w:tcBorders>
                    <w:tl2br w:val="nil"/>
                    <w:tr2bl w:val="nil"/>
                  </w:tcBorders>
                  <w:vAlign w:val="center"/>
                </w:tcPr>
                <w:p w14:paraId="28F49F92">
                  <w:pPr>
                    <w:pStyle w:val="3"/>
                    <w:bidi w:val="0"/>
                    <w:rPr>
                      <w:color w:val="auto"/>
                    </w:rPr>
                  </w:pPr>
                </w:p>
              </w:tc>
              <w:tc>
                <w:tcPr>
                  <w:tcW w:w="774" w:type="pct"/>
                  <w:vMerge w:val="continue"/>
                  <w:tcBorders>
                    <w:tl2br w:val="nil"/>
                    <w:tr2bl w:val="nil"/>
                  </w:tcBorders>
                  <w:vAlign w:val="center"/>
                </w:tcPr>
                <w:p w14:paraId="18385623">
                  <w:pPr>
                    <w:pStyle w:val="3"/>
                    <w:bidi w:val="0"/>
                    <w:rPr>
                      <w:color w:val="auto"/>
                    </w:rPr>
                  </w:pPr>
                </w:p>
              </w:tc>
              <w:tc>
                <w:tcPr>
                  <w:tcW w:w="651" w:type="pct"/>
                  <w:vMerge w:val="continue"/>
                  <w:tcBorders>
                    <w:tl2br w:val="nil"/>
                    <w:tr2bl w:val="nil"/>
                  </w:tcBorders>
                  <w:vAlign w:val="center"/>
                </w:tcPr>
                <w:p w14:paraId="0A1DE557">
                  <w:pPr>
                    <w:pStyle w:val="3"/>
                    <w:bidi w:val="0"/>
                    <w:rPr>
                      <w:color w:val="auto"/>
                    </w:rPr>
                  </w:pPr>
                </w:p>
              </w:tc>
              <w:tc>
                <w:tcPr>
                  <w:tcW w:w="714" w:type="pct"/>
                  <w:tcBorders>
                    <w:tl2br w:val="nil"/>
                    <w:tr2bl w:val="nil"/>
                  </w:tcBorders>
                  <w:vAlign w:val="center"/>
                </w:tcPr>
                <w:p w14:paraId="7CAF6F90">
                  <w:pPr>
                    <w:pStyle w:val="3"/>
                    <w:bidi w:val="0"/>
                    <w:rPr>
                      <w:rFonts w:hint="eastAsia"/>
                      <w:color w:val="auto"/>
                      <w:lang w:eastAsia="zh-CN"/>
                    </w:rPr>
                  </w:pPr>
                  <w:r>
                    <w:rPr>
                      <w:rFonts w:hint="eastAsia"/>
                      <w:color w:val="auto"/>
                      <w:lang w:eastAsia="zh-CN"/>
                    </w:rPr>
                    <w:t>治理工艺</w:t>
                  </w:r>
                </w:p>
              </w:tc>
              <w:tc>
                <w:tcPr>
                  <w:tcW w:w="714" w:type="pct"/>
                  <w:tcBorders>
                    <w:tl2br w:val="nil"/>
                    <w:tr2bl w:val="nil"/>
                  </w:tcBorders>
                  <w:vAlign w:val="center"/>
                </w:tcPr>
                <w:p w14:paraId="6E10D753">
                  <w:pPr>
                    <w:pStyle w:val="3"/>
                    <w:bidi w:val="0"/>
                    <w:rPr>
                      <w:rFonts w:hint="eastAsia"/>
                      <w:color w:val="auto"/>
                      <w:lang w:eastAsia="zh-CN"/>
                    </w:rPr>
                  </w:pPr>
                  <w:r>
                    <w:rPr>
                      <w:rFonts w:hint="eastAsia"/>
                      <w:color w:val="auto"/>
                      <w:lang w:eastAsia="zh-CN"/>
                    </w:rPr>
                    <w:t>收集效率</w:t>
                  </w:r>
                </w:p>
              </w:tc>
              <w:tc>
                <w:tcPr>
                  <w:tcW w:w="716" w:type="pct"/>
                  <w:tcBorders>
                    <w:tl2br w:val="nil"/>
                    <w:tr2bl w:val="nil"/>
                  </w:tcBorders>
                  <w:vAlign w:val="center"/>
                </w:tcPr>
                <w:p w14:paraId="0A72BC21">
                  <w:pPr>
                    <w:pStyle w:val="3"/>
                    <w:bidi w:val="0"/>
                    <w:rPr>
                      <w:rFonts w:hint="eastAsia"/>
                      <w:color w:val="auto"/>
                      <w:lang w:eastAsia="zh-CN"/>
                    </w:rPr>
                  </w:pPr>
                  <w:r>
                    <w:rPr>
                      <w:rFonts w:hint="eastAsia"/>
                      <w:color w:val="auto"/>
                      <w:lang w:eastAsia="zh-CN"/>
                    </w:rPr>
                    <w:t>治理工艺去除率</w:t>
                  </w:r>
                </w:p>
              </w:tc>
              <w:tc>
                <w:tcPr>
                  <w:tcW w:w="716" w:type="pct"/>
                  <w:vMerge w:val="continue"/>
                  <w:tcBorders>
                    <w:tl2br w:val="nil"/>
                    <w:tr2bl w:val="nil"/>
                  </w:tcBorders>
                  <w:vAlign w:val="center"/>
                </w:tcPr>
                <w:p w14:paraId="26FD2000">
                  <w:pPr>
                    <w:pStyle w:val="3"/>
                    <w:bidi w:val="0"/>
                    <w:rPr>
                      <w:color w:val="auto"/>
                    </w:rPr>
                  </w:pPr>
                </w:p>
              </w:tc>
            </w:tr>
            <w:tr w14:paraId="7C53D1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tl2br w:val="nil"/>
                    <w:tr2bl w:val="nil"/>
                  </w:tcBorders>
                  <w:vAlign w:val="center"/>
                </w:tcPr>
                <w:p w14:paraId="63CFF73A">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称量、振动清理、初破、筛分、成品破碎、打包</w:t>
                  </w:r>
                </w:p>
              </w:tc>
              <w:tc>
                <w:tcPr>
                  <w:tcW w:w="774" w:type="pct"/>
                  <w:tcBorders>
                    <w:tl2br w:val="nil"/>
                    <w:tr2bl w:val="nil"/>
                  </w:tcBorders>
                  <w:vAlign w:val="center"/>
                </w:tcPr>
                <w:p w14:paraId="68BCBE6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651" w:type="pct"/>
                  <w:tcBorders>
                    <w:tl2br w:val="nil"/>
                    <w:tr2bl w:val="nil"/>
                  </w:tcBorders>
                  <w:vAlign w:val="center"/>
                </w:tcPr>
                <w:p w14:paraId="08062DC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有组织</w:t>
                  </w:r>
                </w:p>
              </w:tc>
              <w:tc>
                <w:tcPr>
                  <w:tcW w:w="714" w:type="pct"/>
                  <w:tcBorders>
                    <w:tl2br w:val="nil"/>
                    <w:tr2bl w:val="nil"/>
                  </w:tcBorders>
                  <w:vAlign w:val="center"/>
                </w:tcPr>
                <w:p w14:paraId="11891EC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布袋除尘</w:t>
                  </w:r>
                </w:p>
              </w:tc>
              <w:tc>
                <w:tcPr>
                  <w:tcW w:w="714" w:type="pct"/>
                  <w:tcBorders>
                    <w:tl2br w:val="nil"/>
                    <w:tr2bl w:val="nil"/>
                  </w:tcBorders>
                  <w:vAlign w:val="center"/>
                </w:tcPr>
                <w:p w14:paraId="37D6A43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90%</w:t>
                  </w:r>
                </w:p>
              </w:tc>
              <w:tc>
                <w:tcPr>
                  <w:tcW w:w="716" w:type="pct"/>
                  <w:tcBorders>
                    <w:tl2br w:val="nil"/>
                    <w:tr2bl w:val="nil"/>
                  </w:tcBorders>
                  <w:vAlign w:val="center"/>
                </w:tcPr>
                <w:p w14:paraId="29AF298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95%</w:t>
                  </w:r>
                </w:p>
              </w:tc>
              <w:tc>
                <w:tcPr>
                  <w:tcW w:w="716" w:type="pct"/>
                  <w:tcBorders>
                    <w:tl2br w:val="nil"/>
                    <w:tr2bl w:val="nil"/>
                  </w:tcBorders>
                  <w:vAlign w:val="center"/>
                </w:tcPr>
                <w:p w14:paraId="7A3BE7F8">
                  <w:pPr>
                    <w:pStyle w:val="3"/>
                    <w:bidi w:val="0"/>
                    <w:rPr>
                      <w:rFonts w:hint="default" w:ascii="Times New Roman" w:hAnsi="Times New Roman" w:cs="Times New Roman"/>
                      <w:color w:val="auto"/>
                    </w:rPr>
                  </w:pPr>
                  <w:r>
                    <w:rPr>
                      <w:rFonts w:hint="default" w:ascii="Times New Roman" w:hAnsi="Times New Roman" w:cs="Times New Roman"/>
                      <w:color w:val="auto"/>
                    </w:rPr>
                    <w:t>DB50/418－2016</w:t>
                  </w:r>
                </w:p>
              </w:tc>
            </w:tr>
            <w:tr w14:paraId="57597E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12" w:type="pct"/>
                  <w:tcBorders>
                    <w:tl2br w:val="nil"/>
                    <w:tr2bl w:val="nil"/>
                  </w:tcBorders>
                  <w:vAlign w:val="center"/>
                </w:tcPr>
                <w:p w14:paraId="17B7C60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调质、膨化、翻板冷却</w:t>
                  </w:r>
                </w:p>
              </w:tc>
              <w:tc>
                <w:tcPr>
                  <w:tcW w:w="774" w:type="pct"/>
                  <w:tcBorders>
                    <w:tl2br w:val="nil"/>
                    <w:tr2bl w:val="nil"/>
                  </w:tcBorders>
                  <w:vAlign w:val="center"/>
                </w:tcPr>
                <w:p w14:paraId="1A04D766">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颗粒物</w:t>
                  </w:r>
                </w:p>
              </w:tc>
              <w:tc>
                <w:tcPr>
                  <w:tcW w:w="651" w:type="pct"/>
                  <w:tcBorders>
                    <w:tl2br w:val="nil"/>
                    <w:tr2bl w:val="nil"/>
                  </w:tcBorders>
                  <w:vAlign w:val="center"/>
                </w:tcPr>
                <w:p w14:paraId="0746D748">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有组织</w:t>
                  </w:r>
                </w:p>
              </w:tc>
              <w:tc>
                <w:tcPr>
                  <w:tcW w:w="714" w:type="pct"/>
                  <w:tcBorders>
                    <w:tl2br w:val="nil"/>
                    <w:tr2bl w:val="nil"/>
                  </w:tcBorders>
                  <w:vAlign w:val="center"/>
                </w:tcPr>
                <w:p w14:paraId="70CB979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布袋除尘</w:t>
                  </w:r>
                </w:p>
              </w:tc>
              <w:tc>
                <w:tcPr>
                  <w:tcW w:w="714" w:type="pct"/>
                  <w:tcBorders>
                    <w:tl2br w:val="nil"/>
                    <w:tr2bl w:val="nil"/>
                  </w:tcBorders>
                  <w:vAlign w:val="center"/>
                </w:tcPr>
                <w:p w14:paraId="7F813F6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90%</w:t>
                  </w:r>
                </w:p>
              </w:tc>
              <w:tc>
                <w:tcPr>
                  <w:tcW w:w="716" w:type="pct"/>
                  <w:tcBorders>
                    <w:tl2br w:val="nil"/>
                    <w:tr2bl w:val="nil"/>
                  </w:tcBorders>
                  <w:vAlign w:val="center"/>
                </w:tcPr>
                <w:p w14:paraId="4DC74F1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95%</w:t>
                  </w:r>
                </w:p>
              </w:tc>
              <w:tc>
                <w:tcPr>
                  <w:tcW w:w="716" w:type="pct"/>
                  <w:tcBorders>
                    <w:tl2br w:val="nil"/>
                    <w:tr2bl w:val="nil"/>
                  </w:tcBorders>
                  <w:vAlign w:val="center"/>
                </w:tcPr>
                <w:p w14:paraId="411C486C">
                  <w:pPr>
                    <w:pStyle w:val="3"/>
                    <w:bidi w:val="0"/>
                    <w:rPr>
                      <w:rFonts w:hint="default" w:ascii="Times New Roman" w:hAnsi="Times New Roman" w:cs="Times New Roman"/>
                      <w:color w:val="auto"/>
                    </w:rPr>
                  </w:pPr>
                  <w:r>
                    <w:rPr>
                      <w:rFonts w:hint="default" w:ascii="Times New Roman" w:hAnsi="Times New Roman" w:cs="Times New Roman"/>
                      <w:color w:val="auto"/>
                    </w:rPr>
                    <w:t>DB50/418－2016</w:t>
                  </w:r>
                </w:p>
              </w:tc>
            </w:tr>
          </w:tbl>
          <w:p w14:paraId="78C16411">
            <w:pPr>
              <w:pStyle w:val="3"/>
              <w:bidi w:val="0"/>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 xml:space="preserve">2-2 </w:t>
            </w:r>
            <w:r>
              <w:rPr>
                <w:rFonts w:hint="default" w:ascii="Times New Roman" w:hAnsi="Times New Roman" w:cs="Times New Roman"/>
                <w:color w:val="auto"/>
              </w:rPr>
              <w:t>废气</w:t>
            </w:r>
            <w:r>
              <w:rPr>
                <w:rFonts w:hint="default" w:ascii="Times New Roman" w:hAnsi="Times New Roman" w:cs="Times New Roman"/>
                <w:color w:val="auto"/>
                <w:lang w:eastAsia="zh-CN"/>
              </w:rPr>
              <w:t>排放口基本信息</w:t>
            </w:r>
            <w:r>
              <w:rPr>
                <w:rFonts w:hint="default" w:ascii="Times New Roman" w:hAnsi="Times New Roman" w:cs="Times New Roman"/>
                <w:color w:val="auto"/>
              </w:rPr>
              <w:t>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7"/>
              <w:gridCol w:w="1212"/>
              <w:gridCol w:w="1191"/>
              <w:gridCol w:w="982"/>
              <w:gridCol w:w="1073"/>
              <w:gridCol w:w="873"/>
              <w:gridCol w:w="929"/>
            </w:tblGrid>
            <w:tr w14:paraId="690C9F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0" w:type="pct"/>
                  <w:vMerge w:val="restart"/>
                  <w:tcBorders>
                    <w:tl2br w:val="nil"/>
                    <w:tr2bl w:val="nil"/>
                  </w:tcBorders>
                  <w:vAlign w:val="center"/>
                </w:tcPr>
                <w:p w14:paraId="303E8196">
                  <w:pPr>
                    <w:pStyle w:val="3"/>
                    <w:bidi w:val="0"/>
                    <w:rPr>
                      <w:rFonts w:hint="eastAsia"/>
                      <w:color w:val="auto"/>
                      <w:lang w:eastAsia="zh-CN"/>
                    </w:rPr>
                  </w:pPr>
                  <w:r>
                    <w:rPr>
                      <w:rFonts w:hint="eastAsia"/>
                      <w:color w:val="auto"/>
                      <w:lang w:eastAsia="zh-CN"/>
                    </w:rPr>
                    <w:t>产污</w:t>
                  </w:r>
                </w:p>
                <w:p w14:paraId="16FBCB58">
                  <w:pPr>
                    <w:pStyle w:val="3"/>
                    <w:bidi w:val="0"/>
                    <w:rPr>
                      <w:rFonts w:hint="eastAsia"/>
                      <w:color w:val="auto"/>
                      <w:lang w:eastAsia="zh-CN"/>
                    </w:rPr>
                  </w:pPr>
                  <w:r>
                    <w:rPr>
                      <w:rFonts w:hint="eastAsia"/>
                      <w:color w:val="auto"/>
                      <w:lang w:eastAsia="zh-CN"/>
                    </w:rPr>
                    <w:t>环节</w:t>
                  </w:r>
                </w:p>
              </w:tc>
              <w:tc>
                <w:tcPr>
                  <w:tcW w:w="542" w:type="pct"/>
                  <w:vMerge w:val="restart"/>
                  <w:tcBorders>
                    <w:tl2br w:val="nil"/>
                    <w:tr2bl w:val="nil"/>
                  </w:tcBorders>
                  <w:vAlign w:val="center"/>
                </w:tcPr>
                <w:p w14:paraId="77C48F8D">
                  <w:pPr>
                    <w:pStyle w:val="3"/>
                    <w:bidi w:val="0"/>
                    <w:rPr>
                      <w:rFonts w:hint="eastAsia"/>
                      <w:color w:val="auto"/>
                      <w:lang w:eastAsia="zh-CN"/>
                    </w:rPr>
                  </w:pPr>
                  <w:r>
                    <w:rPr>
                      <w:rFonts w:hint="eastAsia"/>
                      <w:color w:val="auto"/>
                      <w:lang w:eastAsia="zh-CN"/>
                    </w:rPr>
                    <w:t>排放口</w:t>
                  </w:r>
                </w:p>
                <w:p w14:paraId="671965EC">
                  <w:pPr>
                    <w:pStyle w:val="3"/>
                    <w:bidi w:val="0"/>
                    <w:rPr>
                      <w:rFonts w:hint="eastAsia"/>
                      <w:color w:val="auto"/>
                      <w:lang w:eastAsia="zh-CN"/>
                    </w:rPr>
                  </w:pPr>
                  <w:r>
                    <w:rPr>
                      <w:rFonts w:hint="eastAsia"/>
                      <w:color w:val="auto"/>
                      <w:lang w:eastAsia="zh-CN"/>
                    </w:rPr>
                    <w:t>名称</w:t>
                  </w:r>
                </w:p>
              </w:tc>
              <w:tc>
                <w:tcPr>
                  <w:tcW w:w="758" w:type="pct"/>
                  <w:vMerge w:val="restart"/>
                  <w:tcBorders>
                    <w:tl2br w:val="nil"/>
                    <w:tr2bl w:val="nil"/>
                  </w:tcBorders>
                  <w:vAlign w:val="center"/>
                </w:tcPr>
                <w:p w14:paraId="421D821A">
                  <w:pPr>
                    <w:pStyle w:val="3"/>
                    <w:bidi w:val="0"/>
                    <w:rPr>
                      <w:rFonts w:hint="eastAsia"/>
                      <w:color w:val="auto"/>
                      <w:lang w:eastAsia="zh-CN"/>
                    </w:rPr>
                  </w:pPr>
                  <w:r>
                    <w:rPr>
                      <w:rFonts w:hint="eastAsia"/>
                      <w:color w:val="auto"/>
                      <w:lang w:eastAsia="zh-CN"/>
                    </w:rPr>
                    <w:t>污染物</w:t>
                  </w:r>
                </w:p>
                <w:p w14:paraId="1F704083">
                  <w:pPr>
                    <w:pStyle w:val="3"/>
                    <w:bidi w:val="0"/>
                    <w:rPr>
                      <w:rFonts w:hint="eastAsia"/>
                      <w:color w:val="auto"/>
                      <w:lang w:eastAsia="zh-CN"/>
                    </w:rPr>
                  </w:pPr>
                  <w:r>
                    <w:rPr>
                      <w:rFonts w:hint="eastAsia"/>
                      <w:color w:val="auto"/>
                      <w:lang w:eastAsia="zh-CN"/>
                    </w:rPr>
                    <w:t>种类</w:t>
                  </w:r>
                </w:p>
              </w:tc>
              <w:tc>
                <w:tcPr>
                  <w:tcW w:w="1359" w:type="pct"/>
                  <w:gridSpan w:val="2"/>
                  <w:tcBorders>
                    <w:tl2br w:val="nil"/>
                    <w:tr2bl w:val="nil"/>
                  </w:tcBorders>
                  <w:vAlign w:val="center"/>
                </w:tcPr>
                <w:p w14:paraId="4A6784DD">
                  <w:pPr>
                    <w:pStyle w:val="3"/>
                    <w:bidi w:val="0"/>
                    <w:rPr>
                      <w:rFonts w:hint="eastAsia"/>
                      <w:color w:val="auto"/>
                      <w:lang w:eastAsia="zh-CN"/>
                    </w:rPr>
                  </w:pPr>
                  <w:r>
                    <w:rPr>
                      <w:rFonts w:hint="eastAsia"/>
                      <w:color w:val="auto"/>
                      <w:lang w:eastAsia="zh-CN"/>
                    </w:rPr>
                    <w:t>地理坐标</w:t>
                  </w:r>
                </w:p>
              </w:tc>
              <w:tc>
                <w:tcPr>
                  <w:tcW w:w="1798" w:type="pct"/>
                  <w:gridSpan w:val="3"/>
                  <w:tcBorders>
                    <w:tl2br w:val="nil"/>
                    <w:tr2bl w:val="nil"/>
                  </w:tcBorders>
                  <w:vAlign w:val="center"/>
                </w:tcPr>
                <w:p w14:paraId="15A741CA">
                  <w:pPr>
                    <w:pStyle w:val="3"/>
                    <w:bidi w:val="0"/>
                    <w:rPr>
                      <w:rFonts w:hint="eastAsia"/>
                      <w:color w:val="auto"/>
                      <w:lang w:eastAsia="zh-CN"/>
                    </w:rPr>
                  </w:pPr>
                  <w:r>
                    <w:rPr>
                      <w:rFonts w:hint="eastAsia"/>
                      <w:color w:val="auto"/>
                      <w:lang w:eastAsia="zh-CN"/>
                    </w:rPr>
                    <w:t>排气筒</w:t>
                  </w:r>
                </w:p>
              </w:tc>
            </w:tr>
            <w:tr w14:paraId="77F990B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0" w:type="pct"/>
                  <w:vMerge w:val="continue"/>
                  <w:tcBorders>
                    <w:tl2br w:val="nil"/>
                    <w:tr2bl w:val="nil"/>
                  </w:tcBorders>
                  <w:vAlign w:val="center"/>
                </w:tcPr>
                <w:p w14:paraId="2D6EE429">
                  <w:pPr>
                    <w:pStyle w:val="3"/>
                    <w:bidi w:val="0"/>
                    <w:rPr>
                      <w:color w:val="auto"/>
                    </w:rPr>
                  </w:pPr>
                </w:p>
              </w:tc>
              <w:tc>
                <w:tcPr>
                  <w:tcW w:w="542" w:type="pct"/>
                  <w:vMerge w:val="continue"/>
                  <w:tcBorders>
                    <w:tl2br w:val="nil"/>
                    <w:tr2bl w:val="nil"/>
                  </w:tcBorders>
                  <w:vAlign w:val="center"/>
                </w:tcPr>
                <w:p w14:paraId="1281C358">
                  <w:pPr>
                    <w:pStyle w:val="3"/>
                    <w:bidi w:val="0"/>
                    <w:rPr>
                      <w:color w:val="auto"/>
                    </w:rPr>
                  </w:pPr>
                </w:p>
              </w:tc>
              <w:tc>
                <w:tcPr>
                  <w:tcW w:w="758" w:type="pct"/>
                  <w:vMerge w:val="continue"/>
                  <w:tcBorders>
                    <w:tl2br w:val="nil"/>
                    <w:tr2bl w:val="nil"/>
                  </w:tcBorders>
                  <w:vAlign w:val="center"/>
                </w:tcPr>
                <w:p w14:paraId="737514F9">
                  <w:pPr>
                    <w:pStyle w:val="3"/>
                    <w:bidi w:val="0"/>
                    <w:rPr>
                      <w:color w:val="auto"/>
                    </w:rPr>
                  </w:pPr>
                </w:p>
              </w:tc>
              <w:tc>
                <w:tcPr>
                  <w:tcW w:w="745" w:type="pct"/>
                  <w:tcBorders>
                    <w:tl2br w:val="nil"/>
                    <w:tr2bl w:val="nil"/>
                  </w:tcBorders>
                  <w:vAlign w:val="center"/>
                </w:tcPr>
                <w:p w14:paraId="173C14A7">
                  <w:pPr>
                    <w:pStyle w:val="3"/>
                    <w:bidi w:val="0"/>
                    <w:rPr>
                      <w:rFonts w:hint="default"/>
                      <w:color w:val="auto"/>
                      <w:lang w:val="en-US" w:eastAsia="zh-CN"/>
                    </w:rPr>
                  </w:pPr>
                  <w:r>
                    <w:rPr>
                      <w:rFonts w:hint="eastAsia"/>
                      <w:color w:val="auto"/>
                      <w:lang w:val="en-US" w:eastAsia="zh-CN"/>
                    </w:rPr>
                    <w:t>经度</w:t>
                  </w:r>
                </w:p>
              </w:tc>
              <w:tc>
                <w:tcPr>
                  <w:tcW w:w="613" w:type="pct"/>
                  <w:tcBorders>
                    <w:tl2br w:val="nil"/>
                    <w:tr2bl w:val="nil"/>
                  </w:tcBorders>
                  <w:vAlign w:val="center"/>
                </w:tcPr>
                <w:p w14:paraId="326671BF">
                  <w:pPr>
                    <w:pStyle w:val="3"/>
                    <w:bidi w:val="0"/>
                    <w:rPr>
                      <w:rFonts w:hint="eastAsia"/>
                      <w:color w:val="auto"/>
                      <w:lang w:eastAsia="zh-CN"/>
                    </w:rPr>
                  </w:pPr>
                  <w:r>
                    <w:rPr>
                      <w:rFonts w:hint="eastAsia"/>
                      <w:color w:val="auto"/>
                      <w:lang w:eastAsia="zh-CN"/>
                    </w:rPr>
                    <w:t>纬度</w:t>
                  </w:r>
                </w:p>
              </w:tc>
              <w:tc>
                <w:tcPr>
                  <w:tcW w:w="671" w:type="pct"/>
                  <w:tcBorders>
                    <w:tl2br w:val="nil"/>
                    <w:tr2bl w:val="nil"/>
                  </w:tcBorders>
                  <w:vAlign w:val="center"/>
                </w:tcPr>
                <w:p w14:paraId="30AE7B85">
                  <w:pPr>
                    <w:pStyle w:val="3"/>
                    <w:bidi w:val="0"/>
                    <w:rPr>
                      <w:rFonts w:hint="default"/>
                      <w:color w:val="auto"/>
                      <w:lang w:val="en-US" w:eastAsia="zh-CN"/>
                    </w:rPr>
                  </w:pPr>
                  <w:r>
                    <w:rPr>
                      <w:rFonts w:hint="eastAsia"/>
                      <w:color w:val="auto"/>
                      <w:lang w:eastAsia="zh-CN"/>
                    </w:rPr>
                    <w:t>高度</w:t>
                  </w:r>
                  <w:r>
                    <w:rPr>
                      <w:rFonts w:hint="eastAsia"/>
                      <w:color w:val="auto"/>
                      <w:lang w:val="en-US" w:eastAsia="zh-CN"/>
                    </w:rPr>
                    <w:t>m</w:t>
                  </w:r>
                </w:p>
              </w:tc>
              <w:tc>
                <w:tcPr>
                  <w:tcW w:w="546" w:type="pct"/>
                  <w:tcBorders>
                    <w:tl2br w:val="nil"/>
                    <w:tr2bl w:val="nil"/>
                  </w:tcBorders>
                  <w:vAlign w:val="center"/>
                </w:tcPr>
                <w:p w14:paraId="5C3C2F2F">
                  <w:pPr>
                    <w:pStyle w:val="3"/>
                    <w:bidi w:val="0"/>
                    <w:rPr>
                      <w:rFonts w:hint="default"/>
                      <w:color w:val="auto"/>
                      <w:lang w:val="en-US" w:eastAsia="zh-CN"/>
                    </w:rPr>
                  </w:pPr>
                  <w:r>
                    <w:rPr>
                      <w:rFonts w:hint="eastAsia"/>
                      <w:color w:val="auto"/>
                      <w:lang w:val="en-US" w:eastAsia="zh-CN"/>
                    </w:rPr>
                    <w:t>内径m</w:t>
                  </w:r>
                </w:p>
              </w:tc>
              <w:tc>
                <w:tcPr>
                  <w:tcW w:w="580" w:type="pct"/>
                  <w:tcBorders>
                    <w:tl2br w:val="nil"/>
                    <w:tr2bl w:val="nil"/>
                  </w:tcBorders>
                  <w:vAlign w:val="center"/>
                </w:tcPr>
                <w:p w14:paraId="5B6E4469">
                  <w:pPr>
                    <w:pStyle w:val="3"/>
                    <w:bidi w:val="0"/>
                    <w:rPr>
                      <w:rFonts w:hint="eastAsia"/>
                      <w:color w:val="auto"/>
                      <w:lang w:eastAsia="zh-CN"/>
                    </w:rPr>
                  </w:pPr>
                  <w:r>
                    <w:rPr>
                      <w:rFonts w:hint="eastAsia"/>
                      <w:color w:val="auto"/>
                      <w:lang w:eastAsia="zh-CN"/>
                    </w:rPr>
                    <w:t>温度</w:t>
                  </w:r>
                  <w:r>
                    <w:rPr>
                      <w:rFonts w:hint="default"/>
                      <w:color w:val="auto"/>
                    </w:rPr>
                    <w:t>℃</w:t>
                  </w:r>
                </w:p>
              </w:tc>
            </w:tr>
            <w:tr w14:paraId="0C7A85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vAlign w:val="center"/>
                </w:tcPr>
                <w:p w14:paraId="2DCAC4B3">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称量、振动清理、初破、筛分、成品破碎、打包</w:t>
                  </w:r>
                </w:p>
              </w:tc>
              <w:tc>
                <w:tcPr>
                  <w:tcW w:w="542" w:type="pct"/>
                  <w:tcBorders>
                    <w:tl2br w:val="nil"/>
                    <w:tr2bl w:val="nil"/>
                  </w:tcBorders>
                  <w:vAlign w:val="center"/>
                </w:tcPr>
                <w:p w14:paraId="6D2B208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DA022</w:t>
                  </w:r>
                </w:p>
              </w:tc>
              <w:tc>
                <w:tcPr>
                  <w:tcW w:w="758" w:type="pct"/>
                  <w:tcBorders>
                    <w:tl2br w:val="nil"/>
                    <w:tr2bl w:val="nil"/>
                  </w:tcBorders>
                  <w:vAlign w:val="center"/>
                </w:tcPr>
                <w:p w14:paraId="4069CE5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1191" w:type="dxa"/>
                  <w:tcBorders>
                    <w:tl2br w:val="nil"/>
                    <w:tr2bl w:val="nil"/>
                  </w:tcBorders>
                  <w:vAlign w:val="center"/>
                </w:tcPr>
                <w:p w14:paraId="018D1491">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highlight w:val="none"/>
                    </w:rPr>
                    <w:t>10</w:t>
                  </w:r>
                  <w:r>
                    <w:rPr>
                      <w:rFonts w:hint="eastAsia" w:ascii="Times New Roman" w:hAnsi="Times New Roman" w:eastAsia="宋体" w:cs="Times New Roman"/>
                      <w:color w:val="auto"/>
                      <w:highlight w:val="none"/>
                      <w:lang w:val="en-US" w:eastAsia="zh-CN"/>
                    </w:rPr>
                    <w:t>7</w:t>
                  </w:r>
                  <w:r>
                    <w:rPr>
                      <w:rFonts w:hint="default" w:ascii="Times New Roman" w:hAnsi="Times New Roman" w:cs="Times New Roman"/>
                      <w:color w:val="auto"/>
                      <w:highlight w:val="none"/>
                    </w:rPr>
                    <w:t>°</w:t>
                  </w:r>
                  <w:r>
                    <w:rPr>
                      <w:rFonts w:hint="eastAsia" w:ascii="Times New Roman" w:hAnsi="Times New Roman" w:eastAsia="宋体" w:cs="Times New Roman"/>
                      <w:color w:val="auto"/>
                      <w:highlight w:val="none"/>
                      <w:lang w:val="en-US" w:eastAsia="zh-CN"/>
                    </w:rPr>
                    <w:t>15</w:t>
                  </w:r>
                  <w:r>
                    <w:rPr>
                      <w:rFonts w:hint="default" w:ascii="Times New Roman" w:hAnsi="Times New Roman" w:cs="Times New Roman"/>
                      <w:color w:val="auto"/>
                      <w:highlight w:val="none"/>
                    </w:rPr>
                    <w:t>ʹ</w:t>
                  </w:r>
                  <w:r>
                    <w:rPr>
                      <w:rFonts w:hint="eastAsia" w:ascii="Times New Roman" w:hAnsi="Times New Roman" w:eastAsia="宋体" w:cs="Times New Roman"/>
                      <w:color w:val="auto"/>
                      <w:highlight w:val="none"/>
                      <w:lang w:val="en-US" w:eastAsia="zh-CN"/>
                    </w:rPr>
                    <w:t>53.556</w:t>
                  </w:r>
                  <w:r>
                    <w:rPr>
                      <w:rFonts w:hint="default" w:ascii="Times New Roman" w:hAnsi="Times New Roman" w:cs="Times New Roman"/>
                      <w:color w:val="auto"/>
                      <w:highlight w:val="none"/>
                    </w:rPr>
                    <w:t>ʺ</w:t>
                  </w:r>
                </w:p>
              </w:tc>
              <w:tc>
                <w:tcPr>
                  <w:tcW w:w="982" w:type="dxa"/>
                  <w:tcBorders>
                    <w:tl2br w:val="nil"/>
                    <w:tr2bl w:val="nil"/>
                  </w:tcBorders>
                  <w:vAlign w:val="center"/>
                </w:tcPr>
                <w:p w14:paraId="73F22FB0">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highlight w:val="none"/>
                    </w:rPr>
                    <w:t>29°</w:t>
                  </w:r>
                  <w:r>
                    <w:rPr>
                      <w:rFonts w:hint="eastAsia" w:ascii="Times New Roman" w:hAnsi="Times New Roman" w:eastAsia="宋体" w:cs="Times New Roman"/>
                      <w:color w:val="auto"/>
                      <w:highlight w:val="none"/>
                      <w:lang w:val="en-US" w:eastAsia="zh-CN"/>
                    </w:rPr>
                    <w:t>42</w:t>
                  </w:r>
                  <w:r>
                    <w:rPr>
                      <w:rFonts w:hint="default" w:ascii="Times New Roman" w:hAnsi="Times New Roman" w:cs="Times New Roman"/>
                      <w:color w:val="auto"/>
                      <w:highlight w:val="none"/>
                    </w:rPr>
                    <w:t>ʹ</w:t>
                  </w:r>
                  <w:r>
                    <w:rPr>
                      <w:rFonts w:hint="eastAsia" w:ascii="Times New Roman" w:hAnsi="Times New Roman" w:eastAsia="宋体" w:cs="Times New Roman"/>
                      <w:color w:val="auto"/>
                      <w:highlight w:val="none"/>
                      <w:lang w:val="en-US" w:eastAsia="zh-CN"/>
                    </w:rPr>
                    <w:t>7.165</w:t>
                  </w:r>
                  <w:r>
                    <w:rPr>
                      <w:rFonts w:hint="default" w:ascii="Times New Roman" w:hAnsi="Times New Roman" w:cs="Times New Roman"/>
                      <w:color w:val="auto"/>
                      <w:highlight w:val="none"/>
                    </w:rPr>
                    <w:t>ʺ</w:t>
                  </w:r>
                </w:p>
              </w:tc>
              <w:tc>
                <w:tcPr>
                  <w:tcW w:w="671" w:type="pct"/>
                  <w:tcBorders>
                    <w:tl2br w:val="nil"/>
                    <w:tr2bl w:val="nil"/>
                  </w:tcBorders>
                  <w:vAlign w:val="center"/>
                </w:tcPr>
                <w:p w14:paraId="54D3172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p>
              </w:tc>
              <w:tc>
                <w:tcPr>
                  <w:tcW w:w="546" w:type="pct"/>
                  <w:tcBorders>
                    <w:tl2br w:val="nil"/>
                    <w:tr2bl w:val="nil"/>
                  </w:tcBorders>
                  <w:vAlign w:val="center"/>
                </w:tcPr>
                <w:p w14:paraId="4AD51E4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p>
              </w:tc>
              <w:tc>
                <w:tcPr>
                  <w:tcW w:w="580" w:type="pct"/>
                  <w:tcBorders>
                    <w:tl2br w:val="nil"/>
                    <w:tr2bl w:val="nil"/>
                  </w:tcBorders>
                  <w:vAlign w:val="center"/>
                </w:tcPr>
                <w:p w14:paraId="1E6DF1C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w:t>
                  </w:r>
                </w:p>
              </w:tc>
            </w:tr>
            <w:tr w14:paraId="735E12E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40" w:type="pct"/>
                  <w:tcBorders>
                    <w:tl2br w:val="nil"/>
                    <w:tr2bl w:val="nil"/>
                  </w:tcBorders>
                  <w:vAlign w:val="center"/>
                </w:tcPr>
                <w:p w14:paraId="22407A6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调质、膨化、翻板冷却</w:t>
                  </w:r>
                </w:p>
              </w:tc>
              <w:tc>
                <w:tcPr>
                  <w:tcW w:w="542" w:type="pct"/>
                  <w:tcBorders>
                    <w:tl2br w:val="nil"/>
                    <w:tr2bl w:val="nil"/>
                  </w:tcBorders>
                  <w:vAlign w:val="center"/>
                </w:tcPr>
                <w:p w14:paraId="764DD9B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DA023</w:t>
                  </w:r>
                </w:p>
              </w:tc>
              <w:tc>
                <w:tcPr>
                  <w:tcW w:w="758" w:type="pct"/>
                  <w:tcBorders>
                    <w:tl2br w:val="nil"/>
                    <w:tr2bl w:val="nil"/>
                  </w:tcBorders>
                  <w:vAlign w:val="center"/>
                </w:tcPr>
                <w:p w14:paraId="3D28825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颗粒物</w:t>
                  </w:r>
                </w:p>
              </w:tc>
              <w:tc>
                <w:tcPr>
                  <w:tcW w:w="1191" w:type="dxa"/>
                  <w:tcBorders>
                    <w:tl2br w:val="nil"/>
                    <w:tr2bl w:val="nil"/>
                  </w:tcBorders>
                  <w:vAlign w:val="center"/>
                </w:tcPr>
                <w:p w14:paraId="2BE7F449">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highlight w:val="none"/>
                    </w:rPr>
                    <w:t>10</w:t>
                  </w:r>
                  <w:r>
                    <w:rPr>
                      <w:rFonts w:hint="eastAsia" w:ascii="Times New Roman" w:hAnsi="Times New Roman" w:eastAsia="宋体" w:cs="Times New Roman"/>
                      <w:color w:val="auto"/>
                      <w:highlight w:val="none"/>
                      <w:lang w:val="en-US" w:eastAsia="zh-CN"/>
                    </w:rPr>
                    <w:t>7</w:t>
                  </w:r>
                  <w:r>
                    <w:rPr>
                      <w:rFonts w:hint="default" w:ascii="Times New Roman" w:hAnsi="Times New Roman" w:cs="Times New Roman"/>
                      <w:color w:val="auto"/>
                      <w:highlight w:val="none"/>
                    </w:rPr>
                    <w:t>°</w:t>
                  </w:r>
                  <w:r>
                    <w:rPr>
                      <w:rFonts w:hint="eastAsia" w:ascii="Times New Roman" w:hAnsi="Times New Roman" w:eastAsia="宋体" w:cs="Times New Roman"/>
                      <w:color w:val="auto"/>
                      <w:highlight w:val="none"/>
                      <w:lang w:val="en-US" w:eastAsia="zh-CN"/>
                    </w:rPr>
                    <w:t>15</w:t>
                  </w:r>
                  <w:r>
                    <w:rPr>
                      <w:rFonts w:hint="default" w:ascii="Times New Roman" w:hAnsi="Times New Roman" w:cs="Times New Roman"/>
                      <w:color w:val="auto"/>
                      <w:highlight w:val="none"/>
                    </w:rPr>
                    <w:t>ʹ</w:t>
                  </w:r>
                  <w:r>
                    <w:rPr>
                      <w:rFonts w:hint="eastAsia" w:ascii="Times New Roman" w:hAnsi="Times New Roman" w:eastAsia="宋体" w:cs="Times New Roman"/>
                      <w:color w:val="auto"/>
                      <w:highlight w:val="none"/>
                      <w:lang w:val="en-US" w:eastAsia="zh-CN"/>
                    </w:rPr>
                    <w:t>53.855</w:t>
                  </w:r>
                  <w:r>
                    <w:rPr>
                      <w:rFonts w:hint="default" w:ascii="Times New Roman" w:hAnsi="Times New Roman" w:cs="Times New Roman"/>
                      <w:color w:val="auto"/>
                      <w:highlight w:val="none"/>
                    </w:rPr>
                    <w:t>ʺ</w:t>
                  </w:r>
                </w:p>
              </w:tc>
              <w:tc>
                <w:tcPr>
                  <w:tcW w:w="982" w:type="dxa"/>
                  <w:tcBorders>
                    <w:tl2br w:val="nil"/>
                    <w:tr2bl w:val="nil"/>
                  </w:tcBorders>
                  <w:vAlign w:val="center"/>
                </w:tcPr>
                <w:p w14:paraId="144CE8C8">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highlight w:val="none"/>
                    </w:rPr>
                    <w:t>29°</w:t>
                  </w:r>
                  <w:r>
                    <w:rPr>
                      <w:rFonts w:hint="eastAsia" w:ascii="Times New Roman" w:hAnsi="Times New Roman" w:eastAsia="宋体" w:cs="Times New Roman"/>
                      <w:color w:val="auto"/>
                      <w:highlight w:val="none"/>
                      <w:lang w:val="en-US" w:eastAsia="zh-CN"/>
                    </w:rPr>
                    <w:t>42</w:t>
                  </w:r>
                  <w:r>
                    <w:rPr>
                      <w:rFonts w:hint="default" w:ascii="Times New Roman" w:hAnsi="Times New Roman" w:cs="Times New Roman"/>
                      <w:color w:val="auto"/>
                      <w:highlight w:val="none"/>
                    </w:rPr>
                    <w:t>ʹ</w:t>
                  </w:r>
                  <w:r>
                    <w:rPr>
                      <w:rFonts w:hint="eastAsia" w:ascii="Times New Roman" w:hAnsi="Times New Roman" w:eastAsia="宋体" w:cs="Times New Roman"/>
                      <w:color w:val="auto"/>
                      <w:highlight w:val="none"/>
                      <w:lang w:val="en-US" w:eastAsia="zh-CN"/>
                    </w:rPr>
                    <w:t>6.673</w:t>
                  </w:r>
                  <w:r>
                    <w:rPr>
                      <w:rFonts w:hint="default" w:ascii="Times New Roman" w:hAnsi="Times New Roman" w:cs="Times New Roman"/>
                      <w:color w:val="auto"/>
                      <w:highlight w:val="none"/>
                    </w:rPr>
                    <w:t>ʺ</w:t>
                  </w:r>
                </w:p>
              </w:tc>
              <w:tc>
                <w:tcPr>
                  <w:tcW w:w="671" w:type="pct"/>
                  <w:tcBorders>
                    <w:tl2br w:val="nil"/>
                    <w:tr2bl w:val="nil"/>
                  </w:tcBorders>
                  <w:vAlign w:val="center"/>
                </w:tcPr>
                <w:p w14:paraId="7D2C526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p>
              </w:tc>
              <w:tc>
                <w:tcPr>
                  <w:tcW w:w="546" w:type="pct"/>
                  <w:tcBorders>
                    <w:tl2br w:val="nil"/>
                    <w:tr2bl w:val="nil"/>
                  </w:tcBorders>
                  <w:vAlign w:val="center"/>
                </w:tcPr>
                <w:p w14:paraId="51B8C18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p>
              </w:tc>
              <w:tc>
                <w:tcPr>
                  <w:tcW w:w="580" w:type="pct"/>
                  <w:tcBorders>
                    <w:tl2br w:val="nil"/>
                    <w:tr2bl w:val="nil"/>
                  </w:tcBorders>
                  <w:vAlign w:val="center"/>
                </w:tcPr>
                <w:p w14:paraId="55428CD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25</w:t>
                  </w:r>
                </w:p>
              </w:tc>
            </w:tr>
          </w:tbl>
          <w:p w14:paraId="7F8E37DF">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4.2-3</w:t>
            </w:r>
            <w:r>
              <w:rPr>
                <w:rFonts w:hint="default" w:ascii="Times New Roman" w:hAnsi="Times New Roman" w:cs="Times New Roman"/>
                <w:color w:val="auto"/>
              </w:rPr>
              <w:t xml:space="preserve"> 废气产排情况一览表</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87"/>
              <w:gridCol w:w="857"/>
              <w:gridCol w:w="898"/>
              <w:gridCol w:w="944"/>
              <w:gridCol w:w="684"/>
              <w:gridCol w:w="1263"/>
              <w:gridCol w:w="944"/>
              <w:gridCol w:w="724"/>
            </w:tblGrid>
            <w:tr w14:paraId="5C354F1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Merge w:val="restart"/>
                  <w:tcBorders>
                    <w:tl2br w:val="nil"/>
                    <w:tr2bl w:val="nil"/>
                  </w:tcBorders>
                  <w:vAlign w:val="center"/>
                </w:tcPr>
                <w:p w14:paraId="7CD6A091">
                  <w:pPr>
                    <w:pStyle w:val="3"/>
                    <w:bidi w:val="0"/>
                    <w:rPr>
                      <w:rFonts w:hint="default" w:ascii="Times New Roman" w:hAnsi="Times New Roman" w:cs="Times New Roman"/>
                      <w:color w:val="auto"/>
                    </w:rPr>
                  </w:pPr>
                  <w:r>
                    <w:rPr>
                      <w:rFonts w:hint="default" w:ascii="Times New Roman" w:hAnsi="Times New Roman" w:cs="Times New Roman"/>
                      <w:color w:val="auto"/>
                    </w:rPr>
                    <w:t>污染源</w:t>
                  </w:r>
                </w:p>
              </w:tc>
              <w:tc>
                <w:tcPr>
                  <w:tcW w:w="555" w:type="pct"/>
                  <w:vMerge w:val="restart"/>
                  <w:tcBorders>
                    <w:tl2br w:val="nil"/>
                    <w:tr2bl w:val="nil"/>
                  </w:tcBorders>
                  <w:vAlign w:val="center"/>
                </w:tcPr>
                <w:p w14:paraId="05D879B5">
                  <w:pPr>
                    <w:pStyle w:val="3"/>
                    <w:bidi w:val="0"/>
                    <w:rPr>
                      <w:rFonts w:hint="default" w:ascii="Times New Roman" w:hAnsi="Times New Roman" w:cs="Times New Roman"/>
                      <w:color w:val="auto"/>
                    </w:rPr>
                  </w:pPr>
                  <w:r>
                    <w:rPr>
                      <w:rFonts w:hint="default" w:ascii="Times New Roman" w:hAnsi="Times New Roman" w:cs="Times New Roman"/>
                      <w:color w:val="auto"/>
                    </w:rPr>
                    <w:t>污染物</w:t>
                  </w:r>
                </w:p>
              </w:tc>
              <w:tc>
                <w:tcPr>
                  <w:tcW w:w="536" w:type="pct"/>
                  <w:vMerge w:val="restart"/>
                  <w:tcBorders>
                    <w:tl2br w:val="nil"/>
                    <w:tr2bl w:val="nil"/>
                  </w:tcBorders>
                  <w:vAlign w:val="center"/>
                </w:tcPr>
                <w:p w14:paraId="3CEBA71F">
                  <w:pPr>
                    <w:pStyle w:val="3"/>
                    <w:bidi w:val="0"/>
                    <w:rPr>
                      <w:rFonts w:hint="default" w:ascii="Times New Roman" w:hAnsi="Times New Roman" w:cs="Times New Roman"/>
                      <w:color w:val="auto"/>
                    </w:rPr>
                  </w:pPr>
                  <w:r>
                    <w:rPr>
                      <w:rFonts w:hint="default" w:ascii="Times New Roman" w:hAnsi="Times New Roman" w:cs="Times New Roman"/>
                      <w:color w:val="auto"/>
                    </w:rPr>
                    <w:t>废气量m</w:t>
                  </w:r>
                  <w:r>
                    <w:rPr>
                      <w:rFonts w:hint="default" w:ascii="Times New Roman" w:hAnsi="Times New Roman" w:cs="Times New Roman"/>
                      <w:color w:val="auto"/>
                      <w:vertAlign w:val="superscript"/>
                    </w:rPr>
                    <w:t>3</w:t>
                  </w:r>
                  <w:r>
                    <w:rPr>
                      <w:rFonts w:hint="default" w:ascii="Times New Roman" w:hAnsi="Times New Roman" w:cs="Times New Roman"/>
                      <w:color w:val="auto"/>
                    </w:rPr>
                    <w:t>/h</w:t>
                  </w:r>
                </w:p>
              </w:tc>
              <w:tc>
                <w:tcPr>
                  <w:tcW w:w="562" w:type="pct"/>
                  <w:vMerge w:val="restart"/>
                  <w:tcBorders>
                    <w:tl2br w:val="nil"/>
                    <w:tr2bl w:val="nil"/>
                  </w:tcBorders>
                  <w:vAlign w:val="center"/>
                </w:tcPr>
                <w:p w14:paraId="7722ABAD">
                  <w:pPr>
                    <w:pStyle w:val="3"/>
                    <w:bidi w:val="0"/>
                    <w:rPr>
                      <w:rFonts w:hint="default" w:ascii="Times New Roman" w:hAnsi="Times New Roman" w:cs="Times New Roman"/>
                      <w:color w:val="auto"/>
                    </w:rPr>
                  </w:pPr>
                  <w:r>
                    <w:rPr>
                      <w:rFonts w:hint="default" w:ascii="Times New Roman" w:hAnsi="Times New Roman" w:cs="Times New Roman"/>
                      <w:color w:val="auto"/>
                    </w:rPr>
                    <w:t>产生</w:t>
                  </w:r>
                </w:p>
                <w:p w14:paraId="583ABA8F">
                  <w:pPr>
                    <w:pStyle w:val="3"/>
                    <w:bidi w:val="0"/>
                    <w:rPr>
                      <w:rFonts w:hint="default" w:ascii="Times New Roman" w:hAnsi="Times New Roman" w:cs="Times New Roman"/>
                      <w:color w:val="auto"/>
                    </w:rPr>
                  </w:pPr>
                  <w:r>
                    <w:rPr>
                      <w:rFonts w:hint="default" w:ascii="Times New Roman" w:hAnsi="Times New Roman" w:cs="Times New Roman"/>
                      <w:color w:val="auto"/>
                    </w:rPr>
                    <w:t>浓度mg/m</w:t>
                  </w:r>
                  <w:r>
                    <w:rPr>
                      <w:rFonts w:hint="default" w:ascii="Times New Roman" w:hAnsi="Times New Roman" w:cs="Times New Roman"/>
                      <w:color w:val="auto"/>
                      <w:vertAlign w:val="superscript"/>
                    </w:rPr>
                    <w:t>3</w:t>
                  </w:r>
                </w:p>
              </w:tc>
              <w:tc>
                <w:tcPr>
                  <w:tcW w:w="1019" w:type="pct"/>
                  <w:gridSpan w:val="2"/>
                  <w:vMerge w:val="restart"/>
                  <w:tcBorders>
                    <w:tl2br w:val="nil"/>
                    <w:tr2bl w:val="nil"/>
                  </w:tcBorders>
                  <w:vAlign w:val="center"/>
                </w:tcPr>
                <w:p w14:paraId="68A72788">
                  <w:pPr>
                    <w:pStyle w:val="3"/>
                    <w:bidi w:val="0"/>
                    <w:rPr>
                      <w:rFonts w:hint="default" w:ascii="Times New Roman" w:hAnsi="Times New Roman" w:cs="Times New Roman"/>
                      <w:color w:val="auto"/>
                    </w:rPr>
                  </w:pPr>
                  <w:r>
                    <w:rPr>
                      <w:rFonts w:hint="default" w:ascii="Times New Roman" w:hAnsi="Times New Roman" w:cs="Times New Roman"/>
                      <w:color w:val="auto"/>
                    </w:rPr>
                    <w:t>产生量</w:t>
                  </w:r>
                </w:p>
              </w:tc>
              <w:tc>
                <w:tcPr>
                  <w:tcW w:w="790" w:type="pct"/>
                  <w:vMerge w:val="restart"/>
                  <w:tcBorders>
                    <w:tl2br w:val="nil"/>
                    <w:tr2bl w:val="nil"/>
                  </w:tcBorders>
                  <w:vAlign w:val="center"/>
                </w:tcPr>
                <w:p w14:paraId="7C315B49">
                  <w:pPr>
                    <w:pStyle w:val="3"/>
                    <w:bidi w:val="0"/>
                    <w:rPr>
                      <w:rFonts w:hint="default" w:ascii="Times New Roman" w:hAnsi="Times New Roman" w:cs="Times New Roman"/>
                      <w:color w:val="auto"/>
                    </w:rPr>
                  </w:pPr>
                  <w:r>
                    <w:rPr>
                      <w:rFonts w:hint="default" w:ascii="Times New Roman" w:hAnsi="Times New Roman" w:cs="Times New Roman"/>
                      <w:color w:val="auto"/>
                    </w:rPr>
                    <w:t>排放浓度mg/m</w:t>
                  </w:r>
                  <w:r>
                    <w:rPr>
                      <w:rFonts w:hint="default" w:ascii="Times New Roman" w:hAnsi="Times New Roman" w:cs="Times New Roman"/>
                      <w:color w:val="auto"/>
                      <w:vertAlign w:val="superscript"/>
                    </w:rPr>
                    <w:t>3</w:t>
                  </w:r>
                </w:p>
              </w:tc>
              <w:tc>
                <w:tcPr>
                  <w:tcW w:w="1042" w:type="pct"/>
                  <w:gridSpan w:val="2"/>
                  <w:vMerge w:val="restart"/>
                  <w:tcBorders>
                    <w:tl2br w:val="nil"/>
                    <w:tr2bl w:val="nil"/>
                  </w:tcBorders>
                  <w:vAlign w:val="center"/>
                </w:tcPr>
                <w:p w14:paraId="40AA5E4E">
                  <w:pPr>
                    <w:pStyle w:val="3"/>
                    <w:bidi w:val="0"/>
                    <w:rPr>
                      <w:rFonts w:hint="default" w:ascii="Times New Roman" w:hAnsi="Times New Roman" w:cs="Times New Roman"/>
                      <w:color w:val="auto"/>
                    </w:rPr>
                  </w:pPr>
                  <w:r>
                    <w:rPr>
                      <w:rFonts w:hint="default" w:ascii="Times New Roman" w:hAnsi="Times New Roman" w:cs="Times New Roman"/>
                      <w:color w:val="auto"/>
                    </w:rPr>
                    <w:t>排放量</w:t>
                  </w:r>
                </w:p>
              </w:tc>
            </w:tr>
            <w:tr w14:paraId="3AF6C2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Merge w:val="continue"/>
                  <w:tcBorders>
                    <w:tl2br w:val="nil"/>
                    <w:tr2bl w:val="nil"/>
                  </w:tcBorders>
                  <w:vAlign w:val="center"/>
                </w:tcPr>
                <w:p w14:paraId="139C9D58">
                  <w:pPr>
                    <w:pStyle w:val="3"/>
                    <w:bidi w:val="0"/>
                    <w:rPr>
                      <w:rFonts w:hint="default" w:ascii="Times New Roman" w:hAnsi="Times New Roman" w:cs="Times New Roman"/>
                      <w:color w:val="auto"/>
                    </w:rPr>
                  </w:pPr>
                </w:p>
              </w:tc>
              <w:tc>
                <w:tcPr>
                  <w:tcW w:w="555" w:type="pct"/>
                  <w:vMerge w:val="continue"/>
                  <w:tcBorders>
                    <w:tl2br w:val="nil"/>
                    <w:tr2bl w:val="nil"/>
                  </w:tcBorders>
                  <w:vAlign w:val="center"/>
                </w:tcPr>
                <w:p w14:paraId="6174A49C">
                  <w:pPr>
                    <w:pStyle w:val="3"/>
                    <w:bidi w:val="0"/>
                    <w:rPr>
                      <w:rFonts w:hint="default" w:ascii="Times New Roman" w:hAnsi="Times New Roman" w:cs="Times New Roman"/>
                      <w:color w:val="auto"/>
                    </w:rPr>
                  </w:pPr>
                </w:p>
              </w:tc>
              <w:tc>
                <w:tcPr>
                  <w:tcW w:w="536" w:type="pct"/>
                  <w:vMerge w:val="continue"/>
                  <w:tcBorders>
                    <w:tl2br w:val="nil"/>
                    <w:tr2bl w:val="nil"/>
                  </w:tcBorders>
                  <w:vAlign w:val="center"/>
                </w:tcPr>
                <w:p w14:paraId="28EEC215">
                  <w:pPr>
                    <w:pStyle w:val="3"/>
                    <w:bidi w:val="0"/>
                    <w:rPr>
                      <w:rFonts w:hint="default" w:ascii="Times New Roman" w:hAnsi="Times New Roman" w:cs="Times New Roman"/>
                      <w:color w:val="auto"/>
                    </w:rPr>
                  </w:pPr>
                </w:p>
              </w:tc>
              <w:tc>
                <w:tcPr>
                  <w:tcW w:w="562" w:type="pct"/>
                  <w:vMerge w:val="continue"/>
                  <w:tcBorders>
                    <w:tl2br w:val="nil"/>
                    <w:tr2bl w:val="nil"/>
                  </w:tcBorders>
                  <w:vAlign w:val="center"/>
                </w:tcPr>
                <w:p w14:paraId="7DD4F944">
                  <w:pPr>
                    <w:pStyle w:val="3"/>
                    <w:bidi w:val="0"/>
                    <w:rPr>
                      <w:rFonts w:hint="default" w:ascii="Times New Roman" w:hAnsi="Times New Roman" w:cs="Times New Roman"/>
                      <w:color w:val="auto"/>
                    </w:rPr>
                  </w:pPr>
                </w:p>
              </w:tc>
              <w:tc>
                <w:tcPr>
                  <w:tcW w:w="1019" w:type="pct"/>
                  <w:gridSpan w:val="2"/>
                  <w:vMerge w:val="continue"/>
                  <w:tcBorders>
                    <w:tl2br w:val="nil"/>
                    <w:tr2bl w:val="nil"/>
                  </w:tcBorders>
                  <w:vAlign w:val="center"/>
                </w:tcPr>
                <w:p w14:paraId="7B013239">
                  <w:pPr>
                    <w:pStyle w:val="3"/>
                    <w:bidi w:val="0"/>
                    <w:rPr>
                      <w:rFonts w:hint="default" w:ascii="Times New Roman" w:hAnsi="Times New Roman" w:cs="Times New Roman"/>
                      <w:color w:val="auto"/>
                    </w:rPr>
                  </w:pPr>
                </w:p>
              </w:tc>
              <w:tc>
                <w:tcPr>
                  <w:tcW w:w="790" w:type="pct"/>
                  <w:vMerge w:val="continue"/>
                  <w:tcBorders>
                    <w:tl2br w:val="nil"/>
                    <w:tr2bl w:val="nil"/>
                  </w:tcBorders>
                  <w:vAlign w:val="center"/>
                </w:tcPr>
                <w:p w14:paraId="3DE1A8D1">
                  <w:pPr>
                    <w:pStyle w:val="3"/>
                    <w:bidi w:val="0"/>
                    <w:rPr>
                      <w:rFonts w:hint="default" w:ascii="Times New Roman" w:hAnsi="Times New Roman" w:cs="Times New Roman"/>
                      <w:color w:val="auto"/>
                    </w:rPr>
                  </w:pPr>
                </w:p>
              </w:tc>
              <w:tc>
                <w:tcPr>
                  <w:tcW w:w="1042" w:type="pct"/>
                  <w:gridSpan w:val="2"/>
                  <w:vMerge w:val="continue"/>
                  <w:tcBorders>
                    <w:tl2br w:val="nil"/>
                    <w:tr2bl w:val="nil"/>
                  </w:tcBorders>
                  <w:vAlign w:val="center"/>
                </w:tcPr>
                <w:p w14:paraId="06D56B0D">
                  <w:pPr>
                    <w:pStyle w:val="3"/>
                    <w:bidi w:val="0"/>
                    <w:rPr>
                      <w:rFonts w:hint="default" w:ascii="Times New Roman" w:hAnsi="Times New Roman" w:cs="Times New Roman"/>
                      <w:color w:val="auto"/>
                    </w:rPr>
                  </w:pPr>
                </w:p>
              </w:tc>
            </w:tr>
            <w:tr w14:paraId="10D169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vMerge w:val="continue"/>
                  <w:tcBorders>
                    <w:tl2br w:val="nil"/>
                    <w:tr2bl w:val="nil"/>
                  </w:tcBorders>
                  <w:vAlign w:val="center"/>
                </w:tcPr>
                <w:p w14:paraId="152758F1">
                  <w:pPr>
                    <w:pStyle w:val="3"/>
                    <w:bidi w:val="0"/>
                    <w:rPr>
                      <w:rFonts w:hint="default" w:ascii="Times New Roman" w:hAnsi="Times New Roman" w:cs="Times New Roman"/>
                      <w:color w:val="auto"/>
                    </w:rPr>
                  </w:pPr>
                </w:p>
              </w:tc>
              <w:tc>
                <w:tcPr>
                  <w:tcW w:w="555" w:type="pct"/>
                  <w:vMerge w:val="continue"/>
                  <w:tcBorders>
                    <w:tl2br w:val="nil"/>
                    <w:tr2bl w:val="nil"/>
                  </w:tcBorders>
                  <w:vAlign w:val="center"/>
                </w:tcPr>
                <w:p w14:paraId="0868E200">
                  <w:pPr>
                    <w:pStyle w:val="3"/>
                    <w:bidi w:val="0"/>
                    <w:rPr>
                      <w:rFonts w:hint="default" w:ascii="Times New Roman" w:hAnsi="Times New Roman" w:cs="Times New Roman"/>
                      <w:color w:val="auto"/>
                    </w:rPr>
                  </w:pPr>
                </w:p>
              </w:tc>
              <w:tc>
                <w:tcPr>
                  <w:tcW w:w="536" w:type="pct"/>
                  <w:vMerge w:val="continue"/>
                  <w:tcBorders>
                    <w:tl2br w:val="nil"/>
                    <w:tr2bl w:val="nil"/>
                  </w:tcBorders>
                  <w:vAlign w:val="center"/>
                </w:tcPr>
                <w:p w14:paraId="37D0A72C">
                  <w:pPr>
                    <w:pStyle w:val="3"/>
                    <w:bidi w:val="0"/>
                    <w:rPr>
                      <w:rFonts w:hint="default" w:ascii="Times New Roman" w:hAnsi="Times New Roman" w:cs="Times New Roman"/>
                      <w:color w:val="auto"/>
                    </w:rPr>
                  </w:pPr>
                </w:p>
              </w:tc>
              <w:tc>
                <w:tcPr>
                  <w:tcW w:w="562" w:type="pct"/>
                  <w:vMerge w:val="continue"/>
                  <w:tcBorders>
                    <w:tl2br w:val="nil"/>
                    <w:tr2bl w:val="nil"/>
                  </w:tcBorders>
                  <w:vAlign w:val="center"/>
                </w:tcPr>
                <w:p w14:paraId="17867230">
                  <w:pPr>
                    <w:pStyle w:val="3"/>
                    <w:bidi w:val="0"/>
                    <w:rPr>
                      <w:rFonts w:hint="default" w:ascii="Times New Roman" w:hAnsi="Times New Roman" w:cs="Times New Roman"/>
                      <w:color w:val="auto"/>
                    </w:rPr>
                  </w:pPr>
                </w:p>
              </w:tc>
              <w:tc>
                <w:tcPr>
                  <w:tcW w:w="591" w:type="pct"/>
                  <w:tcBorders>
                    <w:tl2br w:val="nil"/>
                    <w:tr2bl w:val="nil"/>
                  </w:tcBorders>
                  <w:vAlign w:val="center"/>
                </w:tcPr>
                <w:p w14:paraId="475CDECE">
                  <w:pPr>
                    <w:pStyle w:val="3"/>
                    <w:bidi w:val="0"/>
                    <w:rPr>
                      <w:rFonts w:hint="default" w:ascii="Times New Roman" w:hAnsi="Times New Roman" w:cs="Times New Roman"/>
                      <w:color w:val="auto"/>
                    </w:rPr>
                  </w:pPr>
                  <w:r>
                    <w:rPr>
                      <w:rFonts w:hint="default" w:ascii="Times New Roman" w:hAnsi="Times New Roman" w:cs="Times New Roman"/>
                      <w:color w:val="auto"/>
                    </w:rPr>
                    <w:t>kg/h</w:t>
                  </w:r>
                </w:p>
              </w:tc>
              <w:tc>
                <w:tcPr>
                  <w:tcW w:w="428" w:type="pct"/>
                  <w:tcBorders>
                    <w:tl2br w:val="nil"/>
                    <w:tr2bl w:val="nil"/>
                  </w:tcBorders>
                  <w:vAlign w:val="center"/>
                </w:tcPr>
                <w:p w14:paraId="06701A80">
                  <w:pPr>
                    <w:pStyle w:val="3"/>
                    <w:bidi w:val="0"/>
                    <w:rPr>
                      <w:rFonts w:hint="default" w:ascii="Times New Roman" w:hAnsi="Times New Roman" w:cs="Times New Roman"/>
                      <w:color w:val="auto"/>
                    </w:rPr>
                  </w:pPr>
                  <w:r>
                    <w:rPr>
                      <w:rFonts w:hint="default" w:ascii="Times New Roman" w:hAnsi="Times New Roman" w:cs="Times New Roman"/>
                      <w:color w:val="auto"/>
                    </w:rPr>
                    <w:t>t/a</w:t>
                  </w:r>
                </w:p>
              </w:tc>
              <w:tc>
                <w:tcPr>
                  <w:tcW w:w="790" w:type="pct"/>
                  <w:vMerge w:val="continue"/>
                  <w:tcBorders>
                    <w:tl2br w:val="nil"/>
                    <w:tr2bl w:val="nil"/>
                  </w:tcBorders>
                  <w:vAlign w:val="center"/>
                </w:tcPr>
                <w:p w14:paraId="70197B6D">
                  <w:pPr>
                    <w:pStyle w:val="3"/>
                    <w:bidi w:val="0"/>
                    <w:rPr>
                      <w:rFonts w:hint="default" w:ascii="Times New Roman" w:hAnsi="Times New Roman" w:cs="Times New Roman"/>
                      <w:color w:val="auto"/>
                    </w:rPr>
                  </w:pPr>
                </w:p>
              </w:tc>
              <w:tc>
                <w:tcPr>
                  <w:tcW w:w="591" w:type="pct"/>
                  <w:tcBorders>
                    <w:tl2br w:val="nil"/>
                    <w:tr2bl w:val="nil"/>
                  </w:tcBorders>
                  <w:vAlign w:val="center"/>
                </w:tcPr>
                <w:p w14:paraId="5139AA72">
                  <w:pPr>
                    <w:pStyle w:val="3"/>
                    <w:bidi w:val="0"/>
                    <w:rPr>
                      <w:rFonts w:hint="default" w:ascii="Times New Roman" w:hAnsi="Times New Roman" w:cs="Times New Roman"/>
                      <w:color w:val="auto"/>
                    </w:rPr>
                  </w:pPr>
                  <w:r>
                    <w:rPr>
                      <w:rFonts w:hint="default" w:ascii="Times New Roman" w:hAnsi="Times New Roman" w:cs="Times New Roman"/>
                      <w:color w:val="auto"/>
                    </w:rPr>
                    <w:t>kg/h</w:t>
                  </w:r>
                </w:p>
              </w:tc>
              <w:tc>
                <w:tcPr>
                  <w:tcW w:w="451" w:type="pct"/>
                  <w:tcBorders>
                    <w:tl2br w:val="nil"/>
                    <w:tr2bl w:val="nil"/>
                  </w:tcBorders>
                  <w:vAlign w:val="center"/>
                </w:tcPr>
                <w:p w14:paraId="2B3D77C7">
                  <w:pPr>
                    <w:pStyle w:val="3"/>
                    <w:bidi w:val="0"/>
                    <w:rPr>
                      <w:rFonts w:hint="default" w:ascii="Times New Roman" w:hAnsi="Times New Roman" w:cs="Times New Roman"/>
                      <w:color w:val="auto"/>
                    </w:rPr>
                  </w:pPr>
                  <w:r>
                    <w:rPr>
                      <w:rFonts w:hint="default" w:ascii="Times New Roman" w:hAnsi="Times New Roman" w:cs="Times New Roman"/>
                      <w:color w:val="auto"/>
                    </w:rPr>
                    <w:t>t/a</w:t>
                  </w:r>
                </w:p>
              </w:tc>
            </w:tr>
            <w:tr w14:paraId="10CF74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Borders>
                    <w:tl2br w:val="nil"/>
                    <w:tr2bl w:val="nil"/>
                  </w:tcBorders>
                  <w:vAlign w:val="center"/>
                </w:tcPr>
                <w:p w14:paraId="21912D1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有组织排放</w:t>
                  </w:r>
                </w:p>
              </w:tc>
            </w:tr>
            <w:tr w14:paraId="62360C0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tcBorders>
                    <w:tl2br w:val="nil"/>
                    <w:tr2bl w:val="nil"/>
                  </w:tcBorders>
                  <w:vAlign w:val="center"/>
                </w:tcPr>
                <w:p w14:paraId="0B93517C">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DA022</w:t>
                  </w:r>
                </w:p>
              </w:tc>
              <w:tc>
                <w:tcPr>
                  <w:tcW w:w="555" w:type="pct"/>
                  <w:tcBorders>
                    <w:tl2br w:val="nil"/>
                    <w:tr2bl w:val="nil"/>
                  </w:tcBorders>
                  <w:vAlign w:val="center"/>
                </w:tcPr>
                <w:p w14:paraId="75892651">
                  <w:pPr>
                    <w:pStyle w:val="3"/>
                    <w:bidi w:val="0"/>
                    <w:rPr>
                      <w:rFonts w:hint="default" w:ascii="Times New Roman" w:hAnsi="Times New Roman" w:cs="Times New Roman"/>
                      <w:color w:val="auto"/>
                    </w:rPr>
                  </w:pPr>
                  <w:r>
                    <w:rPr>
                      <w:rFonts w:hint="default" w:ascii="Times New Roman" w:hAnsi="Times New Roman" w:cs="Times New Roman"/>
                      <w:color w:val="auto"/>
                    </w:rPr>
                    <w:t>颗粒物</w:t>
                  </w:r>
                </w:p>
              </w:tc>
              <w:tc>
                <w:tcPr>
                  <w:tcW w:w="536" w:type="pct"/>
                  <w:tcBorders>
                    <w:tl2br w:val="nil"/>
                    <w:tr2bl w:val="nil"/>
                  </w:tcBorders>
                  <w:vAlign w:val="center"/>
                </w:tcPr>
                <w:p w14:paraId="68828491">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20000</w:t>
                  </w:r>
                </w:p>
              </w:tc>
              <w:tc>
                <w:tcPr>
                  <w:tcW w:w="562" w:type="pct"/>
                  <w:tcBorders>
                    <w:tl2br w:val="nil"/>
                    <w:tr2bl w:val="nil"/>
                  </w:tcBorders>
                  <w:vAlign w:val="center"/>
                </w:tcPr>
                <w:p w14:paraId="19B817D1">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82.359</w:t>
                  </w:r>
                </w:p>
              </w:tc>
              <w:tc>
                <w:tcPr>
                  <w:tcW w:w="944" w:type="dxa"/>
                  <w:tcBorders>
                    <w:tl2br w:val="nil"/>
                    <w:tr2bl w:val="nil"/>
                  </w:tcBorders>
                  <w:vAlign w:val="center"/>
                </w:tcPr>
                <w:p w14:paraId="3471A317">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1.647 </w:t>
                  </w:r>
                </w:p>
              </w:tc>
              <w:tc>
                <w:tcPr>
                  <w:tcW w:w="684" w:type="dxa"/>
                  <w:tcBorders>
                    <w:tl2br w:val="nil"/>
                    <w:tr2bl w:val="nil"/>
                  </w:tcBorders>
                  <w:vAlign w:val="center"/>
                </w:tcPr>
                <w:p w14:paraId="6D7B312E">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11.860 </w:t>
                  </w:r>
                </w:p>
              </w:tc>
              <w:tc>
                <w:tcPr>
                  <w:tcW w:w="790" w:type="pct"/>
                  <w:tcBorders>
                    <w:tl2br w:val="nil"/>
                    <w:tr2bl w:val="nil"/>
                  </w:tcBorders>
                  <w:vAlign w:val="center"/>
                </w:tcPr>
                <w:p w14:paraId="458A4E6D">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4.118</w:t>
                  </w:r>
                </w:p>
              </w:tc>
              <w:tc>
                <w:tcPr>
                  <w:tcW w:w="944" w:type="dxa"/>
                  <w:tcBorders>
                    <w:tl2br w:val="nil"/>
                    <w:tr2bl w:val="nil"/>
                  </w:tcBorders>
                  <w:vAlign w:val="center"/>
                </w:tcPr>
                <w:p w14:paraId="1D3A673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0.082 </w:t>
                  </w:r>
                </w:p>
              </w:tc>
              <w:tc>
                <w:tcPr>
                  <w:tcW w:w="724" w:type="dxa"/>
                  <w:tcBorders>
                    <w:tl2br w:val="nil"/>
                    <w:tr2bl w:val="nil"/>
                  </w:tcBorders>
                  <w:vAlign w:val="center"/>
                </w:tcPr>
                <w:p w14:paraId="116C71A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0.593 </w:t>
                  </w:r>
                </w:p>
              </w:tc>
            </w:tr>
            <w:tr w14:paraId="07A9178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tcBorders>
                    <w:tl2br w:val="nil"/>
                    <w:tr2bl w:val="nil"/>
                  </w:tcBorders>
                  <w:vAlign w:val="center"/>
                </w:tcPr>
                <w:p w14:paraId="756FB416">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DA023</w:t>
                  </w:r>
                </w:p>
              </w:tc>
              <w:tc>
                <w:tcPr>
                  <w:tcW w:w="555" w:type="pct"/>
                  <w:tcBorders>
                    <w:tl2br w:val="nil"/>
                    <w:tr2bl w:val="nil"/>
                  </w:tcBorders>
                  <w:vAlign w:val="center"/>
                </w:tcPr>
                <w:p w14:paraId="02B103EC">
                  <w:pPr>
                    <w:pStyle w:val="3"/>
                    <w:bidi w:val="0"/>
                    <w:rPr>
                      <w:rFonts w:hint="default" w:ascii="Times New Roman" w:hAnsi="Times New Roman" w:cs="Times New Roman"/>
                      <w:color w:val="auto"/>
                    </w:rPr>
                  </w:pPr>
                  <w:r>
                    <w:rPr>
                      <w:rFonts w:hint="default" w:ascii="Times New Roman" w:hAnsi="Times New Roman" w:cs="Times New Roman"/>
                      <w:color w:val="auto"/>
                    </w:rPr>
                    <w:t>颗粒物</w:t>
                  </w:r>
                </w:p>
              </w:tc>
              <w:tc>
                <w:tcPr>
                  <w:tcW w:w="536" w:type="pct"/>
                  <w:tcBorders>
                    <w:tl2br w:val="nil"/>
                    <w:tr2bl w:val="nil"/>
                  </w:tcBorders>
                  <w:vAlign w:val="center"/>
                </w:tcPr>
                <w:p w14:paraId="6D75D8EC">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80</w:t>
                  </w:r>
                  <w:r>
                    <w:rPr>
                      <w:rFonts w:hint="default" w:ascii="Times New Roman" w:hAnsi="Times New Roman" w:cs="Times New Roman"/>
                      <w:color w:val="auto"/>
                      <w:highlight w:val="none"/>
                      <w:lang w:val="en-US" w:eastAsia="zh-CN"/>
                    </w:rPr>
                    <w:t>000</w:t>
                  </w:r>
                </w:p>
              </w:tc>
              <w:tc>
                <w:tcPr>
                  <w:tcW w:w="562" w:type="pct"/>
                  <w:tcBorders>
                    <w:tl2br w:val="nil"/>
                    <w:tr2bl w:val="nil"/>
                  </w:tcBorders>
                  <w:vAlign w:val="center"/>
                </w:tcPr>
                <w:p w14:paraId="1F8DCCFE">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41.133</w:t>
                  </w:r>
                </w:p>
              </w:tc>
              <w:tc>
                <w:tcPr>
                  <w:tcW w:w="944" w:type="dxa"/>
                  <w:tcBorders>
                    <w:tl2br w:val="nil"/>
                    <w:tr2bl w:val="nil"/>
                  </w:tcBorders>
                  <w:vAlign w:val="center"/>
                </w:tcPr>
                <w:p w14:paraId="5C2220D7">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3.291 </w:t>
                  </w:r>
                </w:p>
              </w:tc>
              <w:tc>
                <w:tcPr>
                  <w:tcW w:w="684" w:type="dxa"/>
                  <w:tcBorders>
                    <w:tl2br w:val="nil"/>
                    <w:tr2bl w:val="nil"/>
                  </w:tcBorders>
                  <w:vAlign w:val="center"/>
                </w:tcPr>
                <w:p w14:paraId="4D2305FF">
                  <w:pPr>
                    <w:pStyle w:val="3"/>
                    <w:bidi w:val="0"/>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23.693 </w:t>
                  </w:r>
                </w:p>
              </w:tc>
              <w:tc>
                <w:tcPr>
                  <w:tcW w:w="790" w:type="pct"/>
                  <w:tcBorders>
                    <w:tl2br w:val="nil"/>
                    <w:tr2bl w:val="nil"/>
                  </w:tcBorders>
                  <w:vAlign w:val="center"/>
                </w:tcPr>
                <w:p w14:paraId="7EB3F615">
                  <w:pPr>
                    <w:pStyle w:val="3"/>
                    <w:bidi w:val="0"/>
                    <w:rPr>
                      <w:rFonts w:hint="default" w:ascii="Times New Roman" w:hAnsi="Times New Roman" w:cs="Times New Roman"/>
                      <w:color w:val="auto"/>
                      <w:highlight w:val="none"/>
                      <w:lang w:val="en-US" w:eastAsia="zh-CN"/>
                    </w:rPr>
                  </w:pPr>
                  <w:r>
                    <w:rPr>
                      <w:rFonts w:hint="eastAsia" w:ascii="Times New Roman" w:hAnsi="Times New Roman" w:cs="Times New Roman"/>
                      <w:color w:val="auto"/>
                      <w:highlight w:val="none"/>
                      <w:lang w:val="en-US" w:eastAsia="zh-CN"/>
                    </w:rPr>
                    <w:t>2.057</w:t>
                  </w:r>
                </w:p>
              </w:tc>
              <w:tc>
                <w:tcPr>
                  <w:tcW w:w="944" w:type="dxa"/>
                  <w:tcBorders>
                    <w:tl2br w:val="nil"/>
                    <w:tr2bl w:val="nil"/>
                  </w:tcBorders>
                  <w:vAlign w:val="center"/>
                </w:tcPr>
                <w:p w14:paraId="02D85E7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0.165 </w:t>
                  </w:r>
                </w:p>
              </w:tc>
              <w:tc>
                <w:tcPr>
                  <w:tcW w:w="724" w:type="dxa"/>
                  <w:tcBorders>
                    <w:tl2br w:val="nil"/>
                    <w:tr2bl w:val="nil"/>
                  </w:tcBorders>
                  <w:vAlign w:val="center"/>
                </w:tcPr>
                <w:p w14:paraId="7112BEF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1.185 </w:t>
                  </w:r>
                </w:p>
              </w:tc>
            </w:tr>
            <w:tr w14:paraId="638E82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9"/>
                  <w:tcBorders>
                    <w:tl2br w:val="nil"/>
                    <w:tr2bl w:val="nil"/>
                  </w:tcBorders>
                  <w:vAlign w:val="center"/>
                </w:tcPr>
                <w:p w14:paraId="2F763E0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无组织排放</w:t>
                  </w:r>
                </w:p>
              </w:tc>
            </w:tr>
            <w:tr w14:paraId="00D624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94" w:type="pct"/>
                  <w:tcBorders>
                    <w:tl2br w:val="nil"/>
                    <w:tr2bl w:val="nil"/>
                  </w:tcBorders>
                  <w:vAlign w:val="center"/>
                </w:tcPr>
                <w:p w14:paraId="76F9A3F5">
                  <w:pPr>
                    <w:pStyle w:val="3"/>
                    <w:bidi w:val="0"/>
                    <w:rPr>
                      <w:rFonts w:hint="default" w:ascii="Times New Roman" w:hAnsi="Times New Roman" w:cs="Times New Roman"/>
                      <w:color w:val="auto"/>
                    </w:rPr>
                  </w:pPr>
                  <w:r>
                    <w:rPr>
                      <w:rFonts w:hint="default" w:ascii="Times New Roman" w:hAnsi="Times New Roman" w:cs="Times New Roman"/>
                      <w:color w:val="auto"/>
                    </w:rPr>
                    <w:t>厂房</w:t>
                  </w:r>
                </w:p>
              </w:tc>
              <w:tc>
                <w:tcPr>
                  <w:tcW w:w="555" w:type="pct"/>
                  <w:tcBorders>
                    <w:tl2br w:val="nil"/>
                    <w:tr2bl w:val="nil"/>
                  </w:tcBorders>
                  <w:vAlign w:val="center"/>
                </w:tcPr>
                <w:p w14:paraId="1E69CB1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颗粒物</w:t>
                  </w:r>
                </w:p>
              </w:tc>
              <w:tc>
                <w:tcPr>
                  <w:tcW w:w="536" w:type="pct"/>
                  <w:tcBorders>
                    <w:tl2br w:val="nil"/>
                    <w:tr2bl w:val="nil"/>
                  </w:tcBorders>
                  <w:vAlign w:val="center"/>
                </w:tcPr>
                <w:p w14:paraId="394C5EDA">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562" w:type="pct"/>
                  <w:tcBorders>
                    <w:tl2br w:val="nil"/>
                    <w:tr2bl w:val="nil"/>
                  </w:tcBorders>
                  <w:vAlign w:val="center"/>
                </w:tcPr>
                <w:p w14:paraId="3247C268">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w:t>
                  </w:r>
                </w:p>
              </w:tc>
              <w:tc>
                <w:tcPr>
                  <w:tcW w:w="944" w:type="dxa"/>
                  <w:tcBorders>
                    <w:tl2br w:val="nil"/>
                    <w:tr2bl w:val="nil"/>
                  </w:tcBorders>
                  <w:vAlign w:val="center"/>
                </w:tcPr>
                <w:p w14:paraId="291F279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0.549 </w:t>
                  </w:r>
                </w:p>
              </w:tc>
              <w:tc>
                <w:tcPr>
                  <w:tcW w:w="684" w:type="dxa"/>
                  <w:tcBorders>
                    <w:tl2br w:val="nil"/>
                    <w:tr2bl w:val="nil"/>
                  </w:tcBorders>
                  <w:vAlign w:val="center"/>
                </w:tcPr>
                <w:p w14:paraId="7914CB4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3.950 </w:t>
                  </w:r>
                </w:p>
              </w:tc>
              <w:tc>
                <w:tcPr>
                  <w:tcW w:w="1263" w:type="dxa"/>
                  <w:tcBorders>
                    <w:tl2br w:val="nil"/>
                    <w:tr2bl w:val="nil"/>
                  </w:tcBorders>
                  <w:vAlign w:val="center"/>
                </w:tcPr>
                <w:p w14:paraId="6D3DA740">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rPr>
                    <w:t>/</w:t>
                  </w:r>
                </w:p>
              </w:tc>
              <w:tc>
                <w:tcPr>
                  <w:tcW w:w="944" w:type="dxa"/>
                  <w:tcBorders>
                    <w:tl2br w:val="nil"/>
                    <w:tr2bl w:val="nil"/>
                  </w:tcBorders>
                  <w:vAlign w:val="center"/>
                </w:tcPr>
                <w:p w14:paraId="295C3F6D">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lang w:val="en-US" w:eastAsia="zh-CN"/>
                    </w:rPr>
                    <w:t xml:space="preserve">0.549 </w:t>
                  </w:r>
                </w:p>
              </w:tc>
              <w:tc>
                <w:tcPr>
                  <w:tcW w:w="724" w:type="dxa"/>
                  <w:tcBorders>
                    <w:tl2br w:val="nil"/>
                    <w:tr2bl w:val="nil"/>
                  </w:tcBorders>
                  <w:vAlign w:val="center"/>
                </w:tcPr>
                <w:p w14:paraId="56493A3A">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lang w:val="en-US" w:eastAsia="zh-CN"/>
                    </w:rPr>
                    <w:t xml:space="preserve">3.950 </w:t>
                  </w:r>
                </w:p>
              </w:tc>
            </w:tr>
          </w:tbl>
          <w:p w14:paraId="2C898C27">
            <w:pPr>
              <w:pStyle w:val="23"/>
              <w:spacing w:line="360" w:lineRule="auto"/>
              <w:ind w:firstLine="480" w:firstLineChars="200"/>
              <w:rPr>
                <w:rFonts w:hint="default" w:ascii="Times New Roman" w:hAnsi="Times New Roman" w:eastAsia="等线" w:cs="Times New Roman"/>
                <w:b w:val="0"/>
                <w:bCs w:val="0"/>
                <w:color w:val="auto"/>
                <w:sz w:val="24"/>
                <w:szCs w:val="24"/>
                <w:lang w:eastAsia="zh-CN"/>
              </w:rPr>
            </w:pPr>
            <w:r>
              <w:rPr>
                <w:rFonts w:hint="default"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eastAsia="zh-CN"/>
              </w:rPr>
              <w:t>）治理措施可行性</w:t>
            </w:r>
            <w:r>
              <w:rPr>
                <w:rFonts w:hint="eastAsia" w:ascii="Times New Roman" w:cs="Times New Roman"/>
                <w:b w:val="0"/>
                <w:bCs w:val="0"/>
                <w:color w:val="auto"/>
                <w:sz w:val="24"/>
                <w:szCs w:val="24"/>
                <w:lang w:eastAsia="zh-CN"/>
              </w:rPr>
              <w:t>分析</w:t>
            </w:r>
          </w:p>
          <w:p w14:paraId="4F6E345E">
            <w:pPr>
              <w:bidi w:val="0"/>
              <w:rPr>
                <w:rFonts w:hint="default"/>
                <w:color w:val="auto"/>
                <w:lang w:val="en-US" w:eastAsia="zh-CN"/>
              </w:rPr>
            </w:pPr>
            <w:r>
              <w:rPr>
                <w:rFonts w:hint="eastAsia"/>
                <w:color w:val="auto"/>
                <w:lang w:eastAsia="zh-CN"/>
              </w:rPr>
              <w:t>颗粒物</w:t>
            </w:r>
            <w:r>
              <w:rPr>
                <w:rFonts w:hint="eastAsia"/>
                <w:color w:val="auto"/>
                <w:lang w:val="en-US" w:eastAsia="zh-CN"/>
              </w:rPr>
              <w:t>:</w:t>
            </w:r>
            <w:r>
              <w:rPr>
                <w:color w:val="auto"/>
              </w:rPr>
              <w:t>本项目</w:t>
            </w:r>
            <w:r>
              <w:rPr>
                <w:rFonts w:hint="eastAsia"/>
                <w:color w:val="auto"/>
                <w:lang w:eastAsia="zh-CN"/>
              </w:rPr>
              <w:t>大豆膨化生产线各工序产生的颗粒物经收集后采用布袋除尘器处理，最后通过风机引至</w:t>
            </w:r>
            <w:r>
              <w:rPr>
                <w:rFonts w:hint="eastAsia"/>
                <w:color w:val="auto"/>
                <w:lang w:val="en-US" w:eastAsia="zh-CN"/>
              </w:rPr>
              <w:t>20m高的排气筒排放，其工艺流程见图4.1。</w:t>
            </w:r>
          </w:p>
          <w:p w14:paraId="37699C16">
            <w:pPr>
              <w:jc w:val="center"/>
              <w:rPr>
                <w:color w:val="auto"/>
              </w:rPr>
            </w:pPr>
            <w:r>
              <w:rPr>
                <w:color w:val="auto"/>
              </w:rPr>
              <w:object>
                <v:shape id="_x0000_i1036" o:spt="75" type="#_x0000_t75" style="height:32.4pt;width:232.8pt;" o:ole="t" filled="f" o:preferrelative="t" stroked="f" coordsize="21600,21600">
                  <v:path/>
                  <v:fill on="f" focussize="0,0"/>
                  <v:stroke on="f"/>
                  <v:imagedata r:id="rId34" o:title=""/>
                  <o:lock v:ext="edit" aspectratio="f"/>
                  <w10:wrap type="none"/>
                  <w10:anchorlock/>
                </v:shape>
                <o:OLEObject Type="Embed" ProgID="Visio.Drawing.11" ShapeID="_x0000_i1036" DrawAspect="Content" ObjectID="_1468075736" r:id="rId33">
                  <o:LockedField>false</o:LockedField>
                </o:OLEObject>
              </w:object>
            </w:r>
          </w:p>
          <w:p w14:paraId="7506F209">
            <w:pPr>
              <w:keepNext w:val="0"/>
              <w:keepLines w:val="0"/>
              <w:pageBreakBefore w:val="0"/>
              <w:widowControl w:val="0"/>
              <w:tabs>
                <w:tab w:val="left" w:pos="2029"/>
              </w:tabs>
              <w:kinsoku/>
              <w:wordWrap/>
              <w:overflowPunct/>
              <w:topLinePunct w:val="0"/>
              <w:autoSpaceDE/>
              <w:autoSpaceDN/>
              <w:bidi w:val="0"/>
              <w:adjustRightInd w:val="0"/>
              <w:snapToGrid w:val="0"/>
              <w:spacing w:line="360" w:lineRule="auto"/>
              <w:ind w:left="0" w:leftChars="0" w:firstLine="0" w:firstLineChars="0"/>
              <w:jc w:val="center"/>
              <w:textAlignment w:val="auto"/>
              <w:rPr>
                <w:color w:val="auto"/>
              </w:rPr>
            </w:pPr>
            <w:r>
              <w:rPr>
                <w:rFonts w:hint="default" w:ascii="Times New Roman" w:hAnsi="Times New Roman" w:cs="Times New Roman"/>
                <w:color w:val="auto"/>
                <w:sz w:val="24"/>
                <w:szCs w:val="24"/>
                <w:lang w:val="en-US" w:eastAsia="zh-CN"/>
              </w:rPr>
              <w:t>图4.1 颗粒物治理工艺流程图</w:t>
            </w:r>
          </w:p>
          <w:p w14:paraId="09609A75">
            <w:pPr>
              <w:pStyle w:val="23"/>
              <w:spacing w:line="360" w:lineRule="auto"/>
              <w:ind w:firstLine="480" w:firstLineChars="200"/>
              <w:rPr>
                <w:rFonts w:hint="eastAsia"/>
                <w:color w:val="auto"/>
                <w:sz w:val="24"/>
                <w:szCs w:val="24"/>
              </w:rPr>
            </w:pPr>
            <w:r>
              <w:rPr>
                <w:rFonts w:hint="default" w:ascii="Times New Roman" w:hAnsi="Times New Roman" w:eastAsia="宋体" w:cs="Times New Roman"/>
                <w:color w:val="auto"/>
                <w:sz w:val="24"/>
                <w:szCs w:val="24"/>
              </w:rPr>
              <w:t>根据《排污许可证申请与核发技术规范</w:t>
            </w:r>
            <w:r>
              <w:rPr>
                <w:rFonts w:hint="default" w:ascii="Times New Roman" w:hAnsi="Times New Roman" w:eastAsia="宋体" w:cs="Times New Roman"/>
                <w:color w:val="auto"/>
                <w:sz w:val="24"/>
                <w:szCs w:val="24"/>
                <w:lang w:eastAsia="zh-CN"/>
              </w:rPr>
              <w:t>农副食品加工工业</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饲料</w:t>
            </w:r>
            <w:r>
              <w:rPr>
                <w:rFonts w:hint="default" w:ascii="Times New Roman" w:hAnsi="Times New Roman" w:eastAsia="宋体" w:cs="Times New Roman"/>
                <w:color w:val="auto"/>
                <w:sz w:val="24"/>
                <w:szCs w:val="24"/>
              </w:rPr>
              <w:t>加工</w:t>
            </w:r>
            <w:r>
              <w:rPr>
                <w:rFonts w:hint="default" w:ascii="Times New Roman" w:hAnsi="Times New Roman" w:eastAsia="宋体" w:cs="Times New Roman"/>
                <w:color w:val="auto"/>
                <w:sz w:val="24"/>
                <w:szCs w:val="24"/>
                <w:lang w:eastAsia="zh-CN"/>
              </w:rPr>
              <w:t>、植物油加工</w:t>
            </w:r>
            <w:r>
              <w:rPr>
                <w:rFonts w:hint="default" w:ascii="Times New Roman" w:hAnsi="Times New Roman" w:eastAsia="宋体" w:cs="Times New Roman"/>
                <w:color w:val="auto"/>
                <w:sz w:val="24"/>
                <w:szCs w:val="24"/>
              </w:rPr>
              <w:t>工业》（HJ1</w:t>
            </w:r>
            <w:r>
              <w:rPr>
                <w:rFonts w:hint="default" w:ascii="Times New Roman" w:hAnsi="Times New Roman" w:eastAsia="宋体" w:cs="Times New Roman"/>
                <w:color w:val="auto"/>
                <w:sz w:val="24"/>
                <w:szCs w:val="24"/>
                <w:lang w:val="en-US" w:eastAsia="zh-CN"/>
              </w:rPr>
              <w:t>110</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附录</w:t>
            </w:r>
            <w:r>
              <w:rPr>
                <w:rFonts w:hint="default" w:ascii="Times New Roman" w:hAnsi="Times New Roman" w:eastAsia="宋体" w:cs="Times New Roman"/>
                <w:color w:val="auto"/>
                <w:sz w:val="24"/>
                <w:szCs w:val="24"/>
                <w:lang w:val="en-US" w:eastAsia="zh-CN"/>
              </w:rPr>
              <w:t>C</w:t>
            </w:r>
            <w:r>
              <w:rPr>
                <w:rFonts w:hint="eastAsia" w:ascii="Times New Roman" w:eastAsia="宋体" w:cs="Times New Roman"/>
                <w:color w:val="auto"/>
                <w:sz w:val="24"/>
                <w:szCs w:val="24"/>
                <w:lang w:val="en-US" w:eastAsia="zh-CN"/>
              </w:rPr>
              <w:t>，</w:t>
            </w:r>
            <w:r>
              <w:rPr>
                <w:rFonts w:hint="default" w:ascii="Times New Roman" w:hAnsi="Times New Roman" w:eastAsia="宋体" w:cs="Times New Roman"/>
                <w:color w:val="auto"/>
                <w:kern w:val="0"/>
                <w:sz w:val="24"/>
                <w:szCs w:val="24"/>
                <w:lang w:val="en-US" w:eastAsia="zh-CN" w:bidi="ar"/>
              </w:rPr>
              <w:t>清理筛、风选机、破碎机、粉碎机、混合机、调质器、制粒机、碎粒机、分级筛、包装机产生的颗粒物推荐治理工艺有“旋风除尘</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电除尘</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袋式除尘</w:t>
            </w:r>
            <w:r>
              <w:rPr>
                <w:rFonts w:hint="eastAsia" w:ascii="Times New Roman" w:hAnsi="Times New Roman" w:eastAsia="宋体" w:cs="Times New Roman"/>
                <w:color w:val="auto"/>
                <w:kern w:val="0"/>
                <w:sz w:val="24"/>
                <w:szCs w:val="24"/>
                <w:lang w:val="en-US" w:eastAsia="zh-CN" w:bidi="ar"/>
              </w:rPr>
              <w:t>、</w:t>
            </w:r>
            <w:r>
              <w:rPr>
                <w:rFonts w:hint="default" w:ascii="Times New Roman" w:hAnsi="Times New Roman" w:eastAsia="宋体" w:cs="Times New Roman"/>
                <w:color w:val="auto"/>
                <w:kern w:val="0"/>
                <w:sz w:val="24"/>
                <w:szCs w:val="24"/>
                <w:lang w:val="en-US" w:eastAsia="zh-CN" w:bidi="ar"/>
              </w:rPr>
              <w:t>除尘组合工艺</w:t>
            </w:r>
            <w:r>
              <w:rPr>
                <w:rFonts w:hint="eastAsia" w:ascii="Times New Roman" w:hAnsi="Times New Roman" w:eastAsia="宋体" w:cs="Times New Roman"/>
                <w:color w:val="auto"/>
                <w:kern w:val="0"/>
                <w:sz w:val="24"/>
                <w:szCs w:val="24"/>
                <w:lang w:val="en-US" w:eastAsia="zh-CN" w:bidi="ar"/>
              </w:rPr>
              <w:t>”。</w:t>
            </w:r>
            <w:r>
              <w:rPr>
                <w:rFonts w:hint="eastAsia"/>
                <w:color w:val="auto"/>
                <w:sz w:val="24"/>
                <w:szCs w:val="24"/>
              </w:rPr>
              <w:t>因此本评价提出的废气治理措施属于可行性技术。</w:t>
            </w:r>
          </w:p>
          <w:p w14:paraId="04F8F9D8">
            <w:pPr>
              <w:pStyle w:val="23"/>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废气例行监测要求</w:t>
            </w:r>
          </w:p>
          <w:p w14:paraId="65C9D31D">
            <w:pPr>
              <w:widowControl/>
              <w:spacing w:line="360" w:lineRule="auto"/>
              <w:ind w:firstLine="480" w:firstLineChars="200"/>
              <w:jc w:val="left"/>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根据《排污单位自行监测技术指南—</w:t>
            </w:r>
            <w:r>
              <w:rPr>
                <w:rFonts w:hint="eastAsia" w:cs="Times New Roman"/>
                <w:color w:val="auto"/>
                <w:sz w:val="24"/>
                <w:szCs w:val="24"/>
                <w:lang w:eastAsia="zh-CN"/>
              </w:rPr>
              <w:t>农副食品加工工业</w:t>
            </w:r>
            <w:r>
              <w:rPr>
                <w:rFonts w:hint="default" w:ascii="Times New Roman" w:hAnsi="Times New Roman" w:cs="Times New Roman"/>
                <w:color w:val="auto"/>
                <w:sz w:val="24"/>
                <w:szCs w:val="24"/>
              </w:rPr>
              <w:t>》(HJ</w:t>
            </w:r>
            <w:r>
              <w:rPr>
                <w:rFonts w:hint="eastAsia" w:cs="Times New Roman"/>
                <w:color w:val="auto"/>
                <w:sz w:val="24"/>
                <w:szCs w:val="24"/>
                <w:lang w:val="en-US" w:eastAsia="zh-CN"/>
              </w:rPr>
              <w:t>986</w:t>
            </w:r>
            <w:r>
              <w:rPr>
                <w:rFonts w:hint="default" w:ascii="Times New Roman" w:hAnsi="Times New Roman" w:cs="Times New Roman"/>
                <w:color w:val="auto"/>
                <w:sz w:val="24"/>
                <w:szCs w:val="24"/>
              </w:rPr>
              <w:t>-201</w:t>
            </w:r>
            <w:r>
              <w:rPr>
                <w:rFonts w:hint="eastAsia" w:cs="Times New Roman"/>
                <w:color w:val="auto"/>
                <w:sz w:val="24"/>
                <w:szCs w:val="24"/>
                <w:lang w:val="en-US" w:eastAsia="zh-CN"/>
              </w:rPr>
              <w:t>8</w:t>
            </w:r>
            <w:r>
              <w:rPr>
                <w:rFonts w:hint="default" w:ascii="Times New Roman" w:hAnsi="Times New Roman" w:cs="Times New Roman"/>
                <w:color w:val="auto"/>
                <w:sz w:val="24"/>
                <w:szCs w:val="24"/>
              </w:rPr>
              <w:t>)提出如下废气</w:t>
            </w:r>
            <w:r>
              <w:rPr>
                <w:rFonts w:hint="eastAsia" w:cs="Times New Roman"/>
                <w:color w:val="auto"/>
                <w:sz w:val="24"/>
                <w:szCs w:val="24"/>
                <w:lang w:eastAsia="zh-CN"/>
              </w:rPr>
              <w:t>例行</w:t>
            </w:r>
            <w:r>
              <w:rPr>
                <w:rFonts w:hint="default" w:ascii="Times New Roman" w:hAnsi="Times New Roman" w:cs="Times New Roman"/>
                <w:color w:val="auto"/>
                <w:sz w:val="24"/>
                <w:szCs w:val="24"/>
              </w:rPr>
              <w:t>监测要求，详见表4.</w:t>
            </w:r>
            <w:r>
              <w:rPr>
                <w:rFonts w:hint="eastAsia" w:eastAsia="宋体" w:cs="Times New Roman"/>
                <w:color w:val="auto"/>
                <w:sz w:val="24"/>
                <w:szCs w:val="24"/>
                <w:lang w:val="en-US" w:eastAsia="zh-CN"/>
              </w:rPr>
              <w:t>2-</w:t>
            </w:r>
            <w:r>
              <w:rPr>
                <w:rFonts w:hint="eastAsia" w:cs="Times New Roman"/>
                <w:color w:val="auto"/>
                <w:sz w:val="24"/>
                <w:szCs w:val="24"/>
                <w:lang w:val="en-US" w:eastAsia="zh-CN"/>
              </w:rPr>
              <w:t>4</w:t>
            </w:r>
            <w:r>
              <w:rPr>
                <w:rFonts w:hint="default" w:ascii="Times New Roman" w:hAnsi="Times New Roman" w:cs="Times New Roman"/>
                <w:color w:val="auto"/>
                <w:sz w:val="24"/>
                <w:szCs w:val="24"/>
              </w:rPr>
              <w:t>。</w:t>
            </w:r>
          </w:p>
          <w:p w14:paraId="4136A75A">
            <w:pPr>
              <w:pStyle w:val="3"/>
              <w:bidi w:val="0"/>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2-4</w:t>
            </w:r>
            <w:r>
              <w:rPr>
                <w:rFonts w:hint="default" w:ascii="Times New Roman" w:hAnsi="Times New Roman" w:cs="Times New Roman"/>
                <w:color w:val="auto"/>
              </w:rPr>
              <w:t xml:space="preserve"> 废气</w:t>
            </w:r>
            <w:r>
              <w:rPr>
                <w:rFonts w:hint="default" w:ascii="Times New Roman" w:hAnsi="Times New Roman" w:cs="Times New Roman"/>
                <w:color w:val="auto"/>
                <w:lang w:eastAsia="zh-CN"/>
              </w:rPr>
              <w:t>例行</w:t>
            </w:r>
            <w:r>
              <w:rPr>
                <w:rFonts w:hint="eastAsia" w:ascii="Times New Roman" w:hAnsi="Times New Roman" w:eastAsia="宋体" w:cs="Times New Roman"/>
                <w:color w:val="auto"/>
                <w:lang w:eastAsia="zh-CN"/>
              </w:rPr>
              <w:t>监测</w:t>
            </w:r>
            <w:r>
              <w:rPr>
                <w:rFonts w:hint="default" w:ascii="Times New Roman" w:hAnsi="Times New Roman" w:cs="Times New Roman"/>
                <w:color w:val="auto"/>
              </w:rPr>
              <w:t>要求一览表</w:t>
            </w:r>
          </w:p>
          <w:tbl>
            <w:tblPr>
              <w:tblStyle w:val="17"/>
              <w:tblW w:w="4997"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413"/>
              <w:gridCol w:w="1413"/>
              <w:gridCol w:w="2354"/>
              <w:gridCol w:w="886"/>
              <w:gridCol w:w="1923"/>
            </w:tblGrid>
            <w:tr w14:paraId="4DFEF0B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4" w:type="pct"/>
                  <w:tcBorders>
                    <w:top w:val="single" w:color="auto" w:sz="6" w:space="0"/>
                    <w:left w:val="nil"/>
                    <w:bottom w:val="single" w:color="auto" w:sz="6" w:space="0"/>
                    <w:right w:val="single" w:color="auto" w:sz="6" w:space="0"/>
                  </w:tcBorders>
                  <w:noWrap w:val="0"/>
                  <w:vAlign w:val="center"/>
                </w:tcPr>
                <w:p w14:paraId="28DB97D2">
                  <w:pPr>
                    <w:pStyle w:val="3"/>
                    <w:bidi w:val="0"/>
                    <w:rPr>
                      <w:rFonts w:hint="default" w:ascii="Times New Roman" w:hAnsi="Times New Roman" w:cs="Times New Roman"/>
                      <w:color w:val="auto"/>
                    </w:rPr>
                  </w:pPr>
                  <w:r>
                    <w:rPr>
                      <w:rFonts w:hint="default" w:ascii="Times New Roman" w:hAnsi="Times New Roman" w:cs="Times New Roman"/>
                      <w:color w:val="auto"/>
                    </w:rPr>
                    <w:t>污染物类型</w:t>
                  </w:r>
                </w:p>
              </w:tc>
              <w:tc>
                <w:tcPr>
                  <w:tcW w:w="884" w:type="pct"/>
                  <w:tcBorders>
                    <w:top w:val="single" w:color="auto" w:sz="6" w:space="0"/>
                    <w:left w:val="single" w:color="auto" w:sz="6" w:space="0"/>
                    <w:bottom w:val="single" w:color="auto" w:sz="6" w:space="0"/>
                    <w:right w:val="single" w:color="auto" w:sz="6" w:space="0"/>
                  </w:tcBorders>
                  <w:noWrap w:val="0"/>
                  <w:vAlign w:val="center"/>
                </w:tcPr>
                <w:p w14:paraId="66C80D75">
                  <w:pPr>
                    <w:pStyle w:val="3"/>
                    <w:bidi w:val="0"/>
                    <w:rPr>
                      <w:rFonts w:hint="default" w:ascii="Times New Roman" w:hAnsi="Times New Roman" w:cs="Times New Roman"/>
                      <w:color w:val="auto"/>
                    </w:rPr>
                  </w:pPr>
                  <w:r>
                    <w:rPr>
                      <w:rFonts w:hint="default" w:ascii="Times New Roman" w:hAnsi="Times New Roman" w:cs="Times New Roman"/>
                      <w:color w:val="auto"/>
                    </w:rPr>
                    <w:t>监测点位</w:t>
                  </w:r>
                </w:p>
              </w:tc>
              <w:tc>
                <w:tcPr>
                  <w:tcW w:w="1473" w:type="pct"/>
                  <w:tcBorders>
                    <w:top w:val="single" w:color="auto" w:sz="6" w:space="0"/>
                    <w:left w:val="single" w:color="auto" w:sz="6" w:space="0"/>
                    <w:bottom w:val="single" w:color="auto" w:sz="6" w:space="0"/>
                    <w:right w:val="single" w:color="auto" w:sz="6" w:space="0"/>
                  </w:tcBorders>
                  <w:noWrap w:val="0"/>
                  <w:vAlign w:val="center"/>
                </w:tcPr>
                <w:p w14:paraId="27248DD2">
                  <w:pPr>
                    <w:pStyle w:val="3"/>
                    <w:bidi w:val="0"/>
                    <w:rPr>
                      <w:rFonts w:hint="default" w:ascii="Times New Roman" w:hAnsi="Times New Roman" w:cs="Times New Roman"/>
                      <w:color w:val="auto"/>
                    </w:rPr>
                  </w:pPr>
                  <w:r>
                    <w:rPr>
                      <w:rFonts w:hint="default" w:ascii="Times New Roman" w:hAnsi="Times New Roman" w:cs="Times New Roman"/>
                      <w:color w:val="auto"/>
                    </w:rPr>
                    <w:t>监测指标</w:t>
                  </w:r>
                </w:p>
              </w:tc>
              <w:tc>
                <w:tcPr>
                  <w:tcW w:w="554" w:type="pct"/>
                  <w:tcBorders>
                    <w:top w:val="single" w:color="auto" w:sz="6" w:space="0"/>
                    <w:left w:val="single" w:color="auto" w:sz="6" w:space="0"/>
                    <w:bottom w:val="single" w:color="auto" w:sz="6" w:space="0"/>
                    <w:right w:val="nil"/>
                  </w:tcBorders>
                  <w:noWrap w:val="0"/>
                  <w:vAlign w:val="center"/>
                </w:tcPr>
                <w:p w14:paraId="6FA46D8E">
                  <w:pPr>
                    <w:pStyle w:val="3"/>
                    <w:bidi w:val="0"/>
                    <w:rPr>
                      <w:rFonts w:hint="default" w:ascii="Times New Roman" w:hAnsi="Times New Roman" w:cs="Times New Roman"/>
                      <w:color w:val="auto"/>
                    </w:rPr>
                  </w:pPr>
                  <w:r>
                    <w:rPr>
                      <w:rFonts w:hint="default" w:ascii="Times New Roman" w:hAnsi="Times New Roman" w:cs="Times New Roman"/>
                      <w:color w:val="auto"/>
                    </w:rPr>
                    <w:t>监测</w:t>
                  </w:r>
                </w:p>
                <w:p w14:paraId="68837E36">
                  <w:pPr>
                    <w:pStyle w:val="3"/>
                    <w:bidi w:val="0"/>
                    <w:rPr>
                      <w:rFonts w:hint="default" w:ascii="Times New Roman" w:hAnsi="Times New Roman" w:cs="Times New Roman"/>
                      <w:color w:val="auto"/>
                    </w:rPr>
                  </w:pPr>
                  <w:r>
                    <w:rPr>
                      <w:rFonts w:hint="default" w:ascii="Times New Roman" w:hAnsi="Times New Roman" w:cs="Times New Roman"/>
                      <w:color w:val="auto"/>
                    </w:rPr>
                    <w:t>频次</w:t>
                  </w:r>
                </w:p>
              </w:tc>
              <w:tc>
                <w:tcPr>
                  <w:tcW w:w="1203" w:type="pct"/>
                  <w:tcBorders>
                    <w:top w:val="single" w:color="auto" w:sz="6" w:space="0"/>
                    <w:left w:val="single" w:color="auto" w:sz="6" w:space="0"/>
                    <w:bottom w:val="single" w:color="auto" w:sz="6" w:space="0"/>
                    <w:right w:val="nil"/>
                  </w:tcBorders>
                  <w:noWrap w:val="0"/>
                  <w:vAlign w:val="center"/>
                </w:tcPr>
                <w:p w14:paraId="2C8293FB">
                  <w:pPr>
                    <w:pStyle w:val="3"/>
                    <w:bidi w:val="0"/>
                    <w:rPr>
                      <w:rFonts w:hint="default" w:ascii="Times New Roman" w:hAnsi="Times New Roman" w:cs="Times New Roman"/>
                      <w:color w:val="auto"/>
                    </w:rPr>
                  </w:pPr>
                  <w:r>
                    <w:rPr>
                      <w:rFonts w:hint="default" w:ascii="Times New Roman" w:hAnsi="Times New Roman" w:cs="Times New Roman"/>
                      <w:color w:val="auto"/>
                    </w:rPr>
                    <w:t>执行标准</w:t>
                  </w:r>
                </w:p>
              </w:tc>
            </w:tr>
            <w:tr w14:paraId="32C87D6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884" w:type="pct"/>
                  <w:vMerge w:val="restart"/>
                  <w:tcBorders>
                    <w:top w:val="single" w:color="auto" w:sz="6" w:space="0"/>
                    <w:left w:val="nil"/>
                    <w:right w:val="single" w:color="auto" w:sz="6" w:space="0"/>
                  </w:tcBorders>
                  <w:noWrap w:val="0"/>
                  <w:vAlign w:val="center"/>
                </w:tcPr>
                <w:p w14:paraId="4D3FB393">
                  <w:pPr>
                    <w:pStyle w:val="3"/>
                    <w:bidi w:val="0"/>
                    <w:rPr>
                      <w:rFonts w:hint="default" w:ascii="Times New Roman" w:hAnsi="Times New Roman" w:cs="Times New Roman"/>
                      <w:color w:val="auto"/>
                    </w:rPr>
                  </w:pPr>
                  <w:r>
                    <w:rPr>
                      <w:rFonts w:hint="default" w:ascii="Times New Roman" w:hAnsi="Times New Roman" w:cs="Times New Roman"/>
                      <w:color w:val="auto"/>
                    </w:rPr>
                    <w:t>有组织废气</w:t>
                  </w:r>
                </w:p>
              </w:tc>
              <w:tc>
                <w:tcPr>
                  <w:tcW w:w="884" w:type="pct"/>
                  <w:tcBorders>
                    <w:top w:val="single" w:color="auto" w:sz="6" w:space="0"/>
                    <w:left w:val="single" w:color="auto" w:sz="6" w:space="0"/>
                    <w:right w:val="single" w:color="auto" w:sz="6" w:space="0"/>
                  </w:tcBorders>
                  <w:noWrap w:val="0"/>
                  <w:vAlign w:val="center"/>
                </w:tcPr>
                <w:p w14:paraId="141C461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DA022</w:t>
                  </w:r>
                </w:p>
              </w:tc>
              <w:tc>
                <w:tcPr>
                  <w:tcW w:w="1473" w:type="pct"/>
                  <w:tcBorders>
                    <w:top w:val="single" w:color="auto" w:sz="6" w:space="0"/>
                    <w:left w:val="single" w:color="auto" w:sz="6" w:space="0"/>
                    <w:right w:val="single" w:color="auto" w:sz="6" w:space="0"/>
                  </w:tcBorders>
                  <w:noWrap w:val="0"/>
                  <w:vAlign w:val="center"/>
                </w:tcPr>
                <w:p w14:paraId="50AA7C3E">
                  <w:pPr>
                    <w:pStyle w:val="3"/>
                    <w:bidi w:val="0"/>
                    <w:rPr>
                      <w:rFonts w:hint="default" w:ascii="Times New Roman" w:hAnsi="Times New Roman" w:cs="Times New Roman"/>
                      <w:color w:val="auto"/>
                    </w:rPr>
                  </w:pPr>
                  <w:r>
                    <w:rPr>
                      <w:rFonts w:hint="default" w:ascii="Times New Roman" w:hAnsi="Times New Roman" w:cs="Times New Roman"/>
                      <w:color w:val="auto"/>
                    </w:rPr>
                    <w:t>颗粒物</w:t>
                  </w:r>
                </w:p>
              </w:tc>
              <w:tc>
                <w:tcPr>
                  <w:tcW w:w="554" w:type="pct"/>
                  <w:vMerge w:val="restart"/>
                  <w:tcBorders>
                    <w:top w:val="single" w:color="auto" w:sz="6" w:space="0"/>
                    <w:left w:val="single" w:color="auto" w:sz="6" w:space="0"/>
                    <w:right w:val="nil"/>
                  </w:tcBorders>
                  <w:noWrap w:val="0"/>
                  <w:vAlign w:val="center"/>
                </w:tcPr>
                <w:p w14:paraId="798CC451">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半年</w:t>
                  </w:r>
                </w:p>
              </w:tc>
              <w:tc>
                <w:tcPr>
                  <w:tcW w:w="1203" w:type="pct"/>
                  <w:vMerge w:val="restart"/>
                  <w:tcBorders>
                    <w:top w:val="single" w:color="auto" w:sz="6" w:space="0"/>
                    <w:left w:val="single" w:color="auto" w:sz="6" w:space="0"/>
                    <w:right w:val="nil"/>
                  </w:tcBorders>
                  <w:noWrap w:val="0"/>
                  <w:vAlign w:val="center"/>
                </w:tcPr>
                <w:p w14:paraId="1CD9FC6E">
                  <w:pPr>
                    <w:pStyle w:val="3"/>
                    <w:bidi w:val="0"/>
                    <w:rPr>
                      <w:rFonts w:hint="default" w:ascii="Times New Roman" w:hAnsi="Times New Roman" w:cs="Times New Roman"/>
                      <w:color w:val="auto"/>
                    </w:rPr>
                  </w:pPr>
                  <w:r>
                    <w:rPr>
                      <w:rFonts w:hint="default" w:ascii="Times New Roman" w:hAnsi="Times New Roman" w:cs="Times New Roman"/>
                      <w:color w:val="auto"/>
                    </w:rPr>
                    <w:t>DB50/418－2016</w:t>
                  </w:r>
                </w:p>
              </w:tc>
            </w:tr>
            <w:tr w14:paraId="3D25271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884" w:type="pct"/>
                  <w:vMerge w:val="continue"/>
                  <w:tcBorders>
                    <w:left w:val="nil"/>
                    <w:bottom w:val="single" w:color="auto" w:sz="6" w:space="0"/>
                    <w:right w:val="single" w:color="auto" w:sz="6" w:space="0"/>
                  </w:tcBorders>
                  <w:noWrap w:val="0"/>
                  <w:vAlign w:val="center"/>
                </w:tcPr>
                <w:p w14:paraId="4F799173">
                  <w:pPr>
                    <w:pStyle w:val="3"/>
                    <w:bidi w:val="0"/>
                    <w:rPr>
                      <w:rFonts w:hint="default" w:ascii="Times New Roman" w:hAnsi="Times New Roman" w:cs="Times New Roman"/>
                      <w:color w:val="auto"/>
                    </w:rPr>
                  </w:pPr>
                </w:p>
              </w:tc>
              <w:tc>
                <w:tcPr>
                  <w:tcW w:w="884" w:type="pct"/>
                  <w:tcBorders>
                    <w:top w:val="single" w:color="auto" w:sz="6" w:space="0"/>
                    <w:left w:val="single" w:color="auto" w:sz="6" w:space="0"/>
                    <w:bottom w:val="single" w:color="auto" w:sz="6" w:space="0"/>
                    <w:right w:val="single" w:color="auto" w:sz="6" w:space="0"/>
                  </w:tcBorders>
                  <w:noWrap w:val="0"/>
                  <w:vAlign w:val="center"/>
                </w:tcPr>
                <w:p w14:paraId="2BC3399F">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DA023</w:t>
                  </w:r>
                </w:p>
              </w:tc>
              <w:tc>
                <w:tcPr>
                  <w:tcW w:w="1473" w:type="pct"/>
                  <w:tcBorders>
                    <w:top w:val="single" w:color="auto" w:sz="6" w:space="0"/>
                    <w:left w:val="single" w:color="auto" w:sz="6" w:space="0"/>
                    <w:bottom w:val="single" w:color="auto" w:sz="6" w:space="0"/>
                    <w:right w:val="single" w:color="auto" w:sz="6" w:space="0"/>
                  </w:tcBorders>
                  <w:noWrap w:val="0"/>
                  <w:vAlign w:val="center"/>
                </w:tcPr>
                <w:p w14:paraId="07E178F8">
                  <w:pPr>
                    <w:pStyle w:val="3"/>
                    <w:bidi w:val="0"/>
                    <w:rPr>
                      <w:rFonts w:hint="default" w:ascii="Times New Roman" w:hAnsi="Times New Roman" w:cs="Times New Roman"/>
                      <w:color w:val="auto"/>
                    </w:rPr>
                  </w:pPr>
                  <w:r>
                    <w:rPr>
                      <w:rFonts w:hint="default" w:ascii="Times New Roman" w:hAnsi="Times New Roman" w:cs="Times New Roman"/>
                      <w:color w:val="auto"/>
                    </w:rPr>
                    <w:t>颗粒物</w:t>
                  </w:r>
                </w:p>
              </w:tc>
              <w:tc>
                <w:tcPr>
                  <w:tcW w:w="554" w:type="pct"/>
                  <w:vMerge w:val="continue"/>
                  <w:tcBorders>
                    <w:left w:val="single" w:color="auto" w:sz="6" w:space="0"/>
                    <w:bottom w:val="single" w:color="auto" w:sz="6" w:space="0"/>
                    <w:right w:val="nil"/>
                  </w:tcBorders>
                  <w:noWrap w:val="0"/>
                  <w:vAlign w:val="center"/>
                </w:tcPr>
                <w:p w14:paraId="067E6F8E">
                  <w:pPr>
                    <w:pStyle w:val="3"/>
                    <w:bidi w:val="0"/>
                    <w:rPr>
                      <w:rFonts w:hint="default" w:ascii="Times New Roman" w:hAnsi="Times New Roman" w:cs="Times New Roman"/>
                      <w:color w:val="auto"/>
                    </w:rPr>
                  </w:pPr>
                </w:p>
              </w:tc>
              <w:tc>
                <w:tcPr>
                  <w:tcW w:w="1203" w:type="pct"/>
                  <w:vMerge w:val="continue"/>
                  <w:tcBorders>
                    <w:left w:val="single" w:color="auto" w:sz="6" w:space="0"/>
                    <w:bottom w:val="single" w:color="auto" w:sz="6" w:space="0"/>
                    <w:right w:val="nil"/>
                  </w:tcBorders>
                  <w:noWrap w:val="0"/>
                  <w:vAlign w:val="center"/>
                </w:tcPr>
                <w:p w14:paraId="2D30B9B4">
                  <w:pPr>
                    <w:pStyle w:val="3"/>
                    <w:bidi w:val="0"/>
                    <w:rPr>
                      <w:rFonts w:hint="default" w:ascii="Times New Roman" w:hAnsi="Times New Roman" w:cs="Times New Roman"/>
                      <w:color w:val="auto"/>
                    </w:rPr>
                  </w:pPr>
                </w:p>
              </w:tc>
            </w:tr>
            <w:tr w14:paraId="51E590F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884" w:type="pct"/>
                  <w:vMerge w:val="restart"/>
                  <w:tcBorders>
                    <w:top w:val="single" w:color="auto" w:sz="4" w:space="0"/>
                    <w:left w:val="nil"/>
                    <w:right w:val="single" w:color="auto" w:sz="6" w:space="0"/>
                  </w:tcBorders>
                  <w:noWrap w:val="0"/>
                  <w:vAlign w:val="center"/>
                </w:tcPr>
                <w:p w14:paraId="79188055">
                  <w:pPr>
                    <w:pStyle w:val="3"/>
                    <w:bidi w:val="0"/>
                    <w:rPr>
                      <w:rFonts w:hint="default" w:ascii="Times New Roman" w:hAnsi="Times New Roman" w:cs="Times New Roman"/>
                      <w:color w:val="auto"/>
                    </w:rPr>
                  </w:pPr>
                  <w:r>
                    <w:rPr>
                      <w:rFonts w:hint="default" w:ascii="Times New Roman" w:hAnsi="Times New Roman" w:cs="Times New Roman"/>
                      <w:color w:val="auto"/>
                    </w:rPr>
                    <w:t>无组织废气</w:t>
                  </w:r>
                </w:p>
              </w:tc>
              <w:tc>
                <w:tcPr>
                  <w:tcW w:w="884" w:type="pct"/>
                  <w:vMerge w:val="restart"/>
                  <w:tcBorders>
                    <w:top w:val="single" w:color="auto" w:sz="4" w:space="0"/>
                    <w:left w:val="single" w:color="auto" w:sz="6" w:space="0"/>
                    <w:right w:val="single" w:color="auto" w:sz="6" w:space="0"/>
                  </w:tcBorders>
                  <w:noWrap w:val="0"/>
                  <w:vAlign w:val="center"/>
                </w:tcPr>
                <w:p w14:paraId="41E3B1A7">
                  <w:pPr>
                    <w:pStyle w:val="3"/>
                    <w:bidi w:val="0"/>
                    <w:rPr>
                      <w:rFonts w:hint="default" w:ascii="Times New Roman" w:hAnsi="Times New Roman" w:cs="Times New Roman"/>
                      <w:color w:val="auto"/>
                    </w:rPr>
                  </w:pPr>
                  <w:r>
                    <w:rPr>
                      <w:rFonts w:hint="default" w:ascii="Times New Roman" w:hAnsi="Times New Roman" w:cs="Times New Roman"/>
                      <w:color w:val="auto"/>
                    </w:rPr>
                    <w:t>场界下风向</w:t>
                  </w:r>
                </w:p>
              </w:tc>
              <w:tc>
                <w:tcPr>
                  <w:tcW w:w="1473" w:type="pct"/>
                  <w:tcBorders>
                    <w:top w:val="single" w:color="auto" w:sz="6" w:space="0"/>
                    <w:left w:val="single" w:color="auto" w:sz="6" w:space="0"/>
                    <w:bottom w:val="single" w:color="auto" w:sz="6" w:space="0"/>
                    <w:right w:val="single" w:color="auto" w:sz="6" w:space="0"/>
                  </w:tcBorders>
                  <w:noWrap w:val="0"/>
                  <w:vAlign w:val="center"/>
                </w:tcPr>
                <w:p w14:paraId="48F8E9C4">
                  <w:pPr>
                    <w:pStyle w:val="3"/>
                    <w:bidi w:val="0"/>
                    <w:rPr>
                      <w:rFonts w:hint="default" w:ascii="Times New Roman" w:hAnsi="Times New Roman" w:cs="Times New Roman"/>
                      <w:color w:val="auto"/>
                    </w:rPr>
                  </w:pPr>
                  <w:r>
                    <w:rPr>
                      <w:rFonts w:hint="default" w:ascii="Times New Roman" w:hAnsi="Times New Roman" w:cs="Times New Roman"/>
                      <w:color w:val="auto"/>
                    </w:rPr>
                    <w:t>颗粒物</w:t>
                  </w:r>
                </w:p>
              </w:tc>
              <w:tc>
                <w:tcPr>
                  <w:tcW w:w="554" w:type="pct"/>
                  <w:tcBorders>
                    <w:top w:val="single" w:color="auto" w:sz="4" w:space="0"/>
                    <w:left w:val="single" w:color="auto" w:sz="6" w:space="0"/>
                    <w:bottom w:val="single" w:color="auto" w:sz="4" w:space="0"/>
                    <w:right w:val="nil"/>
                  </w:tcBorders>
                  <w:noWrap w:val="0"/>
                  <w:vAlign w:val="center"/>
                </w:tcPr>
                <w:p w14:paraId="23D5459C">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半年</w:t>
                  </w:r>
                </w:p>
              </w:tc>
              <w:tc>
                <w:tcPr>
                  <w:tcW w:w="1203" w:type="pct"/>
                  <w:vMerge w:val="restart"/>
                  <w:tcBorders>
                    <w:top w:val="single" w:color="auto" w:sz="4" w:space="0"/>
                    <w:left w:val="single" w:color="auto" w:sz="6" w:space="0"/>
                    <w:right w:val="nil"/>
                  </w:tcBorders>
                  <w:noWrap w:val="0"/>
                  <w:vAlign w:val="center"/>
                </w:tcPr>
                <w:p w14:paraId="3270FA00">
                  <w:pPr>
                    <w:pStyle w:val="3"/>
                    <w:bidi w:val="0"/>
                    <w:rPr>
                      <w:rFonts w:hint="default" w:ascii="Times New Roman" w:hAnsi="Times New Roman" w:cs="Times New Roman"/>
                      <w:color w:val="auto"/>
                    </w:rPr>
                  </w:pPr>
                  <w:r>
                    <w:rPr>
                      <w:rFonts w:hint="default" w:ascii="Times New Roman" w:hAnsi="Times New Roman" w:cs="Times New Roman"/>
                      <w:color w:val="auto"/>
                    </w:rPr>
                    <w:t>DB50/418－2016</w:t>
                  </w:r>
                </w:p>
              </w:tc>
            </w:tr>
            <w:tr w14:paraId="2448019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884" w:type="pct"/>
                  <w:vMerge w:val="continue"/>
                  <w:tcBorders>
                    <w:left w:val="nil"/>
                    <w:right w:val="single" w:color="auto" w:sz="6" w:space="0"/>
                  </w:tcBorders>
                  <w:noWrap w:val="0"/>
                  <w:vAlign w:val="center"/>
                </w:tcPr>
                <w:p w14:paraId="06FBA7EB">
                  <w:pPr>
                    <w:pStyle w:val="3"/>
                    <w:bidi w:val="0"/>
                    <w:rPr>
                      <w:rFonts w:hint="default" w:ascii="Times New Roman" w:hAnsi="Times New Roman" w:cs="Times New Roman"/>
                      <w:color w:val="auto"/>
                    </w:rPr>
                  </w:pPr>
                </w:p>
              </w:tc>
              <w:tc>
                <w:tcPr>
                  <w:tcW w:w="884" w:type="pct"/>
                  <w:vMerge w:val="continue"/>
                  <w:tcBorders>
                    <w:left w:val="single" w:color="auto" w:sz="6" w:space="0"/>
                    <w:bottom w:val="single" w:color="auto" w:sz="4" w:space="0"/>
                    <w:right w:val="single" w:color="auto" w:sz="6" w:space="0"/>
                  </w:tcBorders>
                  <w:noWrap w:val="0"/>
                  <w:vAlign w:val="center"/>
                </w:tcPr>
                <w:p w14:paraId="46A82275">
                  <w:pPr>
                    <w:pStyle w:val="3"/>
                    <w:bidi w:val="0"/>
                    <w:rPr>
                      <w:rFonts w:hint="default" w:ascii="Times New Roman" w:hAnsi="Times New Roman" w:cs="Times New Roman"/>
                      <w:color w:val="auto"/>
                    </w:rPr>
                  </w:pPr>
                </w:p>
              </w:tc>
              <w:tc>
                <w:tcPr>
                  <w:tcW w:w="1473" w:type="pct"/>
                  <w:tcBorders>
                    <w:top w:val="single" w:color="auto" w:sz="6" w:space="0"/>
                    <w:left w:val="single" w:color="auto" w:sz="6" w:space="0"/>
                    <w:bottom w:val="single" w:color="auto" w:sz="6" w:space="0"/>
                    <w:right w:val="single" w:color="auto" w:sz="6" w:space="0"/>
                  </w:tcBorders>
                  <w:noWrap w:val="0"/>
                  <w:vAlign w:val="center"/>
                </w:tcPr>
                <w:p w14:paraId="1A656BA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非甲烷总烃</w:t>
                  </w:r>
                </w:p>
              </w:tc>
              <w:tc>
                <w:tcPr>
                  <w:tcW w:w="554" w:type="pct"/>
                  <w:tcBorders>
                    <w:top w:val="single" w:color="auto" w:sz="4" w:space="0"/>
                    <w:left w:val="single" w:color="auto" w:sz="6" w:space="0"/>
                    <w:bottom w:val="single" w:color="auto" w:sz="6" w:space="0"/>
                    <w:right w:val="nil"/>
                  </w:tcBorders>
                  <w:noWrap w:val="0"/>
                  <w:vAlign w:val="center"/>
                </w:tcPr>
                <w:p w14:paraId="1821361C">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半年</w:t>
                  </w:r>
                </w:p>
              </w:tc>
              <w:tc>
                <w:tcPr>
                  <w:tcW w:w="1203" w:type="pct"/>
                  <w:vMerge w:val="continue"/>
                  <w:tcBorders>
                    <w:left w:val="single" w:color="auto" w:sz="6" w:space="0"/>
                    <w:bottom w:val="single" w:color="auto" w:sz="6" w:space="0"/>
                    <w:right w:val="nil"/>
                  </w:tcBorders>
                  <w:noWrap w:val="0"/>
                  <w:vAlign w:val="center"/>
                </w:tcPr>
                <w:p w14:paraId="418E0FC8">
                  <w:pPr>
                    <w:pStyle w:val="3"/>
                    <w:bidi w:val="0"/>
                    <w:rPr>
                      <w:rFonts w:hint="default" w:ascii="Times New Roman" w:hAnsi="Times New Roman" w:cs="Times New Roman"/>
                      <w:color w:val="auto"/>
                    </w:rPr>
                  </w:pPr>
                </w:p>
              </w:tc>
            </w:tr>
          </w:tbl>
          <w:p w14:paraId="1A074B58">
            <w:pPr>
              <w:pStyle w:val="23"/>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5</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环境影响分析</w:t>
            </w:r>
          </w:p>
          <w:p w14:paraId="48170D7C">
            <w:pPr>
              <w:spacing w:line="360" w:lineRule="auto"/>
              <w:ind w:firstLine="480" w:firstLineChars="200"/>
              <w:jc w:val="left"/>
              <w:rPr>
                <w:rFonts w:hint="default" w:ascii="Times New Roman" w:hAnsi="Times New Roman" w:cs="Times New Roman"/>
                <w:color w:val="auto"/>
                <w:sz w:val="24"/>
                <w:szCs w:val="24"/>
                <w:lang w:val="en-US" w:eastAsia="zh-CN"/>
              </w:rPr>
            </w:pPr>
            <w:r>
              <w:rPr>
                <w:color w:val="auto"/>
                <w:kern w:val="0"/>
              </w:rPr>
              <w:t>由表3分析可知，项目所在地</w:t>
            </w:r>
            <w:r>
              <w:rPr>
                <w:rFonts w:hint="eastAsia"/>
                <w:color w:val="auto"/>
                <w:kern w:val="0"/>
                <w:szCs w:val="21"/>
              </w:rPr>
              <w:t>基本污染物</w:t>
            </w: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2</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10</w:t>
            </w:r>
            <w:r>
              <w:rPr>
                <w:rFonts w:hint="default" w:ascii="Times New Roman" w:hAnsi="Times New Roman" w:cs="Times New Roman"/>
                <w:color w:val="auto"/>
                <w:lang w:val="en-US" w:eastAsia="zh-CN"/>
              </w:rPr>
              <w:t>、O</w:t>
            </w:r>
            <w:r>
              <w:rPr>
                <w:rFonts w:hint="default" w:ascii="Times New Roman" w:hAnsi="Times New Roman" w:cs="Times New Roman"/>
                <w:color w:val="auto"/>
                <w:vertAlign w:val="subscript"/>
                <w:lang w:val="en-US" w:eastAsia="zh-CN"/>
              </w:rPr>
              <w:t>3</w:t>
            </w:r>
            <w:r>
              <w:rPr>
                <w:rFonts w:hint="default" w:ascii="Times New Roman" w:hAnsi="Times New Roman" w:cs="Times New Roman"/>
                <w:color w:val="auto"/>
                <w:lang w:val="en-US" w:eastAsia="zh-CN"/>
              </w:rPr>
              <w:t>、CO</w:t>
            </w:r>
            <w:r>
              <w:rPr>
                <w:color w:val="auto"/>
                <w:kern w:val="0"/>
                <w:szCs w:val="21"/>
              </w:rPr>
              <w:t>满足《环境空气质量标准》（GB3095-2012）二级标准的要求</w:t>
            </w:r>
            <w:r>
              <w:rPr>
                <w:rFonts w:hint="eastAsia" w:eastAsia="宋体"/>
                <w:color w:val="auto"/>
                <w:kern w:val="0"/>
                <w:szCs w:val="21"/>
                <w:lang w:eastAsia="zh-CN"/>
              </w:rPr>
              <w:t>，</w:t>
            </w:r>
            <w:r>
              <w:rPr>
                <w:rFonts w:hint="default" w:ascii="Times New Roman" w:hAnsi="Times New Roman" w:cs="Times New Roman"/>
                <w:color w:val="auto"/>
                <w:lang w:val="en-US" w:eastAsia="zh-CN"/>
              </w:rPr>
              <w:t>PM</w:t>
            </w:r>
            <w:r>
              <w:rPr>
                <w:rFonts w:hint="default" w:ascii="Times New Roman" w:hAnsi="Times New Roman" w:cs="Times New Roman"/>
                <w:color w:val="auto"/>
                <w:vertAlign w:val="subscript"/>
                <w:lang w:val="en-US" w:eastAsia="zh-CN"/>
              </w:rPr>
              <w:t>2.5</w:t>
            </w:r>
            <w:r>
              <w:rPr>
                <w:rFonts w:hint="default" w:ascii="Times New Roman" w:hAnsi="Times New Roman" w:cs="Times New Roman"/>
                <w:color w:val="auto"/>
                <w:lang w:val="en-US" w:eastAsia="zh-CN"/>
              </w:rPr>
              <w:t>超标</w:t>
            </w:r>
            <w:r>
              <w:rPr>
                <w:rFonts w:hint="eastAsia"/>
                <w:color w:val="auto"/>
                <w:kern w:val="0"/>
              </w:rPr>
              <w:t>；</w:t>
            </w:r>
            <w:r>
              <w:rPr>
                <w:rFonts w:hint="default" w:ascii="Times New Roman" w:hAnsi="Times New Roman" w:cs="Times New Roman"/>
                <w:color w:val="auto"/>
                <w:szCs w:val="21"/>
                <w:lang w:eastAsia="zh-CN"/>
              </w:rPr>
              <w:t>非甲烷总烃</w:t>
            </w:r>
            <w:r>
              <w:rPr>
                <w:rFonts w:hint="default" w:ascii="Times New Roman" w:hAnsi="Times New Roman" w:cs="Times New Roman"/>
                <w:color w:val="auto"/>
                <w:sz w:val="24"/>
                <w:szCs w:val="24"/>
              </w:rPr>
              <w:t>《环境空气质量非甲烷总烃限值》（DB13/1577-2012）</w:t>
            </w:r>
            <w:r>
              <w:rPr>
                <w:rFonts w:hint="default" w:ascii="Times New Roman" w:hAnsi="Times New Roman" w:cs="Times New Roman"/>
                <w:color w:val="auto"/>
                <w:sz w:val="24"/>
                <w:szCs w:val="24"/>
                <w:lang w:val="en-US" w:eastAsia="zh-CN"/>
              </w:rPr>
              <w:t>。本项目周边500m范围内</w:t>
            </w:r>
            <w:r>
              <w:rPr>
                <w:rFonts w:hint="eastAsia" w:ascii="Times New Roman" w:cs="Times New Roman"/>
                <w:color w:val="auto"/>
                <w:sz w:val="24"/>
                <w:szCs w:val="24"/>
                <w:lang w:val="en-US" w:eastAsia="zh-CN"/>
              </w:rPr>
              <w:t>有零散居民，</w:t>
            </w:r>
            <w:r>
              <w:rPr>
                <w:rFonts w:hint="default" w:ascii="Times New Roman" w:hAnsi="Times New Roman" w:cs="Times New Roman"/>
                <w:color w:val="auto"/>
                <w:sz w:val="24"/>
                <w:szCs w:val="24"/>
                <w:lang w:val="en-US" w:eastAsia="zh-CN"/>
              </w:rPr>
              <w:t>其产生的废气经治理后能够做到达标排放</w:t>
            </w:r>
            <w:r>
              <w:rPr>
                <w:rFonts w:hint="eastAsia" w:ascii="Times New Roman" w:hAnsi="Times New Roman" w:cs="Times New Roman"/>
                <w:color w:val="auto"/>
                <w:sz w:val="24"/>
                <w:szCs w:val="24"/>
                <w:lang w:val="en-US" w:eastAsia="zh-CN"/>
              </w:rPr>
              <w:t>环境影响可接受</w:t>
            </w:r>
            <w:r>
              <w:rPr>
                <w:rFonts w:hint="default" w:ascii="Times New Roman" w:hAnsi="Times New Roman" w:cs="Times New Roman"/>
                <w:color w:val="auto"/>
                <w:sz w:val="24"/>
                <w:szCs w:val="24"/>
                <w:lang w:val="en-US" w:eastAsia="zh-CN"/>
              </w:rPr>
              <w:t>。</w:t>
            </w:r>
          </w:p>
          <w:p w14:paraId="2299E701">
            <w:pPr>
              <w:spacing w:line="360" w:lineRule="auto"/>
              <w:ind w:firstLine="480" w:firstLineChars="200"/>
              <w:jc w:val="left"/>
              <w:rPr>
                <w:rFonts w:eastAsiaTheme="minorEastAsia"/>
                <w:bCs/>
                <w:color w:val="auto"/>
                <w:sz w:val="24"/>
              </w:rPr>
            </w:pPr>
            <w:r>
              <w:rPr>
                <w:rFonts w:eastAsiaTheme="minorEastAsia"/>
                <w:bCs/>
                <w:color w:val="auto"/>
                <w:sz w:val="24"/>
              </w:rPr>
              <w:t>（</w:t>
            </w:r>
            <w:r>
              <w:rPr>
                <w:rFonts w:hint="eastAsia" w:eastAsiaTheme="minorEastAsia"/>
                <w:bCs/>
                <w:color w:val="auto"/>
                <w:sz w:val="24"/>
                <w:lang w:val="en-US" w:eastAsia="zh-CN"/>
              </w:rPr>
              <w:t>6</w:t>
            </w:r>
            <w:r>
              <w:rPr>
                <w:rFonts w:eastAsiaTheme="minorEastAsia"/>
                <w:bCs/>
                <w:color w:val="auto"/>
                <w:sz w:val="24"/>
              </w:rPr>
              <w:t>）非正常情况</w:t>
            </w:r>
          </w:p>
          <w:p w14:paraId="12BC0A17">
            <w:pPr>
              <w:spacing w:line="360" w:lineRule="auto"/>
              <w:ind w:firstLine="480" w:firstLineChars="200"/>
              <w:rPr>
                <w:rFonts w:eastAsiaTheme="minorEastAsia"/>
                <w:color w:val="auto"/>
                <w:sz w:val="24"/>
              </w:rPr>
            </w:pPr>
            <w:r>
              <w:rPr>
                <w:rFonts w:eastAsiaTheme="minorEastAsia"/>
                <w:color w:val="auto"/>
                <w:sz w:val="24"/>
              </w:rPr>
              <w:t>本项目的非正常工况主要是工艺设备或环保设施达不到设计规定指标运行时的排污。废气非正常排放的源强按照最不利情况（考虑废气处理设施</w:t>
            </w:r>
            <w:r>
              <w:rPr>
                <w:rFonts w:hint="eastAsia" w:eastAsiaTheme="minorEastAsia"/>
                <w:color w:val="auto"/>
                <w:sz w:val="24"/>
              </w:rPr>
              <w:t>失效</w:t>
            </w:r>
            <w:r>
              <w:rPr>
                <w:rFonts w:eastAsiaTheme="minorEastAsia"/>
                <w:color w:val="auto"/>
                <w:sz w:val="24"/>
              </w:rPr>
              <w:t>，处理效率为零的情况）进行分析，非正常排放的源强详见表4.</w:t>
            </w:r>
            <w:r>
              <w:rPr>
                <w:rFonts w:hint="eastAsia" w:eastAsiaTheme="minorEastAsia"/>
                <w:color w:val="auto"/>
                <w:sz w:val="24"/>
                <w:lang w:val="en-US" w:eastAsia="zh-CN"/>
              </w:rPr>
              <w:t>2-5</w:t>
            </w:r>
            <w:r>
              <w:rPr>
                <w:rFonts w:hint="eastAsia" w:eastAsiaTheme="minorEastAsia"/>
                <w:color w:val="auto"/>
                <w:sz w:val="24"/>
              </w:rPr>
              <w:t>。</w:t>
            </w:r>
          </w:p>
          <w:p w14:paraId="267FBF6F">
            <w:pPr>
              <w:ind w:left="0" w:leftChars="0" w:firstLine="0" w:firstLineChars="0"/>
              <w:jc w:val="center"/>
              <w:rPr>
                <w:rFonts w:hint="eastAsia" w:eastAsia="宋体"/>
                <w:color w:val="auto"/>
                <w:kern w:val="0"/>
                <w:sz w:val="21"/>
                <w:szCs w:val="21"/>
                <w:lang w:val="en-US" w:eastAsia="zh-CN"/>
              </w:rPr>
            </w:pPr>
            <w:r>
              <w:rPr>
                <w:rFonts w:hint="eastAsia" w:eastAsia="宋体"/>
                <w:color w:val="auto"/>
                <w:kern w:val="0"/>
                <w:sz w:val="21"/>
                <w:szCs w:val="21"/>
                <w:lang w:val="en-US" w:eastAsia="zh-CN"/>
              </w:rPr>
              <w:t>表4.2-5 废气非正常排放源强</w:t>
            </w:r>
          </w:p>
          <w:tbl>
            <w:tblPr>
              <w:tblStyle w:val="17"/>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193"/>
              <w:gridCol w:w="921"/>
              <w:gridCol w:w="895"/>
              <w:gridCol w:w="859"/>
              <w:gridCol w:w="978"/>
              <w:gridCol w:w="1151"/>
              <w:gridCol w:w="1104"/>
            </w:tblGrid>
            <w:tr w14:paraId="066B6B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6" w:type="pct"/>
                  <w:vMerge w:val="restart"/>
                  <w:tcBorders>
                    <w:tl2br w:val="nil"/>
                    <w:tr2bl w:val="nil"/>
                  </w:tcBorders>
                  <w:shd w:val="clear" w:color="auto" w:fill="auto"/>
                  <w:vAlign w:val="center"/>
                </w:tcPr>
                <w:p w14:paraId="54BD6298">
                  <w:pPr>
                    <w:pStyle w:val="3"/>
                    <w:bidi w:val="0"/>
                    <w:rPr>
                      <w:rFonts w:hint="default" w:ascii="Times New Roman" w:hAnsi="Times New Roman" w:cs="Times New Roman"/>
                      <w:color w:val="auto"/>
                    </w:rPr>
                  </w:pPr>
                  <w:r>
                    <w:rPr>
                      <w:rFonts w:hint="default" w:ascii="Times New Roman" w:hAnsi="Times New Roman" w:cs="Times New Roman"/>
                      <w:color w:val="auto"/>
                    </w:rPr>
                    <w:t>污染源</w:t>
                  </w:r>
                </w:p>
              </w:tc>
              <w:tc>
                <w:tcPr>
                  <w:tcW w:w="746" w:type="pct"/>
                  <w:vMerge w:val="restart"/>
                  <w:tcBorders>
                    <w:tl2br w:val="nil"/>
                    <w:tr2bl w:val="nil"/>
                  </w:tcBorders>
                  <w:shd w:val="clear" w:color="auto" w:fill="auto"/>
                  <w:vAlign w:val="center"/>
                </w:tcPr>
                <w:p w14:paraId="22292494">
                  <w:pPr>
                    <w:pStyle w:val="3"/>
                    <w:bidi w:val="0"/>
                    <w:rPr>
                      <w:rFonts w:hint="default" w:ascii="Times New Roman" w:hAnsi="Times New Roman" w:cs="Times New Roman"/>
                      <w:color w:val="auto"/>
                    </w:rPr>
                  </w:pPr>
                  <w:r>
                    <w:rPr>
                      <w:rFonts w:hint="default" w:ascii="Times New Roman" w:hAnsi="Times New Roman" w:cs="Times New Roman"/>
                      <w:color w:val="auto"/>
                    </w:rPr>
                    <w:t>污染物</w:t>
                  </w:r>
                </w:p>
              </w:tc>
              <w:tc>
                <w:tcPr>
                  <w:tcW w:w="1673" w:type="pct"/>
                  <w:gridSpan w:val="3"/>
                  <w:tcBorders>
                    <w:tl2br w:val="nil"/>
                    <w:tr2bl w:val="nil"/>
                  </w:tcBorders>
                  <w:shd w:val="clear" w:color="auto" w:fill="auto"/>
                  <w:vAlign w:val="center"/>
                </w:tcPr>
                <w:p w14:paraId="65D08CD1">
                  <w:pPr>
                    <w:pStyle w:val="3"/>
                    <w:bidi w:val="0"/>
                    <w:rPr>
                      <w:rFonts w:hint="default" w:ascii="Times New Roman" w:hAnsi="Times New Roman" w:cs="Times New Roman"/>
                      <w:color w:val="auto"/>
                    </w:rPr>
                  </w:pPr>
                  <w:r>
                    <w:rPr>
                      <w:rFonts w:hint="default" w:ascii="Times New Roman" w:hAnsi="Times New Roman" w:cs="Times New Roman"/>
                      <w:color w:val="auto"/>
                    </w:rPr>
                    <w:t>产生情况</w:t>
                  </w:r>
                </w:p>
              </w:tc>
              <w:tc>
                <w:tcPr>
                  <w:tcW w:w="2022" w:type="pct"/>
                  <w:gridSpan w:val="3"/>
                  <w:tcBorders>
                    <w:tl2br w:val="nil"/>
                    <w:tr2bl w:val="nil"/>
                  </w:tcBorders>
                  <w:shd w:val="clear" w:color="auto" w:fill="auto"/>
                </w:tcPr>
                <w:p w14:paraId="4FD19738">
                  <w:pPr>
                    <w:pStyle w:val="3"/>
                    <w:bidi w:val="0"/>
                    <w:rPr>
                      <w:rFonts w:hint="default" w:ascii="Times New Roman" w:hAnsi="Times New Roman" w:cs="Times New Roman"/>
                      <w:color w:val="auto"/>
                    </w:rPr>
                  </w:pPr>
                  <w:r>
                    <w:rPr>
                      <w:rFonts w:hint="default" w:ascii="Times New Roman" w:hAnsi="Times New Roman" w:cs="Times New Roman"/>
                      <w:color w:val="auto"/>
                    </w:rPr>
                    <w:t>排放情况</w:t>
                  </w:r>
                </w:p>
              </w:tc>
            </w:tr>
            <w:tr w14:paraId="6140BE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6" w:type="pct"/>
                  <w:vMerge w:val="continue"/>
                  <w:tcBorders>
                    <w:tl2br w:val="nil"/>
                    <w:tr2bl w:val="nil"/>
                  </w:tcBorders>
                  <w:shd w:val="clear" w:color="auto" w:fill="auto"/>
                  <w:vAlign w:val="center"/>
                </w:tcPr>
                <w:p w14:paraId="56F0C7CD">
                  <w:pPr>
                    <w:pStyle w:val="3"/>
                    <w:bidi w:val="0"/>
                    <w:rPr>
                      <w:rFonts w:hint="default" w:ascii="Times New Roman" w:hAnsi="Times New Roman" w:cs="Times New Roman"/>
                      <w:color w:val="auto"/>
                    </w:rPr>
                  </w:pPr>
                </w:p>
              </w:tc>
              <w:tc>
                <w:tcPr>
                  <w:tcW w:w="746" w:type="pct"/>
                  <w:vMerge w:val="continue"/>
                  <w:tcBorders>
                    <w:tl2br w:val="nil"/>
                    <w:tr2bl w:val="nil"/>
                  </w:tcBorders>
                  <w:shd w:val="clear" w:color="auto" w:fill="auto"/>
                  <w:vAlign w:val="center"/>
                </w:tcPr>
                <w:p w14:paraId="6BA1C693">
                  <w:pPr>
                    <w:pStyle w:val="3"/>
                    <w:bidi w:val="0"/>
                    <w:rPr>
                      <w:rFonts w:hint="default" w:ascii="Times New Roman" w:hAnsi="Times New Roman" w:cs="Times New Roman"/>
                      <w:color w:val="auto"/>
                    </w:rPr>
                  </w:pPr>
                </w:p>
              </w:tc>
              <w:tc>
                <w:tcPr>
                  <w:tcW w:w="576" w:type="pct"/>
                  <w:tcBorders>
                    <w:tl2br w:val="nil"/>
                    <w:tr2bl w:val="nil"/>
                  </w:tcBorders>
                  <w:shd w:val="clear" w:color="auto" w:fill="auto"/>
                  <w:vAlign w:val="center"/>
                </w:tcPr>
                <w:p w14:paraId="0D288332">
                  <w:pPr>
                    <w:pStyle w:val="3"/>
                    <w:bidi w:val="0"/>
                    <w:rPr>
                      <w:rFonts w:hint="default" w:ascii="Times New Roman" w:hAnsi="Times New Roman" w:cs="Times New Roman"/>
                      <w:color w:val="auto"/>
                    </w:rPr>
                  </w:pPr>
                  <w:r>
                    <w:rPr>
                      <w:rFonts w:hint="default" w:ascii="Times New Roman" w:hAnsi="Times New Roman" w:cs="Times New Roman"/>
                      <w:color w:val="auto"/>
                    </w:rPr>
                    <w:t>浓度mg/m</w:t>
                  </w:r>
                  <w:r>
                    <w:rPr>
                      <w:rFonts w:hint="default" w:ascii="Times New Roman" w:hAnsi="Times New Roman" w:cs="Times New Roman"/>
                      <w:color w:val="auto"/>
                      <w:vertAlign w:val="superscript"/>
                    </w:rPr>
                    <w:t>3</w:t>
                  </w:r>
                </w:p>
              </w:tc>
              <w:tc>
                <w:tcPr>
                  <w:tcW w:w="560" w:type="pct"/>
                  <w:tcBorders>
                    <w:tl2br w:val="nil"/>
                    <w:tr2bl w:val="nil"/>
                  </w:tcBorders>
                  <w:shd w:val="clear" w:color="auto" w:fill="auto"/>
                  <w:vAlign w:val="center"/>
                </w:tcPr>
                <w:p w14:paraId="7D9E8AA8">
                  <w:pPr>
                    <w:pStyle w:val="3"/>
                    <w:bidi w:val="0"/>
                    <w:rPr>
                      <w:rFonts w:hint="default" w:ascii="Times New Roman" w:hAnsi="Times New Roman" w:cs="Times New Roman"/>
                      <w:color w:val="auto"/>
                    </w:rPr>
                  </w:pPr>
                  <w:r>
                    <w:rPr>
                      <w:rFonts w:hint="default" w:ascii="Times New Roman" w:hAnsi="Times New Roman" w:cs="Times New Roman"/>
                      <w:color w:val="auto"/>
                    </w:rPr>
                    <w:t>产生速率kg/h</w:t>
                  </w:r>
                </w:p>
              </w:tc>
              <w:tc>
                <w:tcPr>
                  <w:tcW w:w="537" w:type="pct"/>
                  <w:tcBorders>
                    <w:tl2br w:val="nil"/>
                    <w:tr2bl w:val="nil"/>
                  </w:tcBorders>
                  <w:shd w:val="clear" w:color="auto" w:fill="auto"/>
                  <w:vAlign w:val="center"/>
                </w:tcPr>
                <w:p w14:paraId="75337118">
                  <w:pPr>
                    <w:pStyle w:val="3"/>
                    <w:bidi w:val="0"/>
                    <w:rPr>
                      <w:rFonts w:hint="default" w:ascii="Times New Roman" w:hAnsi="Times New Roman" w:cs="Times New Roman"/>
                      <w:color w:val="auto"/>
                    </w:rPr>
                  </w:pPr>
                  <w:r>
                    <w:rPr>
                      <w:rFonts w:hint="default" w:ascii="Times New Roman" w:hAnsi="Times New Roman" w:cs="Times New Roman"/>
                      <w:color w:val="auto"/>
                    </w:rPr>
                    <w:t>产生量t/a</w:t>
                  </w:r>
                </w:p>
              </w:tc>
              <w:tc>
                <w:tcPr>
                  <w:tcW w:w="611" w:type="pct"/>
                  <w:tcBorders>
                    <w:tl2br w:val="nil"/>
                    <w:tr2bl w:val="nil"/>
                  </w:tcBorders>
                  <w:shd w:val="clear" w:color="auto" w:fill="auto"/>
                  <w:vAlign w:val="center"/>
                </w:tcPr>
                <w:p w14:paraId="203987E6">
                  <w:pPr>
                    <w:pStyle w:val="3"/>
                    <w:bidi w:val="0"/>
                    <w:rPr>
                      <w:rFonts w:hint="default" w:ascii="Times New Roman" w:hAnsi="Times New Roman" w:cs="Times New Roman"/>
                      <w:color w:val="auto"/>
                    </w:rPr>
                  </w:pPr>
                  <w:r>
                    <w:rPr>
                      <w:rFonts w:hint="default" w:ascii="Times New Roman" w:hAnsi="Times New Roman" w:cs="Times New Roman"/>
                      <w:color w:val="auto"/>
                    </w:rPr>
                    <w:t>浓度mg/m</w:t>
                  </w:r>
                  <w:r>
                    <w:rPr>
                      <w:rFonts w:hint="default" w:ascii="Times New Roman" w:hAnsi="Times New Roman" w:cs="Times New Roman"/>
                      <w:color w:val="auto"/>
                      <w:vertAlign w:val="superscript"/>
                    </w:rPr>
                    <w:t>3</w:t>
                  </w:r>
                </w:p>
              </w:tc>
              <w:tc>
                <w:tcPr>
                  <w:tcW w:w="720" w:type="pct"/>
                  <w:tcBorders>
                    <w:tl2br w:val="nil"/>
                    <w:tr2bl w:val="nil"/>
                  </w:tcBorders>
                  <w:shd w:val="clear" w:color="auto" w:fill="auto"/>
                  <w:vAlign w:val="center"/>
                </w:tcPr>
                <w:p w14:paraId="353BDD9B">
                  <w:pPr>
                    <w:pStyle w:val="3"/>
                    <w:bidi w:val="0"/>
                    <w:rPr>
                      <w:rFonts w:hint="default" w:ascii="Times New Roman" w:hAnsi="Times New Roman" w:cs="Times New Roman"/>
                      <w:color w:val="auto"/>
                    </w:rPr>
                  </w:pPr>
                  <w:r>
                    <w:rPr>
                      <w:rFonts w:hint="default" w:ascii="Times New Roman" w:hAnsi="Times New Roman" w:cs="Times New Roman"/>
                      <w:color w:val="auto"/>
                    </w:rPr>
                    <w:t>产生速率kg/h</w:t>
                  </w:r>
                </w:p>
              </w:tc>
              <w:tc>
                <w:tcPr>
                  <w:tcW w:w="690" w:type="pct"/>
                  <w:tcBorders>
                    <w:tl2br w:val="nil"/>
                    <w:tr2bl w:val="nil"/>
                  </w:tcBorders>
                  <w:shd w:val="clear" w:color="auto" w:fill="auto"/>
                  <w:vAlign w:val="center"/>
                </w:tcPr>
                <w:p w14:paraId="4851F98F">
                  <w:pPr>
                    <w:pStyle w:val="3"/>
                    <w:bidi w:val="0"/>
                    <w:rPr>
                      <w:rFonts w:hint="default" w:ascii="Times New Roman" w:hAnsi="Times New Roman" w:cs="Times New Roman"/>
                      <w:color w:val="auto"/>
                    </w:rPr>
                  </w:pPr>
                  <w:r>
                    <w:rPr>
                      <w:rFonts w:hint="default" w:ascii="Times New Roman" w:hAnsi="Times New Roman" w:cs="Times New Roman"/>
                      <w:color w:val="auto"/>
                    </w:rPr>
                    <w:t>产生速率kg/h</w:t>
                  </w:r>
                </w:p>
              </w:tc>
            </w:tr>
            <w:tr w14:paraId="4FBF41C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6" w:type="pct"/>
                  <w:tcBorders>
                    <w:tl2br w:val="nil"/>
                    <w:tr2bl w:val="nil"/>
                  </w:tcBorders>
                  <w:shd w:val="clear" w:color="auto" w:fill="auto"/>
                  <w:vAlign w:val="center"/>
                </w:tcPr>
                <w:p w14:paraId="473B54F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DA022</w:t>
                  </w:r>
                </w:p>
              </w:tc>
              <w:tc>
                <w:tcPr>
                  <w:tcW w:w="746" w:type="pct"/>
                  <w:tcBorders>
                    <w:tl2br w:val="nil"/>
                    <w:tr2bl w:val="nil"/>
                  </w:tcBorders>
                  <w:shd w:val="clear" w:color="auto" w:fill="auto"/>
                  <w:vAlign w:val="center"/>
                </w:tcPr>
                <w:p w14:paraId="0FC0EB40">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lang w:val="en-US" w:eastAsia="zh-CN"/>
                    </w:rPr>
                    <w:t>颗粒物</w:t>
                  </w:r>
                </w:p>
              </w:tc>
              <w:tc>
                <w:tcPr>
                  <w:tcW w:w="921" w:type="dxa"/>
                  <w:tcBorders>
                    <w:tl2br w:val="nil"/>
                    <w:tr2bl w:val="nil"/>
                  </w:tcBorders>
                  <w:shd w:val="clear" w:color="auto" w:fill="auto"/>
                  <w:vAlign w:val="center"/>
                </w:tcPr>
                <w:p w14:paraId="35A91001">
                  <w:pPr>
                    <w:pStyle w:val="3"/>
                    <w:bidi w:val="0"/>
                    <w:ind w:firstLine="0" w:firstLineChars="0"/>
                    <w:rPr>
                      <w:rFonts w:hint="default" w:ascii="Times New Roman" w:hAnsi="Times New Roman" w:cs="Times New Roman"/>
                      <w:color w:val="auto"/>
                      <w:highlight w:val="yellow"/>
                    </w:rPr>
                  </w:pPr>
                  <w:r>
                    <w:rPr>
                      <w:rFonts w:hint="eastAsia" w:ascii="Times New Roman" w:hAnsi="Times New Roman" w:cs="Times New Roman"/>
                      <w:color w:val="auto"/>
                      <w:highlight w:val="none"/>
                      <w:lang w:val="en-US" w:eastAsia="zh-CN"/>
                    </w:rPr>
                    <w:t>82.359</w:t>
                  </w:r>
                </w:p>
              </w:tc>
              <w:tc>
                <w:tcPr>
                  <w:tcW w:w="895" w:type="dxa"/>
                  <w:tcBorders>
                    <w:tl2br w:val="nil"/>
                    <w:tr2bl w:val="nil"/>
                  </w:tcBorders>
                  <w:shd w:val="clear" w:color="auto" w:fill="auto"/>
                  <w:vAlign w:val="center"/>
                </w:tcPr>
                <w:p w14:paraId="6609A7B9">
                  <w:pPr>
                    <w:pStyle w:val="3"/>
                    <w:bidi w:val="0"/>
                    <w:ind w:firstLine="0" w:firstLineChars="0"/>
                    <w:rPr>
                      <w:rFonts w:hint="default" w:ascii="Times New Roman" w:hAnsi="Times New Roman" w:cs="Times New Roman"/>
                      <w:color w:val="auto"/>
                      <w:highlight w:val="yellow"/>
                    </w:rPr>
                  </w:pPr>
                  <w:r>
                    <w:rPr>
                      <w:rFonts w:hint="default" w:ascii="Times New Roman" w:hAnsi="Times New Roman" w:cs="Times New Roman"/>
                      <w:color w:val="auto"/>
                      <w:highlight w:val="none"/>
                      <w:lang w:val="en-US" w:eastAsia="zh-CN"/>
                    </w:rPr>
                    <w:t xml:space="preserve">1.647 </w:t>
                  </w:r>
                </w:p>
              </w:tc>
              <w:tc>
                <w:tcPr>
                  <w:tcW w:w="859" w:type="dxa"/>
                  <w:tcBorders>
                    <w:tl2br w:val="nil"/>
                    <w:tr2bl w:val="nil"/>
                  </w:tcBorders>
                  <w:shd w:val="clear" w:color="auto" w:fill="auto"/>
                  <w:vAlign w:val="center"/>
                </w:tcPr>
                <w:p w14:paraId="26B06969">
                  <w:pPr>
                    <w:pStyle w:val="3"/>
                    <w:bidi w:val="0"/>
                    <w:ind w:firstLine="0" w:firstLineChars="0"/>
                    <w:rPr>
                      <w:rFonts w:hint="default" w:ascii="Times New Roman" w:hAnsi="Times New Roman" w:cs="Times New Roman"/>
                      <w:color w:val="auto"/>
                      <w:highlight w:val="yellow"/>
                    </w:rPr>
                  </w:pPr>
                  <w:r>
                    <w:rPr>
                      <w:rFonts w:hint="default" w:ascii="Times New Roman" w:hAnsi="Times New Roman" w:cs="Times New Roman"/>
                      <w:color w:val="auto"/>
                      <w:highlight w:val="none"/>
                      <w:lang w:val="en-US" w:eastAsia="zh-CN"/>
                    </w:rPr>
                    <w:t xml:space="preserve">11.860 </w:t>
                  </w:r>
                </w:p>
              </w:tc>
              <w:tc>
                <w:tcPr>
                  <w:tcW w:w="978" w:type="dxa"/>
                  <w:tcBorders>
                    <w:tl2br w:val="nil"/>
                    <w:tr2bl w:val="nil"/>
                  </w:tcBorders>
                  <w:shd w:val="clear" w:color="auto" w:fill="auto"/>
                  <w:vAlign w:val="center"/>
                </w:tcPr>
                <w:p w14:paraId="3F637240">
                  <w:pPr>
                    <w:pStyle w:val="3"/>
                    <w:bidi w:val="0"/>
                    <w:ind w:firstLine="0" w:firstLineChars="0"/>
                    <w:rPr>
                      <w:rFonts w:hint="default" w:ascii="Times New Roman" w:hAnsi="Times New Roman" w:cs="Times New Roman"/>
                      <w:color w:val="auto"/>
                      <w:highlight w:val="yellow"/>
                    </w:rPr>
                  </w:pPr>
                  <w:r>
                    <w:rPr>
                      <w:rFonts w:hint="eastAsia" w:ascii="Times New Roman" w:hAnsi="Times New Roman" w:cs="Times New Roman"/>
                      <w:color w:val="auto"/>
                      <w:highlight w:val="none"/>
                      <w:lang w:val="en-US" w:eastAsia="zh-CN"/>
                    </w:rPr>
                    <w:t>82.359</w:t>
                  </w:r>
                </w:p>
              </w:tc>
              <w:tc>
                <w:tcPr>
                  <w:tcW w:w="1151" w:type="dxa"/>
                  <w:tcBorders>
                    <w:tl2br w:val="nil"/>
                    <w:tr2bl w:val="nil"/>
                  </w:tcBorders>
                  <w:shd w:val="clear" w:color="auto" w:fill="auto"/>
                  <w:vAlign w:val="center"/>
                </w:tcPr>
                <w:p w14:paraId="5E9E6457">
                  <w:pPr>
                    <w:pStyle w:val="3"/>
                    <w:bidi w:val="0"/>
                    <w:ind w:firstLine="0" w:firstLineChars="0"/>
                    <w:rPr>
                      <w:rFonts w:hint="default" w:ascii="Times New Roman" w:hAnsi="Times New Roman" w:cs="Times New Roman"/>
                      <w:color w:val="auto"/>
                      <w:highlight w:val="yellow"/>
                    </w:rPr>
                  </w:pPr>
                  <w:r>
                    <w:rPr>
                      <w:rFonts w:hint="default" w:ascii="Times New Roman" w:hAnsi="Times New Roman" w:cs="Times New Roman"/>
                      <w:color w:val="auto"/>
                      <w:highlight w:val="none"/>
                      <w:lang w:val="en-US" w:eastAsia="zh-CN"/>
                    </w:rPr>
                    <w:t xml:space="preserve">1.647 </w:t>
                  </w:r>
                </w:p>
              </w:tc>
              <w:tc>
                <w:tcPr>
                  <w:tcW w:w="1104" w:type="dxa"/>
                  <w:tcBorders>
                    <w:tl2br w:val="nil"/>
                    <w:tr2bl w:val="nil"/>
                  </w:tcBorders>
                  <w:shd w:val="clear" w:color="auto" w:fill="auto"/>
                  <w:vAlign w:val="center"/>
                </w:tcPr>
                <w:p w14:paraId="0B652078">
                  <w:pPr>
                    <w:pStyle w:val="3"/>
                    <w:bidi w:val="0"/>
                    <w:ind w:firstLine="0" w:firstLineChars="0"/>
                    <w:rPr>
                      <w:rFonts w:hint="default" w:ascii="Times New Roman" w:hAnsi="Times New Roman" w:cs="Times New Roman"/>
                      <w:color w:val="auto"/>
                      <w:highlight w:val="yellow"/>
                    </w:rPr>
                  </w:pPr>
                  <w:r>
                    <w:rPr>
                      <w:rFonts w:hint="default" w:ascii="Times New Roman" w:hAnsi="Times New Roman" w:cs="Times New Roman"/>
                      <w:color w:val="auto"/>
                      <w:highlight w:val="none"/>
                      <w:lang w:val="en-US" w:eastAsia="zh-CN"/>
                    </w:rPr>
                    <w:t xml:space="preserve">11.860 </w:t>
                  </w:r>
                </w:p>
              </w:tc>
            </w:tr>
            <w:tr w14:paraId="4DCEC5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56" w:type="pct"/>
                  <w:tcBorders>
                    <w:tl2br w:val="nil"/>
                    <w:tr2bl w:val="nil"/>
                  </w:tcBorders>
                  <w:shd w:val="clear" w:color="auto" w:fill="auto"/>
                  <w:vAlign w:val="center"/>
                </w:tcPr>
                <w:p w14:paraId="3D56B11F">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DA023</w:t>
                  </w:r>
                </w:p>
              </w:tc>
              <w:tc>
                <w:tcPr>
                  <w:tcW w:w="746" w:type="pct"/>
                  <w:tcBorders>
                    <w:tl2br w:val="nil"/>
                    <w:tr2bl w:val="nil"/>
                  </w:tcBorders>
                  <w:shd w:val="clear" w:color="auto" w:fill="auto"/>
                  <w:vAlign w:val="center"/>
                </w:tcPr>
                <w:p w14:paraId="2E01F2D2">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颗粒物</w:t>
                  </w:r>
                </w:p>
              </w:tc>
              <w:tc>
                <w:tcPr>
                  <w:tcW w:w="921" w:type="dxa"/>
                  <w:tcBorders>
                    <w:tl2br w:val="nil"/>
                    <w:tr2bl w:val="nil"/>
                  </w:tcBorders>
                  <w:shd w:val="clear" w:color="auto" w:fill="auto"/>
                  <w:vAlign w:val="center"/>
                </w:tcPr>
                <w:p w14:paraId="7B04EB9A">
                  <w:pPr>
                    <w:pStyle w:val="3"/>
                    <w:bidi w:val="0"/>
                    <w:ind w:firstLine="0" w:firstLineChars="0"/>
                    <w:rPr>
                      <w:rFonts w:hint="default" w:ascii="Times New Roman" w:hAnsi="Times New Roman" w:cs="Times New Roman"/>
                      <w:color w:val="auto"/>
                      <w:highlight w:val="yellow"/>
                      <w:lang w:val="en-US" w:eastAsia="zh-CN"/>
                    </w:rPr>
                  </w:pPr>
                  <w:r>
                    <w:rPr>
                      <w:rFonts w:hint="eastAsia" w:ascii="Times New Roman" w:hAnsi="Times New Roman" w:cs="Times New Roman"/>
                      <w:color w:val="auto"/>
                      <w:highlight w:val="none"/>
                      <w:lang w:val="en-US" w:eastAsia="zh-CN"/>
                    </w:rPr>
                    <w:t>41.133</w:t>
                  </w:r>
                </w:p>
              </w:tc>
              <w:tc>
                <w:tcPr>
                  <w:tcW w:w="895" w:type="dxa"/>
                  <w:tcBorders>
                    <w:tl2br w:val="nil"/>
                    <w:tr2bl w:val="nil"/>
                  </w:tcBorders>
                  <w:shd w:val="clear" w:color="auto" w:fill="auto"/>
                  <w:vAlign w:val="center"/>
                </w:tcPr>
                <w:p w14:paraId="190DC2A9">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 xml:space="preserve">3.291 </w:t>
                  </w:r>
                </w:p>
              </w:tc>
              <w:tc>
                <w:tcPr>
                  <w:tcW w:w="859" w:type="dxa"/>
                  <w:tcBorders>
                    <w:tl2br w:val="nil"/>
                    <w:tr2bl w:val="nil"/>
                  </w:tcBorders>
                  <w:shd w:val="clear" w:color="auto" w:fill="auto"/>
                  <w:vAlign w:val="center"/>
                </w:tcPr>
                <w:p w14:paraId="0F3F95A2">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 xml:space="preserve">23.693 </w:t>
                  </w:r>
                </w:p>
              </w:tc>
              <w:tc>
                <w:tcPr>
                  <w:tcW w:w="978" w:type="dxa"/>
                  <w:tcBorders>
                    <w:tl2br w:val="nil"/>
                    <w:tr2bl w:val="nil"/>
                  </w:tcBorders>
                  <w:shd w:val="clear" w:color="auto" w:fill="auto"/>
                  <w:vAlign w:val="center"/>
                </w:tcPr>
                <w:p w14:paraId="369753C4">
                  <w:pPr>
                    <w:pStyle w:val="3"/>
                    <w:bidi w:val="0"/>
                    <w:ind w:firstLine="0" w:firstLineChars="0"/>
                    <w:rPr>
                      <w:rFonts w:hint="default" w:ascii="Times New Roman" w:hAnsi="Times New Roman" w:cs="Times New Roman"/>
                      <w:color w:val="auto"/>
                      <w:highlight w:val="yellow"/>
                      <w:lang w:val="en-US" w:eastAsia="zh-CN"/>
                    </w:rPr>
                  </w:pPr>
                  <w:r>
                    <w:rPr>
                      <w:rFonts w:hint="eastAsia" w:ascii="Times New Roman" w:hAnsi="Times New Roman" w:cs="Times New Roman"/>
                      <w:color w:val="auto"/>
                      <w:highlight w:val="none"/>
                      <w:lang w:val="en-US" w:eastAsia="zh-CN"/>
                    </w:rPr>
                    <w:t>41.133</w:t>
                  </w:r>
                </w:p>
              </w:tc>
              <w:tc>
                <w:tcPr>
                  <w:tcW w:w="1151" w:type="dxa"/>
                  <w:tcBorders>
                    <w:tl2br w:val="nil"/>
                    <w:tr2bl w:val="nil"/>
                  </w:tcBorders>
                  <w:shd w:val="clear" w:color="auto" w:fill="auto"/>
                  <w:vAlign w:val="center"/>
                </w:tcPr>
                <w:p w14:paraId="08712867">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 xml:space="preserve">3.291 </w:t>
                  </w:r>
                </w:p>
              </w:tc>
              <w:tc>
                <w:tcPr>
                  <w:tcW w:w="1104" w:type="dxa"/>
                  <w:tcBorders>
                    <w:tl2br w:val="nil"/>
                    <w:tr2bl w:val="nil"/>
                  </w:tcBorders>
                  <w:shd w:val="clear" w:color="auto" w:fill="auto"/>
                  <w:vAlign w:val="center"/>
                </w:tcPr>
                <w:p w14:paraId="13718A20">
                  <w:pPr>
                    <w:pStyle w:val="3"/>
                    <w:bidi w:val="0"/>
                    <w:ind w:firstLine="0" w:firstLineChars="0"/>
                    <w:rPr>
                      <w:rFonts w:hint="default" w:ascii="Times New Roman" w:hAnsi="Times New Roman" w:cs="Times New Roman"/>
                      <w:color w:val="auto"/>
                      <w:highlight w:val="yellow"/>
                      <w:lang w:val="en-US" w:eastAsia="zh-CN"/>
                    </w:rPr>
                  </w:pPr>
                  <w:r>
                    <w:rPr>
                      <w:rFonts w:hint="default" w:ascii="Times New Roman" w:hAnsi="Times New Roman" w:cs="Times New Roman"/>
                      <w:color w:val="auto"/>
                      <w:highlight w:val="none"/>
                      <w:lang w:val="en-US" w:eastAsia="zh-CN"/>
                    </w:rPr>
                    <w:t xml:space="preserve">23.693 </w:t>
                  </w:r>
                </w:p>
              </w:tc>
            </w:tr>
          </w:tbl>
          <w:p w14:paraId="4650DEA9">
            <w:pPr>
              <w:spacing w:line="360" w:lineRule="auto"/>
              <w:ind w:firstLine="480" w:firstLineChars="200"/>
              <w:rPr>
                <w:color w:val="auto"/>
              </w:rPr>
            </w:pPr>
            <w:r>
              <w:rPr>
                <w:rFonts w:hint="eastAsia" w:eastAsiaTheme="minorEastAsia"/>
                <w:color w:val="auto"/>
                <w:sz w:val="24"/>
              </w:rPr>
              <w:t>由</w:t>
            </w:r>
            <w:r>
              <w:rPr>
                <w:rFonts w:hint="eastAsia" w:eastAsiaTheme="minorEastAsia"/>
                <w:color w:val="auto"/>
                <w:sz w:val="24"/>
                <w:lang w:eastAsia="zh-CN"/>
              </w:rPr>
              <w:t>上表</w:t>
            </w:r>
            <w:r>
              <w:rPr>
                <w:rFonts w:hint="eastAsia" w:eastAsiaTheme="minorEastAsia"/>
                <w:color w:val="auto"/>
                <w:sz w:val="24"/>
              </w:rPr>
              <w:t>分析</w:t>
            </w:r>
            <w:r>
              <w:rPr>
                <w:rFonts w:eastAsiaTheme="minorEastAsia"/>
                <w:color w:val="auto"/>
                <w:sz w:val="24"/>
              </w:rPr>
              <w:t>可知，</w:t>
            </w:r>
            <w:r>
              <w:rPr>
                <w:rFonts w:hint="eastAsia" w:eastAsiaTheme="minorEastAsia"/>
                <w:color w:val="auto"/>
                <w:sz w:val="24"/>
                <w:lang w:eastAsia="zh-CN"/>
              </w:rPr>
              <w:t>在非正常工况下</w:t>
            </w:r>
            <w:r>
              <w:rPr>
                <w:rFonts w:eastAsiaTheme="minorEastAsia"/>
                <w:color w:val="auto"/>
                <w:sz w:val="24"/>
              </w:rPr>
              <w:t>废气处理设施</w:t>
            </w:r>
            <w:r>
              <w:rPr>
                <w:rFonts w:hint="eastAsia" w:eastAsiaTheme="minorEastAsia"/>
                <w:color w:val="auto"/>
                <w:sz w:val="24"/>
              </w:rPr>
              <w:t>失效</w:t>
            </w:r>
            <w:r>
              <w:rPr>
                <w:rFonts w:eastAsiaTheme="minorEastAsia"/>
                <w:color w:val="auto"/>
                <w:sz w:val="24"/>
              </w:rPr>
              <w:t>，</w:t>
            </w:r>
            <w:r>
              <w:rPr>
                <w:rFonts w:hint="eastAsia" w:eastAsiaTheme="minorEastAsia"/>
                <w:color w:val="auto"/>
                <w:sz w:val="24"/>
                <w:lang w:val="en-US" w:eastAsia="zh-CN"/>
              </w:rPr>
              <w:t>DA022、DA023</w:t>
            </w:r>
            <w:r>
              <w:rPr>
                <w:rFonts w:eastAsiaTheme="minorEastAsia"/>
                <w:color w:val="auto"/>
                <w:sz w:val="24"/>
              </w:rPr>
              <w:t>排气筒</w:t>
            </w:r>
            <w:r>
              <w:rPr>
                <w:rFonts w:hint="eastAsia" w:eastAsiaTheme="minorEastAsia"/>
                <w:color w:val="auto"/>
                <w:sz w:val="24"/>
                <w:lang w:eastAsia="zh-CN"/>
              </w:rPr>
              <w:t>颗粒物</w:t>
            </w:r>
            <w:r>
              <w:rPr>
                <w:rFonts w:eastAsiaTheme="minorEastAsia"/>
                <w:color w:val="auto"/>
                <w:sz w:val="24"/>
              </w:rPr>
              <w:t>排放</w:t>
            </w:r>
            <w:r>
              <w:rPr>
                <w:rFonts w:hint="eastAsia" w:eastAsiaTheme="minorEastAsia"/>
                <w:color w:val="auto"/>
                <w:sz w:val="24"/>
                <w:lang w:eastAsia="zh-CN"/>
              </w:rPr>
              <w:t>浓度较高</w:t>
            </w:r>
            <w:r>
              <w:rPr>
                <w:rFonts w:eastAsiaTheme="minorEastAsia"/>
                <w:snapToGrid w:val="0"/>
                <w:color w:val="auto"/>
                <w:sz w:val="24"/>
              </w:rPr>
              <w:t>。因此</w:t>
            </w:r>
            <w:r>
              <w:rPr>
                <w:rFonts w:hint="eastAsia" w:eastAsiaTheme="minorEastAsia"/>
                <w:snapToGrid w:val="0"/>
                <w:color w:val="auto"/>
                <w:sz w:val="24"/>
              </w:rPr>
              <w:t>企业</w:t>
            </w:r>
            <w:r>
              <w:rPr>
                <w:rFonts w:hint="eastAsia" w:eastAsiaTheme="minorEastAsia"/>
                <w:snapToGrid w:val="0"/>
                <w:color w:val="auto"/>
                <w:sz w:val="24"/>
                <w:lang w:eastAsia="zh-CN"/>
              </w:rPr>
              <w:t>应立即停止生产，并对废气治理设施进行检修，同时</w:t>
            </w:r>
            <w:r>
              <w:rPr>
                <w:rFonts w:eastAsiaTheme="minorEastAsia"/>
                <w:snapToGrid w:val="0"/>
                <w:color w:val="auto"/>
                <w:sz w:val="24"/>
              </w:rPr>
              <w:t>加强</w:t>
            </w:r>
            <w:r>
              <w:rPr>
                <w:rFonts w:hint="eastAsia" w:eastAsiaTheme="minorEastAsia"/>
                <w:snapToGrid w:val="0"/>
                <w:color w:val="auto"/>
                <w:sz w:val="24"/>
              </w:rPr>
              <w:t>废气治理</w:t>
            </w:r>
            <w:r>
              <w:rPr>
                <w:rFonts w:eastAsiaTheme="minorEastAsia"/>
                <w:snapToGrid w:val="0"/>
                <w:color w:val="auto"/>
                <w:sz w:val="24"/>
              </w:rPr>
              <w:t>措施的</w:t>
            </w:r>
            <w:r>
              <w:rPr>
                <w:rFonts w:hint="eastAsia" w:eastAsiaTheme="minorEastAsia"/>
                <w:snapToGrid w:val="0"/>
                <w:color w:val="auto"/>
                <w:sz w:val="24"/>
                <w:lang w:eastAsia="zh-CN"/>
              </w:rPr>
              <w:t>日常</w:t>
            </w:r>
            <w:r>
              <w:rPr>
                <w:rFonts w:eastAsiaTheme="minorEastAsia"/>
                <w:snapToGrid w:val="0"/>
                <w:color w:val="auto"/>
                <w:sz w:val="24"/>
              </w:rPr>
              <w:t>运行管理，尽量避免非正常排放</w:t>
            </w:r>
            <w:r>
              <w:rPr>
                <w:rFonts w:hint="eastAsia" w:eastAsiaTheme="minorEastAsia"/>
                <w:snapToGrid w:val="0"/>
                <w:color w:val="auto"/>
                <w:sz w:val="24"/>
              </w:rPr>
              <w:t>。</w:t>
            </w:r>
          </w:p>
          <w:p w14:paraId="24785FDB">
            <w:pPr>
              <w:bidi w:val="0"/>
              <w:ind w:left="0" w:leftChars="0" w:firstLine="0" w:firstLineChars="0"/>
              <w:rPr>
                <w:rFonts w:hint="eastAsia"/>
                <w:b/>
                <w:bCs/>
                <w:color w:val="auto"/>
                <w:lang w:val="en-US" w:eastAsia="zh-CN"/>
              </w:rPr>
            </w:pPr>
            <w:r>
              <w:rPr>
                <w:rFonts w:hint="eastAsia"/>
                <w:b/>
                <w:bCs/>
                <w:color w:val="auto"/>
                <w:lang w:val="en-US" w:eastAsia="zh-CN"/>
              </w:rPr>
              <w:t>3.废水</w:t>
            </w:r>
          </w:p>
          <w:p w14:paraId="09C6B9CD">
            <w:pPr>
              <w:bidi w:val="0"/>
              <w:rPr>
                <w:rFonts w:hint="default"/>
                <w:color w:val="auto"/>
              </w:rPr>
            </w:pPr>
            <w:r>
              <w:rPr>
                <w:rFonts w:hint="default"/>
                <w:color w:val="auto"/>
              </w:rPr>
              <w:t>（</w:t>
            </w:r>
            <w:r>
              <w:rPr>
                <w:rFonts w:hint="default"/>
                <w:color w:val="auto"/>
                <w:lang w:val="en-US" w:eastAsia="zh-CN"/>
              </w:rPr>
              <w:t>1</w:t>
            </w:r>
            <w:r>
              <w:rPr>
                <w:rFonts w:hint="default"/>
                <w:color w:val="auto"/>
              </w:rPr>
              <w:t>）水污染物产排量核算</w:t>
            </w:r>
          </w:p>
          <w:p w14:paraId="530D72FF">
            <w:pPr>
              <w:widowControl/>
              <w:spacing w:line="360" w:lineRule="auto"/>
              <w:ind w:firstLine="480"/>
              <w:jc w:val="left"/>
              <w:rPr>
                <w:rFonts w:hint="default" w:cs="Times New Roman"/>
                <w:color w:val="auto"/>
                <w:sz w:val="24"/>
                <w:szCs w:val="24"/>
                <w:lang w:val="en-US" w:eastAsia="zh-CN"/>
              </w:rPr>
            </w:pPr>
            <w:r>
              <w:rPr>
                <w:rFonts w:hint="eastAsia" w:cs="Times New Roman"/>
                <w:color w:val="auto"/>
                <w:sz w:val="24"/>
                <w:szCs w:val="24"/>
                <w:lang w:eastAsia="zh-CN"/>
              </w:rPr>
              <w:t>炼线主线产生废水的吸附脱色、真空脱臭工序产生冷凝废水，由于本次精炼线技改内容仅在酸化工序前增加</w:t>
            </w:r>
            <w:r>
              <w:rPr>
                <w:rFonts w:hint="eastAsia" w:cs="Times New Roman"/>
                <w:color w:val="auto"/>
                <w:sz w:val="24"/>
                <w:szCs w:val="24"/>
                <w:lang w:val="en-US" w:eastAsia="zh-CN"/>
              </w:rPr>
              <w:t>1条磷脂分线，不会导致</w:t>
            </w:r>
            <w:r>
              <w:rPr>
                <w:rFonts w:hint="eastAsia" w:cs="Times New Roman"/>
                <w:color w:val="auto"/>
                <w:sz w:val="24"/>
                <w:szCs w:val="24"/>
                <w:lang w:eastAsia="zh-CN"/>
              </w:rPr>
              <w:t>吸附脱色、真空脱臭工序原辅材料、生产工艺及产品产量发生变化，因此吸附脱色、真空脱臭工序废水的产排情况不发生变化。</w:t>
            </w:r>
          </w:p>
          <w:p w14:paraId="1D73BA87">
            <w:pPr>
              <w:snapToGrid w:val="0"/>
              <w:spacing w:line="360" w:lineRule="auto"/>
              <w:ind w:left="0" w:leftChars="0" w:firstLine="480" w:firstLineChars="200"/>
              <w:rPr>
                <w:rFonts w:hint="eastAsia" w:cs="Times New Roman"/>
                <w:color w:val="auto"/>
                <w:highlight w:val="none"/>
                <w:lang w:val="en-US" w:eastAsia="zh-CN"/>
              </w:rPr>
            </w:pPr>
            <w:r>
              <w:rPr>
                <w:rFonts w:ascii="Times New Roman" w:cs="Times New Roman"/>
                <w:color w:val="auto"/>
                <w:highlight w:val="none"/>
              </w:rPr>
              <w:t>由表2.</w:t>
            </w:r>
            <w:r>
              <w:rPr>
                <w:rFonts w:hint="eastAsia" w:ascii="Times New Roman" w:cs="Times New Roman"/>
                <w:color w:val="auto"/>
                <w:highlight w:val="none"/>
                <w:lang w:val="en-US" w:eastAsia="zh-CN"/>
              </w:rPr>
              <w:t>4-1及工艺流程</w:t>
            </w:r>
            <w:r>
              <w:rPr>
                <w:rFonts w:ascii="Times New Roman" w:cs="Times New Roman"/>
                <w:color w:val="auto"/>
                <w:highlight w:val="none"/>
              </w:rPr>
              <w:t>分析可知</w:t>
            </w:r>
            <w:r>
              <w:rPr>
                <w:rFonts w:hint="eastAsia" w:ascii="Times New Roman" w:cs="Times New Roman"/>
                <w:color w:val="auto"/>
                <w:highlight w:val="none"/>
              </w:rPr>
              <w:t>，本项目废水主要</w:t>
            </w:r>
            <w:r>
              <w:rPr>
                <w:rFonts w:hint="eastAsia" w:ascii="Times New Roman" w:cs="Times New Roman"/>
                <w:color w:val="auto"/>
                <w:highlight w:val="none"/>
                <w:lang w:eastAsia="zh-CN"/>
              </w:rPr>
              <w:t>为冷凝废水（</w:t>
            </w:r>
            <w:r>
              <w:rPr>
                <w:rFonts w:hint="eastAsia" w:ascii="Times New Roman" w:cs="Times New Roman"/>
                <w:color w:val="auto"/>
                <w:highlight w:val="none"/>
                <w:lang w:val="en-US" w:eastAsia="zh-CN"/>
              </w:rPr>
              <w:t>W7</w:t>
            </w:r>
            <w:r>
              <w:rPr>
                <w:rFonts w:hint="eastAsia" w:ascii="Times New Roman" w:cs="Times New Roman"/>
                <w:color w:val="auto"/>
                <w:highlight w:val="none"/>
                <w:lang w:eastAsia="zh-CN"/>
              </w:rPr>
              <w:t>），包括真空捕集工序产生的冷凝废水</w:t>
            </w:r>
            <w:r>
              <w:rPr>
                <w:rFonts w:hint="eastAsia" w:cs="Times New Roman"/>
                <w:color w:val="auto"/>
                <w:highlight w:val="none"/>
                <w:lang w:eastAsia="zh-CN"/>
              </w:rPr>
              <w:t>（包括：静态混合冷凝水、毛油蒸发水分经冷凝后产生废水）</w:t>
            </w:r>
            <w:r>
              <w:rPr>
                <w:rFonts w:hint="eastAsia" w:ascii="Times New Roman" w:cs="Times New Roman"/>
                <w:color w:val="auto"/>
                <w:highlight w:val="none"/>
                <w:lang w:eastAsia="zh-CN"/>
              </w:rPr>
              <w:t>、薄膜蒸发工序</w:t>
            </w:r>
            <w:r>
              <w:rPr>
                <w:rFonts w:hint="eastAsia" w:cs="Times New Roman"/>
                <w:color w:val="auto"/>
                <w:highlight w:val="none"/>
                <w:lang w:eastAsia="zh-CN"/>
              </w:rPr>
              <w:t>、调质工序多余</w:t>
            </w:r>
            <w:r>
              <w:rPr>
                <w:rFonts w:hint="eastAsia" w:ascii="Times New Roman" w:cs="Times New Roman"/>
                <w:color w:val="auto"/>
                <w:highlight w:val="none"/>
                <w:lang w:eastAsia="zh-CN"/>
              </w:rPr>
              <w:t>的冷凝废水</w:t>
            </w:r>
            <w:r>
              <w:rPr>
                <w:rFonts w:hint="eastAsia" w:cs="Times New Roman"/>
                <w:color w:val="auto"/>
                <w:highlight w:val="none"/>
                <w:lang w:eastAsia="zh-CN"/>
              </w:rPr>
              <w:t>，其中真空捕集冷凝废水产生量为</w:t>
            </w:r>
            <w:r>
              <w:rPr>
                <w:rFonts w:hint="eastAsia" w:cs="Times New Roman"/>
                <w:color w:val="auto"/>
                <w:highlight w:val="none"/>
                <w:lang w:val="en-US" w:eastAsia="zh-CN"/>
              </w:rPr>
              <w:t>32.346m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/d，即9542m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/a，由于该部分冷凝废水来自油料，主要污染物为COD、BOD</w:t>
            </w:r>
            <w:r>
              <w:rPr>
                <w:rFonts w:hint="eastAsia" w:cs="Times New Roman"/>
                <w:color w:val="auto"/>
                <w:highlight w:val="none"/>
                <w:vertAlign w:val="subscript"/>
                <w:lang w:val="en-US" w:eastAsia="zh-CN"/>
              </w:rPr>
              <w:t>5</w:t>
            </w:r>
            <w:r>
              <w:rPr>
                <w:rFonts w:hint="eastAsia" w:cs="Times New Roman"/>
                <w:color w:val="auto"/>
                <w:highlight w:val="none"/>
                <w:lang w:val="en-US" w:eastAsia="zh-CN"/>
              </w:rPr>
              <w:t>、SS、氨氮、总氮、总磷、动植物油；多余冷凝废水产生量为133.448m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/d，即39443m</w:t>
            </w:r>
            <w:r>
              <w:rPr>
                <w:rFonts w:hint="eastAsia" w:cs="Times New Roman"/>
                <w:color w:val="auto"/>
                <w:highlight w:val="none"/>
                <w:vertAlign w:val="superscript"/>
                <w:lang w:val="en-US" w:eastAsia="zh-CN"/>
              </w:rPr>
              <w:t>3</w:t>
            </w:r>
            <w:r>
              <w:rPr>
                <w:rFonts w:hint="eastAsia" w:cs="Times New Roman"/>
                <w:color w:val="auto"/>
                <w:highlight w:val="none"/>
                <w:lang w:val="en-US" w:eastAsia="zh-CN"/>
              </w:rPr>
              <w:t>/a，由于薄膜蒸发工序采用蒸汽对油料进行间接加热，蒸汽冷凝后多余的冷凝废水未与油料直接接触，其主要污染物为COD、BOD</w:t>
            </w:r>
            <w:r>
              <w:rPr>
                <w:rFonts w:hint="eastAsia" w:cs="Times New Roman"/>
                <w:color w:val="auto"/>
                <w:highlight w:val="none"/>
                <w:vertAlign w:val="subscript"/>
                <w:lang w:val="en-US" w:eastAsia="zh-CN"/>
              </w:rPr>
              <w:t>5</w:t>
            </w:r>
            <w:r>
              <w:rPr>
                <w:rFonts w:hint="eastAsia" w:cs="Times New Roman"/>
                <w:color w:val="auto"/>
                <w:highlight w:val="none"/>
                <w:lang w:val="en-US" w:eastAsia="zh-CN"/>
              </w:rPr>
              <w:t>、SS。</w:t>
            </w:r>
          </w:p>
          <w:p w14:paraId="1B869B60">
            <w:pPr>
              <w:snapToGrid w:val="0"/>
              <w:spacing w:line="360" w:lineRule="auto"/>
              <w:ind w:left="0" w:leftChars="0" w:firstLine="480" w:firstLineChars="200"/>
              <w:rPr>
                <w:rFonts w:hint="eastAsia" w:ascii="Times New Roman" w:eastAsia="宋体" w:cs="Times New Roman"/>
                <w:color w:val="auto"/>
                <w:sz w:val="24"/>
                <w:szCs w:val="24"/>
                <w:lang w:val="en-US" w:eastAsia="zh-CN"/>
              </w:rPr>
            </w:pPr>
            <w:r>
              <w:rPr>
                <w:rFonts w:hint="eastAsia" w:ascii="Times New Roman" w:cs="Times New Roman"/>
                <w:color w:val="auto"/>
                <w:highlight w:val="none"/>
                <w:lang w:eastAsia="zh-CN"/>
              </w:rPr>
              <w:t>冷凝废水依托厂区现有污水处理站处理达</w:t>
            </w:r>
            <w:r>
              <w:rPr>
                <w:color w:val="auto"/>
                <w:sz w:val="24"/>
              </w:rPr>
              <w:t>《污水综合排放标准》（GB8978-1996）三级排</w:t>
            </w:r>
            <w:r>
              <w:rPr>
                <w:rFonts w:hint="default" w:ascii="Times New Roman" w:hAnsi="Times New Roman" w:cs="Times New Roman"/>
                <w:color w:val="auto"/>
                <w:sz w:val="24"/>
                <w:szCs w:val="24"/>
              </w:rPr>
              <w:t>放标准</w:t>
            </w:r>
            <w:r>
              <w:rPr>
                <w:rFonts w:hint="default" w:ascii="Times New Roman" w:hAnsi="Times New Roman" w:cs="Times New Roman"/>
                <w:color w:val="auto"/>
                <w:sz w:val="24"/>
                <w:szCs w:val="24"/>
                <w:lang w:eastAsia="zh-CN"/>
              </w:rPr>
              <w:t>后排入厂区</w:t>
            </w:r>
            <w:r>
              <w:rPr>
                <w:rFonts w:hint="default" w:ascii="Times New Roman" w:hAnsi="Times New Roman" w:eastAsia="宋体" w:cs="Times New Roman"/>
                <w:color w:val="auto"/>
                <w:sz w:val="24"/>
                <w:szCs w:val="24"/>
                <w:lang w:val="en-US" w:eastAsia="zh-CN"/>
              </w:rPr>
              <w:t>附近的</w:t>
            </w:r>
            <w:r>
              <w:rPr>
                <w:rFonts w:hint="eastAsia" w:ascii="Times New Roman" w:eastAsia="宋体" w:cs="Times New Roman"/>
                <w:color w:val="auto"/>
                <w:sz w:val="24"/>
                <w:szCs w:val="24"/>
                <w:lang w:val="en-US" w:eastAsia="zh-CN"/>
              </w:rPr>
              <w:t>园区</w:t>
            </w:r>
            <w:r>
              <w:rPr>
                <w:rFonts w:hint="default" w:ascii="Times New Roman" w:hAnsi="Times New Roman" w:cs="Times New Roman"/>
                <w:color w:val="auto"/>
                <w:sz w:val="24"/>
                <w:szCs w:val="24"/>
              </w:rPr>
              <w:t>污水管网</w:t>
            </w:r>
            <w:r>
              <w:rPr>
                <w:rFonts w:hint="eastAsia" w:ascii="Times New Roman" w:cs="Times New Roman"/>
                <w:color w:val="auto"/>
                <w:highlight w:val="none"/>
                <w:lang w:eastAsia="zh-CN"/>
              </w:rPr>
              <w:t>，再经</w:t>
            </w:r>
            <w:r>
              <w:rPr>
                <w:rFonts w:hint="default" w:ascii="Times New Roman" w:hAnsi="Times New Roman" w:cs="Times New Roman"/>
                <w:color w:val="auto"/>
              </w:rPr>
              <w:t>龙桥园区污水处理厂</w:t>
            </w:r>
            <w:r>
              <w:rPr>
                <w:rFonts w:hint="default" w:ascii="Times New Roman" w:hAnsi="Times New Roman" w:cs="Times New Roman"/>
                <w:color w:val="auto"/>
                <w:lang w:eastAsia="zh-CN"/>
              </w:rPr>
              <w:t>深度处理达</w:t>
            </w:r>
            <w:r>
              <w:rPr>
                <w:rFonts w:hint="default" w:ascii="Times New Roman" w:hAnsi="Times New Roman" w:cs="Times New Roman"/>
                <w:color w:val="auto"/>
              </w:rPr>
              <w:t>《化工园区主要水污染物排放标准》（DB50/457-2012）标准（其中COD按60mg/L执行，“DB50457-2012”中未规定的执行《污水综合排放标准》（GB8978-1996）一级标准）</w:t>
            </w:r>
            <w:r>
              <w:rPr>
                <w:rFonts w:hint="eastAsia" w:ascii="Times New Roman" w:hAnsi="Times New Roman" w:eastAsia="宋体" w:cs="Times New Roman"/>
                <w:color w:val="auto"/>
                <w:lang w:eastAsia="zh-CN"/>
              </w:rPr>
              <w:t>后排入长江</w:t>
            </w:r>
            <w:r>
              <w:rPr>
                <w:rFonts w:hint="eastAsia" w:eastAsia="宋体" w:cs="Times New Roman"/>
                <w:color w:val="auto"/>
                <w:lang w:val="en-US" w:eastAsia="zh-CN"/>
              </w:rPr>
              <w:t>。</w:t>
            </w:r>
          </w:p>
          <w:p w14:paraId="1BD3F2CE">
            <w:pPr>
              <w:snapToGrid w:val="0"/>
              <w:spacing w:line="360" w:lineRule="auto"/>
              <w:ind w:firstLine="480" w:firstLineChars="200"/>
              <w:rPr>
                <w:rFonts w:hint="default" w:eastAsia="宋体"/>
                <w:color w:val="auto"/>
                <w:sz w:val="24"/>
                <w:lang w:val="en-US" w:eastAsia="zh-CN"/>
              </w:rPr>
            </w:pPr>
            <w:r>
              <w:rPr>
                <w:rFonts w:hint="default" w:ascii="Times New Roman" w:hAnsi="Times New Roman" w:eastAsia="宋体" w:cs="Times New Roman"/>
                <w:color w:val="auto"/>
                <w:sz w:val="24"/>
                <w:lang w:eastAsia="zh-CN"/>
              </w:rPr>
              <w:t>参照</w:t>
            </w:r>
            <w:r>
              <w:rPr>
                <w:rFonts w:hint="default" w:ascii="Times New Roman" w:hAnsi="Times New Roman" w:cs="Times New Roman"/>
                <w:color w:val="auto"/>
                <w:sz w:val="24"/>
              </w:rPr>
              <w:t>《</w:t>
            </w:r>
            <w:r>
              <w:rPr>
                <w:rFonts w:hint="default" w:ascii="Times New Roman" w:hAnsi="Times New Roman" w:cs="Times New Roman"/>
                <w:color w:val="auto"/>
                <w:kern w:val="0"/>
                <w:sz w:val="24"/>
                <w:lang w:bidi="ar"/>
              </w:rPr>
              <w:t>排放源统计调查产排污核算方法和系数手册—</w:t>
            </w:r>
            <w:r>
              <w:rPr>
                <w:rFonts w:hint="default" w:ascii="Times New Roman" w:hAnsi="Times New Roman" w:eastAsia="宋体" w:cs="Times New Roman"/>
                <w:color w:val="auto"/>
                <w:kern w:val="0"/>
                <w:sz w:val="24"/>
                <w:lang w:eastAsia="zh-CN" w:bidi="ar"/>
              </w:rPr>
              <w:t>食用植物油加工系数手册</w:t>
            </w:r>
            <w:r>
              <w:rPr>
                <w:rFonts w:hint="default" w:ascii="Times New Roman" w:hAnsi="Times New Roman" w:cs="Times New Roman"/>
                <w:color w:val="auto"/>
                <w:sz w:val="24"/>
              </w:rPr>
              <w:t>》</w:t>
            </w:r>
            <w:r>
              <w:rPr>
                <w:rFonts w:hint="default" w:ascii="Times New Roman" w:hAnsi="Times New Roman" w:eastAsia="宋体" w:cs="Times New Roman"/>
                <w:color w:val="auto"/>
                <w:sz w:val="24"/>
                <w:lang w:eastAsia="zh-CN"/>
              </w:rPr>
              <w:t>表</w:t>
            </w:r>
            <w:r>
              <w:rPr>
                <w:rFonts w:hint="default" w:ascii="Times New Roman" w:hAnsi="Times New Roman" w:eastAsia="宋体" w:cs="Times New Roman"/>
                <w:color w:val="auto"/>
                <w:sz w:val="24"/>
                <w:lang w:val="en-US" w:eastAsia="zh-CN"/>
              </w:rPr>
              <w:t>1331</w:t>
            </w:r>
            <w:r>
              <w:rPr>
                <w:rFonts w:hint="default" w:ascii="Times New Roman" w:hAnsi="Times New Roman" w:eastAsia="宋体" w:cs="Times New Roman"/>
                <w:color w:val="auto"/>
                <w:sz w:val="24"/>
                <w:lang w:eastAsia="zh-CN"/>
              </w:rPr>
              <w:t>，大豆</w:t>
            </w:r>
            <w:r>
              <w:rPr>
                <w:rFonts w:hint="eastAsia" w:eastAsia="宋体" w:cs="Times New Roman"/>
                <w:color w:val="auto"/>
                <w:sz w:val="24"/>
                <w:lang w:eastAsia="zh-CN"/>
              </w:rPr>
              <w:t>精制</w:t>
            </w:r>
            <w:r>
              <w:rPr>
                <w:rFonts w:hint="default" w:ascii="Times New Roman" w:hAnsi="Times New Roman" w:eastAsia="宋体" w:cs="Times New Roman"/>
                <w:color w:val="auto"/>
                <w:sz w:val="24"/>
                <w:lang w:eastAsia="zh-CN"/>
              </w:rPr>
              <w:t>油</w:t>
            </w:r>
            <w:r>
              <w:rPr>
                <w:rFonts w:hint="default" w:ascii="Times New Roman" w:hAnsi="Times New Roman" w:eastAsia="宋体" w:cs="Times New Roman"/>
                <w:color w:val="auto"/>
                <w:sz w:val="24"/>
                <w:lang w:val="en-US" w:eastAsia="zh-CN"/>
              </w:rPr>
              <w:t>—浸出+精炼—</w:t>
            </w:r>
            <w:r>
              <w:rPr>
                <w:rFonts w:hint="default" w:ascii="Times New Roman" w:hAnsi="Times New Roman" w:cs="Times New Roman"/>
                <w:color w:val="auto"/>
                <w:sz w:val="24"/>
                <w:lang w:eastAsia="zh-CN"/>
              </w:rPr>
              <w:t>废水产生系数为</w:t>
            </w:r>
            <w:r>
              <w:rPr>
                <w:rFonts w:hint="default" w:ascii="Times New Roman" w:hAnsi="Times New Roman" w:cs="Times New Roman"/>
                <w:color w:val="auto"/>
                <w:sz w:val="24"/>
                <w:lang w:val="en-US" w:eastAsia="zh-CN"/>
              </w:rPr>
              <w:t>0.23吨/吨-原料，COD产生系数为737克/吨-原料，总磷产生系数为2.5克/吨-原料，动植物油产生系数为11.7克/吨-原料，则</w:t>
            </w:r>
            <w:r>
              <w:rPr>
                <w:rFonts w:hint="eastAsia" w:ascii="Times New Roman" w:hAnsi="Times New Roman" w:cs="Times New Roman"/>
                <w:color w:val="auto"/>
                <w:sz w:val="24"/>
                <w:lang w:val="en-US" w:eastAsia="zh-CN"/>
              </w:rPr>
              <w:t>真空捕集</w:t>
            </w:r>
            <w:r>
              <w:rPr>
                <w:rFonts w:hint="default" w:ascii="Times New Roman" w:hAnsi="Times New Roman" w:cs="Times New Roman"/>
                <w:color w:val="auto"/>
                <w:sz w:val="24"/>
                <w:lang w:val="en-US" w:eastAsia="zh-CN"/>
              </w:rPr>
              <w:t>冷凝废水COD的产生浓度为3204mg/L，总磷产生浓度为11mg/L，动植物油产生浓度为51mg/L，</w:t>
            </w:r>
            <w:r>
              <w:rPr>
                <w:rFonts w:hint="eastAsia" w:ascii="Times New Roman" w:hAnsi="Times New Roman" w:cs="Times New Roman"/>
                <w:color w:val="auto"/>
                <w:sz w:val="24"/>
                <w:lang w:val="en-US" w:eastAsia="zh-CN"/>
              </w:rPr>
              <w:t>真空捕集</w:t>
            </w:r>
            <w:r>
              <w:rPr>
                <w:rFonts w:hint="default" w:ascii="Times New Roman" w:hAnsi="Times New Roman" w:cs="Times New Roman"/>
                <w:color w:val="auto"/>
                <w:sz w:val="24"/>
                <w:lang w:val="en-US" w:eastAsia="zh-CN"/>
              </w:rPr>
              <w:t>冷凝废水中其他污染因子</w:t>
            </w:r>
            <w:r>
              <w:rPr>
                <w:rFonts w:hint="eastAsia" w:ascii="Times New Roman" w:hAnsi="Times New Roman" w:cs="Times New Roman"/>
                <w:color w:val="auto"/>
                <w:sz w:val="24"/>
                <w:lang w:val="en-US" w:eastAsia="zh-CN"/>
              </w:rPr>
              <w:t>以及剩余冷凝废水污染物因子</w:t>
            </w:r>
            <w:r>
              <w:rPr>
                <w:rFonts w:hint="default" w:ascii="Times New Roman" w:hAnsi="Times New Roman" w:cs="Times New Roman"/>
                <w:color w:val="auto"/>
                <w:sz w:val="24"/>
                <w:lang w:val="en-US" w:eastAsia="zh-CN"/>
              </w:rPr>
              <w:t>产生浓度通过类比</w:t>
            </w:r>
            <w:r>
              <w:rPr>
                <w:rFonts w:hint="default" w:ascii="Times New Roman" w:hAnsi="Times New Roman" w:cs="Times New Roman"/>
                <w:b w:val="0"/>
                <w:bCs w:val="0"/>
                <w:color w:val="auto"/>
                <w:sz w:val="24"/>
                <w:highlight w:val="none"/>
                <w:lang w:val="en-US" w:eastAsia="zh-CN"/>
              </w:rPr>
              <w:t>《</w:t>
            </w:r>
            <w:r>
              <w:rPr>
                <w:rFonts w:hint="default" w:ascii="Times New Roman" w:hAnsi="Times New Roman" w:cs="Times New Roman"/>
                <w:color w:val="auto"/>
                <w:sz w:val="24"/>
                <w:szCs w:val="24"/>
                <w:highlight w:val="none"/>
              </w:rPr>
              <w:t>博帅生物科技（天津）有限公司磷脂生产项目</w:t>
            </w:r>
            <w:r>
              <w:rPr>
                <w:rFonts w:hint="default" w:ascii="Times New Roman" w:hAnsi="Times New Roman" w:cs="Times New Roman"/>
                <w:b w:val="0"/>
                <w:bCs w:val="0"/>
                <w:color w:val="auto"/>
                <w:sz w:val="24"/>
                <w:szCs w:val="24"/>
                <w:highlight w:val="none"/>
                <w:lang w:eastAsia="zh-CN"/>
              </w:rPr>
              <w:t>环境影响报告表</w:t>
            </w:r>
            <w:r>
              <w:rPr>
                <w:rFonts w:hint="default" w:ascii="Times New Roman" w:hAnsi="Times New Roman" w:cs="Times New Roman"/>
                <w:b w:val="0"/>
                <w:bCs w:val="0"/>
                <w:color w:val="auto"/>
                <w:sz w:val="24"/>
                <w:highlight w:val="none"/>
                <w:lang w:val="en-US" w:eastAsia="zh-CN"/>
              </w:rPr>
              <w:t>》获得。</w:t>
            </w:r>
            <w:r>
              <w:rPr>
                <w:rFonts w:hint="eastAsia"/>
                <w:color w:val="auto"/>
                <w:lang w:val="en-US" w:eastAsia="zh-CN"/>
              </w:rPr>
              <w:t>本项目</w:t>
            </w:r>
            <w:r>
              <w:rPr>
                <w:rFonts w:hint="eastAsia"/>
                <w:color w:val="auto"/>
                <w:sz w:val="24"/>
              </w:rPr>
              <w:t>水污染物核算见表4.</w:t>
            </w:r>
            <w:r>
              <w:rPr>
                <w:rFonts w:hint="eastAsia" w:eastAsia="宋体"/>
                <w:color w:val="auto"/>
                <w:sz w:val="24"/>
                <w:lang w:val="en-US" w:eastAsia="zh-CN"/>
              </w:rPr>
              <w:t>3-1。</w:t>
            </w:r>
          </w:p>
          <w:p w14:paraId="191A2874">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表4.</w:t>
            </w:r>
            <w:r>
              <w:rPr>
                <w:rFonts w:hint="default" w:ascii="Times New Roman" w:hAnsi="Times New Roman" w:eastAsia="宋体" w:cs="Times New Roman"/>
                <w:color w:val="auto"/>
                <w:highlight w:val="none"/>
                <w:lang w:val="en-US" w:eastAsia="zh-CN"/>
              </w:rPr>
              <w:t>3-1</w:t>
            </w:r>
            <w:r>
              <w:rPr>
                <w:rFonts w:hint="default" w:ascii="Times New Roman" w:hAnsi="Times New Roman" w:cs="Times New Roman"/>
                <w:color w:val="auto"/>
                <w:highlight w:val="none"/>
              </w:rPr>
              <w:t xml:space="preserve"> 水污染物核算一览表</w:t>
            </w:r>
          </w:p>
          <w:tbl>
            <w:tblPr>
              <w:tblStyle w:val="17"/>
              <w:tblW w:w="4998" w:type="pct"/>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64"/>
              <w:gridCol w:w="953"/>
              <w:gridCol w:w="959"/>
              <w:gridCol w:w="1236"/>
              <w:gridCol w:w="959"/>
              <w:gridCol w:w="1236"/>
              <w:gridCol w:w="983"/>
            </w:tblGrid>
            <w:tr w14:paraId="73D76DA6">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1041" w:type="pct"/>
                  <w:vMerge w:val="restart"/>
                  <w:tcBorders>
                    <w:tl2br w:val="nil"/>
                    <w:tr2bl w:val="nil"/>
                  </w:tcBorders>
                  <w:vAlign w:val="center"/>
                </w:tcPr>
                <w:p w14:paraId="72E0073F">
                  <w:pPr>
                    <w:pStyle w:val="3"/>
                    <w:bidi w:val="0"/>
                    <w:rPr>
                      <w:color w:val="auto"/>
                    </w:rPr>
                  </w:pPr>
                  <w:r>
                    <w:rPr>
                      <w:color w:val="auto"/>
                    </w:rPr>
                    <w:t>污染物</w:t>
                  </w:r>
                </w:p>
              </w:tc>
              <w:tc>
                <w:tcPr>
                  <w:tcW w:w="1196" w:type="pct"/>
                  <w:gridSpan w:val="2"/>
                  <w:tcBorders>
                    <w:tl2br w:val="nil"/>
                    <w:tr2bl w:val="nil"/>
                  </w:tcBorders>
                  <w:vAlign w:val="center"/>
                </w:tcPr>
                <w:p w14:paraId="04C9CD26">
                  <w:pPr>
                    <w:pStyle w:val="3"/>
                    <w:bidi w:val="0"/>
                    <w:rPr>
                      <w:color w:val="auto"/>
                    </w:rPr>
                  </w:pPr>
                  <w:r>
                    <w:rPr>
                      <w:color w:val="auto"/>
                    </w:rPr>
                    <w:t>产生量</w:t>
                  </w:r>
                </w:p>
              </w:tc>
              <w:tc>
                <w:tcPr>
                  <w:tcW w:w="1373" w:type="pct"/>
                  <w:gridSpan w:val="2"/>
                  <w:tcBorders>
                    <w:tl2br w:val="nil"/>
                    <w:tr2bl w:val="nil"/>
                  </w:tcBorders>
                  <w:vAlign w:val="center"/>
                </w:tcPr>
                <w:p w14:paraId="22D47D63">
                  <w:pPr>
                    <w:pStyle w:val="3"/>
                    <w:bidi w:val="0"/>
                    <w:rPr>
                      <w:color w:val="auto"/>
                    </w:rPr>
                  </w:pPr>
                  <w:r>
                    <w:rPr>
                      <w:color w:val="auto"/>
                    </w:rPr>
                    <w:t>三级标准</w:t>
                  </w:r>
                </w:p>
              </w:tc>
              <w:tc>
                <w:tcPr>
                  <w:tcW w:w="1388" w:type="pct"/>
                  <w:gridSpan w:val="2"/>
                  <w:tcBorders>
                    <w:tl2br w:val="nil"/>
                    <w:tr2bl w:val="nil"/>
                  </w:tcBorders>
                  <w:vAlign w:val="center"/>
                </w:tcPr>
                <w:p w14:paraId="1EDB9750">
                  <w:pPr>
                    <w:pStyle w:val="3"/>
                    <w:bidi w:val="0"/>
                    <w:rPr>
                      <w:rFonts w:hint="eastAsia" w:eastAsia="宋体"/>
                      <w:color w:val="auto"/>
                      <w:lang w:eastAsia="zh-CN"/>
                    </w:rPr>
                  </w:pPr>
                  <w:r>
                    <w:rPr>
                      <w:rFonts w:hint="eastAsia" w:eastAsia="宋体"/>
                      <w:color w:val="auto"/>
                      <w:lang w:eastAsia="zh-CN"/>
                    </w:rPr>
                    <w:t>化工园区主要水污染排放标准</w:t>
                  </w:r>
                </w:p>
              </w:tc>
            </w:tr>
            <w:tr w14:paraId="75A562C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40" w:hRule="exact"/>
                <w:jc w:val="center"/>
              </w:trPr>
              <w:tc>
                <w:tcPr>
                  <w:tcW w:w="1041" w:type="pct"/>
                  <w:vMerge w:val="continue"/>
                  <w:tcBorders>
                    <w:tl2br w:val="nil"/>
                    <w:tr2bl w:val="nil"/>
                  </w:tcBorders>
                  <w:vAlign w:val="center"/>
                </w:tcPr>
                <w:p w14:paraId="4DCD37EF">
                  <w:pPr>
                    <w:pStyle w:val="3"/>
                    <w:bidi w:val="0"/>
                    <w:rPr>
                      <w:color w:val="auto"/>
                    </w:rPr>
                  </w:pPr>
                </w:p>
              </w:tc>
              <w:tc>
                <w:tcPr>
                  <w:tcW w:w="596" w:type="pct"/>
                  <w:tcBorders>
                    <w:tl2br w:val="nil"/>
                    <w:tr2bl w:val="nil"/>
                  </w:tcBorders>
                  <w:vAlign w:val="center"/>
                </w:tcPr>
                <w:p w14:paraId="37882FBD">
                  <w:pPr>
                    <w:pStyle w:val="3"/>
                    <w:bidi w:val="0"/>
                    <w:rPr>
                      <w:rFonts w:hint="default" w:ascii="Times New Roman" w:hAnsi="Times New Roman" w:cs="Times New Roman"/>
                      <w:color w:val="auto"/>
                    </w:rPr>
                  </w:pPr>
                  <w:r>
                    <w:rPr>
                      <w:rFonts w:hint="default" w:ascii="Times New Roman" w:hAnsi="Times New Roman" w:cs="Times New Roman"/>
                      <w:color w:val="auto"/>
                    </w:rPr>
                    <w:t>产生浓</w:t>
                  </w:r>
                </w:p>
                <w:p w14:paraId="6B47ECFC">
                  <w:pPr>
                    <w:pStyle w:val="3"/>
                    <w:bidi w:val="0"/>
                    <w:rPr>
                      <w:rFonts w:hint="default" w:ascii="Times New Roman" w:hAnsi="Times New Roman" w:cs="Times New Roman"/>
                      <w:color w:val="auto"/>
                    </w:rPr>
                  </w:pPr>
                  <w:r>
                    <w:rPr>
                      <w:rFonts w:hint="default" w:ascii="Times New Roman" w:hAnsi="Times New Roman" w:cs="Times New Roman"/>
                      <w:color w:val="auto"/>
                    </w:rPr>
                    <w:t>(mg/L)</w:t>
                  </w:r>
                </w:p>
              </w:tc>
              <w:tc>
                <w:tcPr>
                  <w:tcW w:w="600" w:type="pct"/>
                  <w:tcBorders>
                    <w:tl2br w:val="nil"/>
                    <w:tr2bl w:val="nil"/>
                  </w:tcBorders>
                  <w:vAlign w:val="center"/>
                </w:tcPr>
                <w:p w14:paraId="2492F892">
                  <w:pPr>
                    <w:pStyle w:val="3"/>
                    <w:bidi w:val="0"/>
                    <w:rPr>
                      <w:rFonts w:hint="default" w:ascii="Times New Roman" w:hAnsi="Times New Roman" w:cs="Times New Roman"/>
                      <w:color w:val="auto"/>
                    </w:rPr>
                  </w:pPr>
                  <w:r>
                    <w:rPr>
                      <w:rFonts w:hint="default" w:ascii="Times New Roman" w:hAnsi="Times New Roman" w:cs="Times New Roman"/>
                      <w:color w:val="auto"/>
                    </w:rPr>
                    <w:t>产生量</w:t>
                  </w:r>
                </w:p>
                <w:p w14:paraId="45F807B8">
                  <w:pPr>
                    <w:pStyle w:val="3"/>
                    <w:bidi w:val="0"/>
                    <w:rPr>
                      <w:rFonts w:hint="default" w:ascii="Times New Roman" w:hAnsi="Times New Roman" w:cs="Times New Roman"/>
                      <w:color w:val="auto"/>
                    </w:rPr>
                  </w:pPr>
                  <w:r>
                    <w:rPr>
                      <w:rFonts w:hint="default" w:ascii="Times New Roman" w:hAnsi="Times New Roman" w:cs="Times New Roman"/>
                      <w:color w:val="auto"/>
                    </w:rPr>
                    <w:t>（t/a）</w:t>
                  </w:r>
                </w:p>
              </w:tc>
              <w:tc>
                <w:tcPr>
                  <w:tcW w:w="773" w:type="pct"/>
                  <w:tcBorders>
                    <w:tl2br w:val="nil"/>
                    <w:tr2bl w:val="nil"/>
                  </w:tcBorders>
                  <w:vAlign w:val="center"/>
                </w:tcPr>
                <w:p w14:paraId="5B9CDF0D">
                  <w:pPr>
                    <w:pStyle w:val="3"/>
                    <w:bidi w:val="0"/>
                    <w:rPr>
                      <w:rFonts w:hint="default" w:ascii="Times New Roman" w:hAnsi="Times New Roman" w:eastAsia="宋体" w:cs="Times New Roman"/>
                      <w:color w:val="auto"/>
                      <w:lang w:eastAsia="zh-CN"/>
                    </w:rPr>
                  </w:pPr>
                  <w:r>
                    <w:rPr>
                      <w:rFonts w:hint="default" w:ascii="Times New Roman" w:hAnsi="Times New Roman" w:cs="Times New Roman"/>
                      <w:color w:val="auto"/>
                    </w:rPr>
                    <w:t>排放浓</w:t>
                  </w:r>
                  <w:r>
                    <w:rPr>
                      <w:rFonts w:hint="default" w:ascii="Times New Roman" w:hAnsi="Times New Roman" w:eastAsia="宋体" w:cs="Times New Roman"/>
                      <w:color w:val="auto"/>
                      <w:lang w:eastAsia="zh-CN"/>
                    </w:rPr>
                    <w:t>度</w:t>
                  </w:r>
                </w:p>
                <w:p w14:paraId="3AE033DC">
                  <w:pPr>
                    <w:pStyle w:val="3"/>
                    <w:bidi w:val="0"/>
                    <w:rPr>
                      <w:rFonts w:hint="default" w:ascii="Times New Roman" w:hAnsi="Times New Roman" w:cs="Times New Roman"/>
                      <w:color w:val="auto"/>
                    </w:rPr>
                  </w:pPr>
                  <w:r>
                    <w:rPr>
                      <w:rFonts w:hint="default" w:ascii="Times New Roman" w:hAnsi="Times New Roman" w:cs="Times New Roman"/>
                      <w:color w:val="auto"/>
                    </w:rPr>
                    <w:t>（mg/L）</w:t>
                  </w:r>
                </w:p>
              </w:tc>
              <w:tc>
                <w:tcPr>
                  <w:tcW w:w="600" w:type="pct"/>
                  <w:tcBorders>
                    <w:tl2br w:val="nil"/>
                    <w:tr2bl w:val="nil"/>
                  </w:tcBorders>
                  <w:vAlign w:val="center"/>
                </w:tcPr>
                <w:p w14:paraId="261D5832">
                  <w:pPr>
                    <w:pStyle w:val="3"/>
                    <w:bidi w:val="0"/>
                    <w:rPr>
                      <w:rFonts w:hint="default" w:ascii="Times New Roman" w:hAnsi="Times New Roman" w:cs="Times New Roman"/>
                      <w:color w:val="auto"/>
                    </w:rPr>
                  </w:pPr>
                  <w:r>
                    <w:rPr>
                      <w:rFonts w:hint="default" w:ascii="Times New Roman" w:hAnsi="Times New Roman" w:cs="Times New Roman"/>
                      <w:color w:val="auto"/>
                    </w:rPr>
                    <w:t>排放量</w:t>
                  </w:r>
                </w:p>
                <w:p w14:paraId="09D029D6">
                  <w:pPr>
                    <w:pStyle w:val="3"/>
                    <w:bidi w:val="0"/>
                    <w:rPr>
                      <w:rFonts w:hint="default" w:ascii="Times New Roman" w:hAnsi="Times New Roman" w:cs="Times New Roman"/>
                      <w:color w:val="auto"/>
                    </w:rPr>
                  </w:pPr>
                  <w:r>
                    <w:rPr>
                      <w:rFonts w:hint="default" w:ascii="Times New Roman" w:hAnsi="Times New Roman" w:cs="Times New Roman"/>
                      <w:color w:val="auto"/>
                    </w:rPr>
                    <w:t>（t/a）</w:t>
                  </w:r>
                </w:p>
              </w:tc>
              <w:tc>
                <w:tcPr>
                  <w:tcW w:w="773" w:type="pct"/>
                  <w:tcBorders>
                    <w:tl2br w:val="nil"/>
                    <w:tr2bl w:val="nil"/>
                  </w:tcBorders>
                  <w:vAlign w:val="center"/>
                </w:tcPr>
                <w:p w14:paraId="500317C1">
                  <w:pPr>
                    <w:pStyle w:val="3"/>
                    <w:bidi w:val="0"/>
                    <w:rPr>
                      <w:rFonts w:hint="default" w:ascii="Times New Roman" w:hAnsi="Times New Roman" w:eastAsia="宋体" w:cs="Times New Roman"/>
                      <w:color w:val="auto"/>
                      <w:lang w:eastAsia="zh-CN"/>
                    </w:rPr>
                  </w:pPr>
                  <w:r>
                    <w:rPr>
                      <w:rFonts w:hint="default" w:ascii="Times New Roman" w:hAnsi="Times New Roman" w:cs="Times New Roman"/>
                      <w:color w:val="auto"/>
                    </w:rPr>
                    <w:t>排放浓</w:t>
                  </w:r>
                  <w:r>
                    <w:rPr>
                      <w:rFonts w:hint="default" w:ascii="Times New Roman" w:hAnsi="Times New Roman" w:eastAsia="宋体" w:cs="Times New Roman"/>
                      <w:color w:val="auto"/>
                      <w:lang w:eastAsia="zh-CN"/>
                    </w:rPr>
                    <w:t>度</w:t>
                  </w:r>
                </w:p>
                <w:p w14:paraId="1E9D8D95">
                  <w:pPr>
                    <w:pStyle w:val="3"/>
                    <w:bidi w:val="0"/>
                    <w:rPr>
                      <w:rFonts w:hint="default" w:ascii="Times New Roman" w:hAnsi="Times New Roman" w:cs="Times New Roman"/>
                      <w:color w:val="auto"/>
                    </w:rPr>
                  </w:pPr>
                  <w:r>
                    <w:rPr>
                      <w:rFonts w:hint="default" w:ascii="Times New Roman" w:hAnsi="Times New Roman" w:cs="Times New Roman"/>
                      <w:color w:val="auto"/>
                    </w:rPr>
                    <w:t>（mg/L）</w:t>
                  </w:r>
                </w:p>
              </w:tc>
              <w:tc>
                <w:tcPr>
                  <w:tcW w:w="615" w:type="pct"/>
                  <w:tcBorders>
                    <w:tl2br w:val="nil"/>
                    <w:tr2bl w:val="nil"/>
                  </w:tcBorders>
                  <w:vAlign w:val="center"/>
                </w:tcPr>
                <w:p w14:paraId="75C37A50">
                  <w:pPr>
                    <w:pStyle w:val="3"/>
                    <w:bidi w:val="0"/>
                    <w:rPr>
                      <w:rFonts w:hint="default" w:ascii="Times New Roman" w:hAnsi="Times New Roman" w:cs="Times New Roman"/>
                      <w:color w:val="auto"/>
                    </w:rPr>
                  </w:pPr>
                  <w:r>
                    <w:rPr>
                      <w:rFonts w:hint="default" w:ascii="Times New Roman" w:hAnsi="Times New Roman" w:cs="Times New Roman"/>
                      <w:color w:val="auto"/>
                    </w:rPr>
                    <w:t>排放量</w:t>
                  </w:r>
                </w:p>
                <w:p w14:paraId="7415B518">
                  <w:pPr>
                    <w:pStyle w:val="3"/>
                    <w:bidi w:val="0"/>
                    <w:rPr>
                      <w:rFonts w:hint="default" w:ascii="Times New Roman" w:hAnsi="Times New Roman" w:cs="Times New Roman"/>
                      <w:color w:val="auto"/>
                    </w:rPr>
                  </w:pPr>
                  <w:r>
                    <w:rPr>
                      <w:rFonts w:hint="default" w:ascii="Times New Roman" w:hAnsi="Times New Roman" w:cs="Times New Roman"/>
                      <w:color w:val="auto"/>
                    </w:rPr>
                    <w:t>（t/a）</w:t>
                  </w:r>
                </w:p>
              </w:tc>
            </w:tr>
            <w:tr w14:paraId="4336FB6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1041" w:type="pct"/>
                  <w:tcBorders>
                    <w:tl2br w:val="nil"/>
                    <w:tr2bl w:val="nil"/>
                  </w:tcBorders>
                  <w:vAlign w:val="center"/>
                </w:tcPr>
                <w:p w14:paraId="76B9B882">
                  <w:pPr>
                    <w:pStyle w:val="3"/>
                    <w:bidi w:val="0"/>
                    <w:rPr>
                      <w:rFonts w:hint="default" w:ascii="Times New Roman" w:hAnsi="Times New Roman" w:eastAsia="宋体" w:cs="Times New Roman"/>
                      <w:color w:val="auto"/>
                      <w:lang w:eastAsia="zh-CN"/>
                    </w:rPr>
                  </w:pPr>
                  <w:r>
                    <w:rPr>
                      <w:rFonts w:hint="eastAsia" w:ascii="Times New Roman" w:hAnsi="Times New Roman" w:eastAsia="宋体" w:cs="Times New Roman"/>
                      <w:color w:val="auto"/>
                      <w:lang w:eastAsia="zh-CN"/>
                    </w:rPr>
                    <w:t>真空捕集</w:t>
                  </w:r>
                  <w:r>
                    <w:rPr>
                      <w:rFonts w:hint="default" w:ascii="Times New Roman" w:hAnsi="Times New Roman" w:eastAsia="宋体" w:cs="Times New Roman"/>
                      <w:color w:val="auto"/>
                      <w:lang w:eastAsia="zh-CN"/>
                    </w:rPr>
                    <w:t>冷凝废水</w:t>
                  </w:r>
                </w:p>
              </w:tc>
              <w:tc>
                <w:tcPr>
                  <w:tcW w:w="596" w:type="pct"/>
                  <w:tcBorders>
                    <w:tl2br w:val="nil"/>
                    <w:tr2bl w:val="nil"/>
                  </w:tcBorders>
                  <w:vAlign w:val="center"/>
                </w:tcPr>
                <w:p w14:paraId="45D48002">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600" w:type="pct"/>
                  <w:tcBorders>
                    <w:tl2br w:val="nil"/>
                    <w:tr2bl w:val="nil"/>
                  </w:tcBorders>
                  <w:vAlign w:val="center"/>
                </w:tcPr>
                <w:p w14:paraId="7D637BAA">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9542</w:t>
                  </w:r>
                </w:p>
              </w:tc>
              <w:tc>
                <w:tcPr>
                  <w:tcW w:w="773" w:type="pct"/>
                  <w:tcBorders>
                    <w:tl2br w:val="nil"/>
                    <w:tr2bl w:val="nil"/>
                  </w:tcBorders>
                  <w:vAlign w:val="center"/>
                </w:tcPr>
                <w:p w14:paraId="19310671">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600" w:type="pct"/>
                  <w:tcBorders>
                    <w:tl2br w:val="nil"/>
                    <w:tr2bl w:val="nil"/>
                  </w:tcBorders>
                  <w:vAlign w:val="center"/>
                </w:tcPr>
                <w:p w14:paraId="318B010F">
                  <w:pPr>
                    <w:pStyle w:val="3"/>
                    <w:bidi w:val="0"/>
                    <w:rPr>
                      <w:rFonts w:hint="default" w:ascii="Times New Roman" w:hAnsi="Times New Roman" w:cs="Times New Roman"/>
                      <w:color w:val="auto"/>
                      <w:lang w:val="en-US"/>
                    </w:rPr>
                  </w:pPr>
                  <w:r>
                    <w:rPr>
                      <w:rFonts w:hint="eastAsia" w:ascii="Times New Roman" w:hAnsi="Times New Roman" w:eastAsia="宋体" w:cs="Times New Roman"/>
                      <w:color w:val="auto"/>
                      <w:lang w:val="en-US" w:eastAsia="zh-CN"/>
                    </w:rPr>
                    <w:t>9542</w:t>
                  </w:r>
                </w:p>
              </w:tc>
              <w:tc>
                <w:tcPr>
                  <w:tcW w:w="773" w:type="pct"/>
                  <w:tcBorders>
                    <w:tl2br w:val="nil"/>
                    <w:tr2bl w:val="nil"/>
                  </w:tcBorders>
                  <w:vAlign w:val="center"/>
                </w:tcPr>
                <w:p w14:paraId="4BF9AC84">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615" w:type="pct"/>
                  <w:tcBorders>
                    <w:tl2br w:val="nil"/>
                    <w:tr2bl w:val="nil"/>
                  </w:tcBorders>
                  <w:vAlign w:val="center"/>
                </w:tcPr>
                <w:p w14:paraId="5913A0F5">
                  <w:pPr>
                    <w:pStyle w:val="3"/>
                    <w:bidi w:val="0"/>
                    <w:rPr>
                      <w:rFonts w:hint="default" w:ascii="Times New Roman" w:hAnsi="Times New Roman" w:cs="Times New Roman"/>
                      <w:color w:val="auto"/>
                      <w:lang w:val="en-US"/>
                    </w:rPr>
                  </w:pPr>
                  <w:r>
                    <w:rPr>
                      <w:rFonts w:hint="eastAsia" w:ascii="Times New Roman" w:hAnsi="Times New Roman" w:eastAsia="宋体" w:cs="Times New Roman"/>
                      <w:color w:val="auto"/>
                      <w:lang w:val="en-US" w:eastAsia="zh-CN"/>
                    </w:rPr>
                    <w:t>9542</w:t>
                  </w:r>
                </w:p>
              </w:tc>
            </w:tr>
            <w:tr w14:paraId="3E89A45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1041" w:type="pct"/>
                  <w:tcBorders>
                    <w:tl2br w:val="nil"/>
                    <w:tr2bl w:val="nil"/>
                  </w:tcBorders>
                  <w:vAlign w:val="center"/>
                </w:tcPr>
                <w:p w14:paraId="19222845">
                  <w:pPr>
                    <w:pStyle w:val="3"/>
                    <w:bidi w:val="0"/>
                    <w:rPr>
                      <w:rFonts w:hint="default" w:ascii="Times New Roman" w:hAnsi="Times New Roman" w:cs="Times New Roman"/>
                      <w:color w:val="auto"/>
                    </w:rPr>
                  </w:pPr>
                  <w:r>
                    <w:rPr>
                      <w:rFonts w:hint="default" w:ascii="Times New Roman" w:hAnsi="Times New Roman" w:cs="Times New Roman"/>
                      <w:color w:val="auto"/>
                    </w:rPr>
                    <w:t>COD</w:t>
                  </w:r>
                </w:p>
              </w:tc>
              <w:tc>
                <w:tcPr>
                  <w:tcW w:w="596" w:type="pct"/>
                  <w:tcBorders>
                    <w:tl2br w:val="nil"/>
                    <w:tr2bl w:val="nil"/>
                  </w:tcBorders>
                  <w:vAlign w:val="center"/>
                </w:tcPr>
                <w:p w14:paraId="0537BBA5">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3204</w:t>
                  </w:r>
                </w:p>
              </w:tc>
              <w:tc>
                <w:tcPr>
                  <w:tcW w:w="600" w:type="pct"/>
                  <w:tcBorders>
                    <w:tl2br w:val="nil"/>
                    <w:tr2bl w:val="nil"/>
                  </w:tcBorders>
                  <w:vAlign w:val="center"/>
                </w:tcPr>
                <w:p w14:paraId="0DE56C8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30.573 </w:t>
                  </w:r>
                </w:p>
              </w:tc>
              <w:tc>
                <w:tcPr>
                  <w:tcW w:w="773" w:type="pct"/>
                  <w:tcBorders>
                    <w:tl2br w:val="nil"/>
                    <w:tr2bl w:val="nil"/>
                  </w:tcBorders>
                  <w:vAlign w:val="center"/>
                </w:tcPr>
                <w:p w14:paraId="0C7F0B8F">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28BDFC90">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07A91696">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51B0634D">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r>
            <w:tr w14:paraId="6568E57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02" w:hRule="exact"/>
                <w:jc w:val="center"/>
              </w:trPr>
              <w:tc>
                <w:tcPr>
                  <w:tcW w:w="1041" w:type="pct"/>
                  <w:tcBorders>
                    <w:tl2br w:val="nil"/>
                    <w:tr2bl w:val="nil"/>
                  </w:tcBorders>
                  <w:vAlign w:val="center"/>
                </w:tcPr>
                <w:p w14:paraId="2C462DD2">
                  <w:pPr>
                    <w:pStyle w:val="3"/>
                    <w:bidi w:val="0"/>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596" w:type="pct"/>
                  <w:tcBorders>
                    <w:tl2br w:val="nil"/>
                    <w:tr2bl w:val="nil"/>
                  </w:tcBorders>
                  <w:vAlign w:val="center"/>
                </w:tcPr>
                <w:p w14:paraId="34B9F6D4">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2100</w:t>
                  </w:r>
                </w:p>
              </w:tc>
              <w:tc>
                <w:tcPr>
                  <w:tcW w:w="600" w:type="pct"/>
                  <w:tcBorders>
                    <w:tl2br w:val="nil"/>
                    <w:tr2bl w:val="nil"/>
                  </w:tcBorders>
                  <w:vAlign w:val="center"/>
                </w:tcPr>
                <w:p w14:paraId="2F073ED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20.039 </w:t>
                  </w:r>
                </w:p>
              </w:tc>
              <w:tc>
                <w:tcPr>
                  <w:tcW w:w="773" w:type="pct"/>
                  <w:tcBorders>
                    <w:tl2br w:val="nil"/>
                    <w:tr2bl w:val="nil"/>
                  </w:tcBorders>
                  <w:vAlign w:val="center"/>
                </w:tcPr>
                <w:p w14:paraId="6A9B30E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664225DC">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009F4DAB">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188B205D">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r>
            <w:tr w14:paraId="4041DD7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exact"/>
                <w:jc w:val="center"/>
              </w:trPr>
              <w:tc>
                <w:tcPr>
                  <w:tcW w:w="1041" w:type="pct"/>
                  <w:tcBorders>
                    <w:tl2br w:val="nil"/>
                    <w:tr2bl w:val="nil"/>
                  </w:tcBorders>
                  <w:vAlign w:val="center"/>
                </w:tcPr>
                <w:p w14:paraId="1D9DD8AC">
                  <w:pPr>
                    <w:pStyle w:val="3"/>
                    <w:bidi w:val="0"/>
                    <w:rPr>
                      <w:rFonts w:hint="default" w:ascii="Times New Roman" w:hAnsi="Times New Roman" w:cs="Times New Roman"/>
                      <w:color w:val="auto"/>
                    </w:rPr>
                  </w:pPr>
                  <w:r>
                    <w:rPr>
                      <w:rFonts w:hint="default" w:ascii="Times New Roman" w:hAnsi="Times New Roman" w:cs="Times New Roman"/>
                      <w:color w:val="auto"/>
                    </w:rPr>
                    <w:t>SS</w:t>
                  </w:r>
                </w:p>
              </w:tc>
              <w:tc>
                <w:tcPr>
                  <w:tcW w:w="596" w:type="pct"/>
                  <w:tcBorders>
                    <w:tl2br w:val="nil"/>
                    <w:tr2bl w:val="nil"/>
                  </w:tcBorders>
                  <w:vAlign w:val="center"/>
                </w:tcPr>
                <w:p w14:paraId="71C546E4">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100</w:t>
                  </w:r>
                </w:p>
              </w:tc>
              <w:tc>
                <w:tcPr>
                  <w:tcW w:w="600" w:type="pct"/>
                  <w:tcBorders>
                    <w:tl2br w:val="nil"/>
                    <w:tr2bl w:val="nil"/>
                  </w:tcBorders>
                  <w:vAlign w:val="center"/>
                </w:tcPr>
                <w:p w14:paraId="187E87D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0.954 </w:t>
                  </w:r>
                </w:p>
              </w:tc>
              <w:tc>
                <w:tcPr>
                  <w:tcW w:w="773" w:type="pct"/>
                  <w:tcBorders>
                    <w:tl2br w:val="nil"/>
                    <w:tr2bl w:val="nil"/>
                  </w:tcBorders>
                  <w:vAlign w:val="center"/>
                </w:tcPr>
                <w:p w14:paraId="31BADE2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67EC391C">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676394D1">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0CF46D90">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r>
            <w:tr w14:paraId="2F3394C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exact"/>
                <w:jc w:val="center"/>
              </w:trPr>
              <w:tc>
                <w:tcPr>
                  <w:tcW w:w="1041" w:type="pct"/>
                  <w:tcBorders>
                    <w:tl2br w:val="nil"/>
                    <w:tr2bl w:val="nil"/>
                  </w:tcBorders>
                  <w:vAlign w:val="center"/>
                </w:tcPr>
                <w:p w14:paraId="1E67313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氨氮</w:t>
                  </w:r>
                </w:p>
              </w:tc>
              <w:tc>
                <w:tcPr>
                  <w:tcW w:w="596" w:type="pct"/>
                  <w:tcBorders>
                    <w:tl2br w:val="nil"/>
                    <w:tr2bl w:val="nil"/>
                  </w:tcBorders>
                  <w:vAlign w:val="center"/>
                </w:tcPr>
                <w:p w14:paraId="45C20C06">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150</w:t>
                  </w:r>
                </w:p>
              </w:tc>
              <w:tc>
                <w:tcPr>
                  <w:tcW w:w="600" w:type="pct"/>
                  <w:tcBorders>
                    <w:tl2br w:val="nil"/>
                    <w:tr2bl w:val="nil"/>
                  </w:tcBorders>
                  <w:vAlign w:val="center"/>
                </w:tcPr>
                <w:p w14:paraId="6E523AA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1.431 </w:t>
                  </w:r>
                </w:p>
              </w:tc>
              <w:tc>
                <w:tcPr>
                  <w:tcW w:w="773" w:type="pct"/>
                  <w:tcBorders>
                    <w:tl2br w:val="nil"/>
                    <w:tr2bl w:val="nil"/>
                  </w:tcBorders>
                  <w:vAlign w:val="center"/>
                </w:tcPr>
                <w:p w14:paraId="0AE887F7">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0E5F959A">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03AEB9C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28A3C0DB">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r>
            <w:tr w14:paraId="5E7591D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20" w:hRule="exact"/>
                <w:jc w:val="center"/>
              </w:trPr>
              <w:tc>
                <w:tcPr>
                  <w:tcW w:w="1041" w:type="pct"/>
                  <w:tcBorders>
                    <w:tl2br w:val="nil"/>
                    <w:tr2bl w:val="nil"/>
                  </w:tcBorders>
                  <w:vAlign w:val="center"/>
                </w:tcPr>
                <w:p w14:paraId="6BAD0501">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总氮</w:t>
                  </w:r>
                </w:p>
              </w:tc>
              <w:tc>
                <w:tcPr>
                  <w:tcW w:w="596" w:type="pct"/>
                  <w:tcBorders>
                    <w:tl2br w:val="nil"/>
                    <w:tr2bl w:val="nil"/>
                  </w:tcBorders>
                  <w:vAlign w:val="center"/>
                </w:tcPr>
                <w:p w14:paraId="74CC8D13">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250</w:t>
                  </w:r>
                </w:p>
              </w:tc>
              <w:tc>
                <w:tcPr>
                  <w:tcW w:w="600" w:type="pct"/>
                  <w:tcBorders>
                    <w:tl2br w:val="nil"/>
                    <w:tr2bl w:val="nil"/>
                  </w:tcBorders>
                  <w:vAlign w:val="center"/>
                </w:tcPr>
                <w:p w14:paraId="3554F7CB">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2.386 </w:t>
                  </w:r>
                </w:p>
              </w:tc>
              <w:tc>
                <w:tcPr>
                  <w:tcW w:w="773" w:type="pct"/>
                  <w:tcBorders>
                    <w:tl2br w:val="nil"/>
                    <w:tr2bl w:val="nil"/>
                  </w:tcBorders>
                  <w:vAlign w:val="center"/>
                </w:tcPr>
                <w:p w14:paraId="342D747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63F6C514">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24F79B2C">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580F5FE5">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r>
            <w:tr w14:paraId="53FE445A">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1" w:type="pct"/>
                  <w:tcBorders>
                    <w:tl2br w:val="nil"/>
                    <w:tr2bl w:val="nil"/>
                  </w:tcBorders>
                  <w:vAlign w:val="center"/>
                </w:tcPr>
                <w:p w14:paraId="48345EFF">
                  <w:pPr>
                    <w:pStyle w:val="3"/>
                    <w:bidi w:val="0"/>
                    <w:rPr>
                      <w:rFonts w:hint="default" w:ascii="Times New Roman" w:hAnsi="Times New Roman" w:cs="Times New Roman"/>
                      <w:color w:val="auto"/>
                    </w:rPr>
                  </w:pPr>
                  <w:r>
                    <w:rPr>
                      <w:rFonts w:hint="default" w:ascii="Times New Roman" w:hAnsi="Times New Roman" w:cs="Times New Roman"/>
                      <w:color w:val="auto"/>
                    </w:rPr>
                    <w:t>总磷</w:t>
                  </w:r>
                </w:p>
              </w:tc>
              <w:tc>
                <w:tcPr>
                  <w:tcW w:w="596" w:type="pct"/>
                  <w:tcBorders>
                    <w:tl2br w:val="nil"/>
                    <w:tr2bl w:val="nil"/>
                  </w:tcBorders>
                  <w:vAlign w:val="center"/>
                </w:tcPr>
                <w:p w14:paraId="0ED6BEC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11</w:t>
                  </w:r>
                </w:p>
              </w:tc>
              <w:tc>
                <w:tcPr>
                  <w:tcW w:w="600" w:type="pct"/>
                  <w:tcBorders>
                    <w:tl2br w:val="nil"/>
                    <w:tr2bl w:val="nil"/>
                  </w:tcBorders>
                  <w:vAlign w:val="center"/>
                </w:tcPr>
                <w:p w14:paraId="75F8BD9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0.105 </w:t>
                  </w:r>
                </w:p>
              </w:tc>
              <w:tc>
                <w:tcPr>
                  <w:tcW w:w="773" w:type="pct"/>
                  <w:tcBorders>
                    <w:tl2br w:val="nil"/>
                    <w:tr2bl w:val="nil"/>
                  </w:tcBorders>
                  <w:vAlign w:val="center"/>
                </w:tcPr>
                <w:p w14:paraId="0C014BA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5805F3DB">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5C77E25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01D2059A">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r>
            <w:tr w14:paraId="6CFF262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1" w:type="pct"/>
                  <w:tcBorders>
                    <w:tl2br w:val="nil"/>
                    <w:tr2bl w:val="nil"/>
                  </w:tcBorders>
                  <w:vAlign w:val="center"/>
                </w:tcPr>
                <w:p w14:paraId="6DC212CE">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动植物油</w:t>
                  </w:r>
                </w:p>
              </w:tc>
              <w:tc>
                <w:tcPr>
                  <w:tcW w:w="596" w:type="pct"/>
                  <w:tcBorders>
                    <w:tl2br w:val="nil"/>
                    <w:tr2bl w:val="nil"/>
                  </w:tcBorders>
                  <w:vAlign w:val="center"/>
                </w:tcPr>
                <w:p w14:paraId="493E293F">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51</w:t>
                  </w:r>
                </w:p>
              </w:tc>
              <w:tc>
                <w:tcPr>
                  <w:tcW w:w="600" w:type="pct"/>
                  <w:tcBorders>
                    <w:tl2br w:val="nil"/>
                    <w:tr2bl w:val="nil"/>
                  </w:tcBorders>
                  <w:vAlign w:val="center"/>
                </w:tcPr>
                <w:p w14:paraId="685ED17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0.487 </w:t>
                  </w:r>
                </w:p>
              </w:tc>
              <w:tc>
                <w:tcPr>
                  <w:tcW w:w="773" w:type="pct"/>
                  <w:tcBorders>
                    <w:tl2br w:val="nil"/>
                    <w:tr2bl w:val="nil"/>
                  </w:tcBorders>
                  <w:vAlign w:val="center"/>
                </w:tcPr>
                <w:p w14:paraId="2C6B4FD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65965773">
                  <w:pPr>
                    <w:pStyle w:val="3"/>
                    <w:bidi w:val="0"/>
                    <w:ind w:firstLine="0" w:firstLineChars="0"/>
                    <w:rPr>
                      <w:rFonts w:hint="default" w:ascii="Times New Roman" w:hAnsi="Times New Roman" w:cs="Times New Roman"/>
                      <w:color w:val="auto"/>
                    </w:rPr>
                  </w:pPr>
                  <w:r>
                    <w:rPr>
                      <w:rFonts w:hint="eastAsia" w:ascii="Times New Roman" w:hAnsi="Times New Roman" w:cs="Times New Roman"/>
                      <w:color w:val="auto"/>
                      <w:lang w:val="en-US" w:eastAsia="zh-CN"/>
                    </w:rPr>
                    <w:t>/</w:t>
                  </w:r>
                </w:p>
              </w:tc>
              <w:tc>
                <w:tcPr>
                  <w:tcW w:w="773" w:type="pct"/>
                  <w:tcBorders>
                    <w:tl2br w:val="nil"/>
                    <w:tr2bl w:val="nil"/>
                  </w:tcBorders>
                  <w:vAlign w:val="center"/>
                </w:tcPr>
                <w:p w14:paraId="68870C7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7D4F6C92">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w:t>
                  </w:r>
                </w:p>
              </w:tc>
            </w:tr>
            <w:tr w14:paraId="019ECADD">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1" w:type="pct"/>
                  <w:tcBorders>
                    <w:tl2br w:val="nil"/>
                    <w:tr2bl w:val="nil"/>
                  </w:tcBorders>
                  <w:vAlign w:val="center"/>
                </w:tcPr>
                <w:p w14:paraId="4BEE5C66">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多余</w:t>
                  </w:r>
                  <w:r>
                    <w:rPr>
                      <w:rFonts w:hint="default" w:ascii="Times New Roman" w:hAnsi="Times New Roman" w:eastAsia="宋体" w:cs="Times New Roman"/>
                      <w:color w:val="auto"/>
                      <w:lang w:eastAsia="zh-CN"/>
                    </w:rPr>
                    <w:t>冷凝废水</w:t>
                  </w:r>
                </w:p>
              </w:tc>
              <w:tc>
                <w:tcPr>
                  <w:tcW w:w="596" w:type="pct"/>
                  <w:tcBorders>
                    <w:tl2br w:val="nil"/>
                    <w:tr2bl w:val="nil"/>
                  </w:tcBorders>
                  <w:vAlign w:val="center"/>
                </w:tcPr>
                <w:p w14:paraId="094368BF">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06C10F14">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39443</w:t>
                  </w:r>
                </w:p>
              </w:tc>
              <w:tc>
                <w:tcPr>
                  <w:tcW w:w="773" w:type="pct"/>
                  <w:tcBorders>
                    <w:tl2br w:val="nil"/>
                    <w:tr2bl w:val="nil"/>
                  </w:tcBorders>
                  <w:vAlign w:val="center"/>
                </w:tcPr>
                <w:p w14:paraId="41C838D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2535E6D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39443</w:t>
                  </w:r>
                </w:p>
              </w:tc>
              <w:tc>
                <w:tcPr>
                  <w:tcW w:w="773" w:type="pct"/>
                  <w:tcBorders>
                    <w:tl2br w:val="nil"/>
                    <w:tr2bl w:val="nil"/>
                  </w:tcBorders>
                  <w:vAlign w:val="center"/>
                </w:tcPr>
                <w:p w14:paraId="4668D32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3E3476E9">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39443</w:t>
                  </w:r>
                </w:p>
              </w:tc>
            </w:tr>
            <w:tr w14:paraId="7B257140">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0345923B">
                  <w:pPr>
                    <w:pStyle w:val="3"/>
                    <w:bidi w:val="0"/>
                    <w:ind w:firstLine="0" w:firstLineChars="0"/>
                    <w:rPr>
                      <w:rFonts w:hint="eastAsia" w:ascii="Times New Roman" w:hAnsi="Times New Roman" w:eastAsia="宋体" w:cs="Times New Roman"/>
                      <w:color w:val="auto"/>
                      <w:lang w:eastAsia="zh-CN"/>
                    </w:rPr>
                  </w:pPr>
                  <w:r>
                    <w:rPr>
                      <w:rFonts w:hint="default" w:ascii="Times New Roman" w:hAnsi="Times New Roman" w:cs="Times New Roman"/>
                      <w:color w:val="auto"/>
                    </w:rPr>
                    <w:t>COD</w:t>
                  </w:r>
                </w:p>
              </w:tc>
              <w:tc>
                <w:tcPr>
                  <w:tcW w:w="953" w:type="dxa"/>
                  <w:tcBorders>
                    <w:tl2br w:val="nil"/>
                    <w:tr2bl w:val="nil"/>
                  </w:tcBorders>
                  <w:vAlign w:val="center"/>
                </w:tcPr>
                <w:p w14:paraId="7BDF76E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150</w:t>
                  </w:r>
                </w:p>
              </w:tc>
              <w:tc>
                <w:tcPr>
                  <w:tcW w:w="959" w:type="dxa"/>
                  <w:tcBorders>
                    <w:tl2br w:val="nil"/>
                    <w:tr2bl w:val="nil"/>
                  </w:tcBorders>
                  <w:vAlign w:val="center"/>
                </w:tcPr>
                <w:p w14:paraId="73BDE89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5.916 </w:t>
                  </w:r>
                </w:p>
              </w:tc>
              <w:tc>
                <w:tcPr>
                  <w:tcW w:w="1236" w:type="dxa"/>
                  <w:tcBorders>
                    <w:tl2br w:val="nil"/>
                    <w:tr2bl w:val="nil"/>
                  </w:tcBorders>
                  <w:vAlign w:val="center"/>
                </w:tcPr>
                <w:p w14:paraId="67AA5AB3">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959" w:type="dxa"/>
                  <w:tcBorders>
                    <w:tl2br w:val="nil"/>
                    <w:tr2bl w:val="nil"/>
                  </w:tcBorders>
                  <w:vAlign w:val="center"/>
                </w:tcPr>
                <w:p w14:paraId="0FBCDA79">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236" w:type="dxa"/>
                  <w:tcBorders>
                    <w:tl2br w:val="nil"/>
                    <w:tr2bl w:val="nil"/>
                  </w:tcBorders>
                  <w:vAlign w:val="center"/>
                </w:tcPr>
                <w:p w14:paraId="045BA5FD">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983" w:type="dxa"/>
                  <w:tcBorders>
                    <w:tl2br w:val="nil"/>
                    <w:tr2bl w:val="nil"/>
                  </w:tcBorders>
                  <w:vAlign w:val="center"/>
                </w:tcPr>
                <w:p w14:paraId="6E2F24EA">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eastAsia="宋体" w:cs="Times New Roman"/>
                      <w:color w:val="auto"/>
                      <w:lang w:val="en-US" w:eastAsia="zh-CN"/>
                    </w:rPr>
                    <w:t>/</w:t>
                  </w:r>
                </w:p>
              </w:tc>
            </w:tr>
            <w:tr w14:paraId="4E7E1D1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3F8FE327">
                  <w:pPr>
                    <w:pStyle w:val="3"/>
                    <w:bidi w:val="0"/>
                    <w:ind w:firstLine="0" w:firstLineChars="0"/>
                    <w:rPr>
                      <w:rFonts w:hint="eastAsia" w:ascii="Times New Roman" w:hAnsi="Times New Roman" w:eastAsia="宋体" w:cs="Times New Roman"/>
                      <w:color w:val="auto"/>
                      <w:lang w:eastAsia="zh-CN"/>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tc>
              <w:tc>
                <w:tcPr>
                  <w:tcW w:w="953" w:type="dxa"/>
                  <w:tcBorders>
                    <w:tl2br w:val="nil"/>
                    <w:tr2bl w:val="nil"/>
                  </w:tcBorders>
                  <w:vAlign w:val="center"/>
                </w:tcPr>
                <w:p w14:paraId="598D224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50</w:t>
                  </w:r>
                </w:p>
              </w:tc>
              <w:tc>
                <w:tcPr>
                  <w:tcW w:w="959" w:type="dxa"/>
                  <w:tcBorders>
                    <w:tl2br w:val="nil"/>
                    <w:tr2bl w:val="nil"/>
                  </w:tcBorders>
                  <w:vAlign w:val="center"/>
                </w:tcPr>
                <w:p w14:paraId="26FAE5D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1.972 </w:t>
                  </w:r>
                </w:p>
              </w:tc>
              <w:tc>
                <w:tcPr>
                  <w:tcW w:w="1236" w:type="dxa"/>
                  <w:tcBorders>
                    <w:tl2br w:val="nil"/>
                    <w:tr2bl w:val="nil"/>
                  </w:tcBorders>
                  <w:vAlign w:val="center"/>
                </w:tcPr>
                <w:p w14:paraId="20C32511">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959" w:type="dxa"/>
                  <w:tcBorders>
                    <w:tl2br w:val="nil"/>
                    <w:tr2bl w:val="nil"/>
                  </w:tcBorders>
                  <w:vAlign w:val="center"/>
                </w:tcPr>
                <w:p w14:paraId="282B8753">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236" w:type="dxa"/>
                  <w:tcBorders>
                    <w:tl2br w:val="nil"/>
                    <w:tr2bl w:val="nil"/>
                  </w:tcBorders>
                  <w:vAlign w:val="center"/>
                </w:tcPr>
                <w:p w14:paraId="7A440429">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983" w:type="dxa"/>
                  <w:tcBorders>
                    <w:tl2br w:val="nil"/>
                    <w:tr2bl w:val="nil"/>
                  </w:tcBorders>
                  <w:vAlign w:val="center"/>
                </w:tcPr>
                <w:p w14:paraId="54344BA5">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eastAsia="宋体" w:cs="Times New Roman"/>
                      <w:color w:val="auto"/>
                      <w:lang w:val="en-US" w:eastAsia="zh-CN"/>
                    </w:rPr>
                    <w:t>/</w:t>
                  </w:r>
                </w:p>
              </w:tc>
            </w:tr>
            <w:tr w14:paraId="0E11535E">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5D964D6D">
                  <w:pPr>
                    <w:pStyle w:val="3"/>
                    <w:bidi w:val="0"/>
                    <w:ind w:firstLine="0" w:firstLineChars="0"/>
                    <w:rPr>
                      <w:rFonts w:hint="eastAsia" w:ascii="Times New Roman" w:hAnsi="Times New Roman" w:eastAsia="宋体" w:cs="Times New Roman"/>
                      <w:color w:val="auto"/>
                      <w:lang w:eastAsia="zh-CN"/>
                    </w:rPr>
                  </w:pPr>
                  <w:r>
                    <w:rPr>
                      <w:rFonts w:hint="default" w:ascii="Times New Roman" w:hAnsi="Times New Roman" w:cs="Times New Roman"/>
                      <w:color w:val="auto"/>
                    </w:rPr>
                    <w:t>SS</w:t>
                  </w:r>
                </w:p>
              </w:tc>
              <w:tc>
                <w:tcPr>
                  <w:tcW w:w="953" w:type="dxa"/>
                  <w:tcBorders>
                    <w:tl2br w:val="nil"/>
                    <w:tr2bl w:val="nil"/>
                  </w:tcBorders>
                  <w:vAlign w:val="center"/>
                </w:tcPr>
                <w:p w14:paraId="54C2B72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100</w:t>
                  </w:r>
                </w:p>
              </w:tc>
              <w:tc>
                <w:tcPr>
                  <w:tcW w:w="959" w:type="dxa"/>
                  <w:tcBorders>
                    <w:tl2br w:val="nil"/>
                    <w:tr2bl w:val="nil"/>
                  </w:tcBorders>
                  <w:vAlign w:val="center"/>
                </w:tcPr>
                <w:p w14:paraId="22491C9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3.944 </w:t>
                  </w:r>
                </w:p>
              </w:tc>
              <w:tc>
                <w:tcPr>
                  <w:tcW w:w="1236" w:type="dxa"/>
                  <w:tcBorders>
                    <w:tl2br w:val="nil"/>
                    <w:tr2bl w:val="nil"/>
                  </w:tcBorders>
                  <w:vAlign w:val="center"/>
                </w:tcPr>
                <w:p w14:paraId="3A593B9A">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959" w:type="dxa"/>
                  <w:tcBorders>
                    <w:tl2br w:val="nil"/>
                    <w:tr2bl w:val="nil"/>
                  </w:tcBorders>
                  <w:vAlign w:val="center"/>
                </w:tcPr>
                <w:p w14:paraId="79325A29">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w:t>
                  </w:r>
                </w:p>
              </w:tc>
              <w:tc>
                <w:tcPr>
                  <w:tcW w:w="1236" w:type="dxa"/>
                  <w:tcBorders>
                    <w:tl2br w:val="nil"/>
                    <w:tr2bl w:val="nil"/>
                  </w:tcBorders>
                  <w:vAlign w:val="center"/>
                </w:tcPr>
                <w:p w14:paraId="1912BC94">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983" w:type="dxa"/>
                  <w:tcBorders>
                    <w:tl2br w:val="nil"/>
                    <w:tr2bl w:val="nil"/>
                  </w:tcBorders>
                  <w:vAlign w:val="center"/>
                </w:tcPr>
                <w:p w14:paraId="27412CAE">
                  <w:pPr>
                    <w:pStyle w:val="3"/>
                    <w:bidi w:val="0"/>
                    <w:ind w:firstLine="0" w:firstLineChars="0"/>
                    <w:rPr>
                      <w:rFonts w:hint="default" w:ascii="Times New Roman" w:hAnsi="Times New Roman" w:cs="Times New Roman"/>
                      <w:color w:val="auto"/>
                      <w:lang w:val="en-US" w:eastAsia="zh-CN"/>
                    </w:rPr>
                  </w:pPr>
                  <w:r>
                    <w:rPr>
                      <w:rFonts w:hint="eastAsia" w:ascii="Times New Roman" w:hAnsi="Times New Roman" w:eastAsia="宋体" w:cs="Times New Roman"/>
                      <w:color w:val="auto"/>
                      <w:lang w:val="en-US" w:eastAsia="zh-CN"/>
                    </w:rPr>
                    <w:t>/</w:t>
                  </w:r>
                </w:p>
              </w:tc>
            </w:tr>
            <w:tr w14:paraId="1D7B964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041" w:type="pct"/>
                  <w:tcBorders>
                    <w:tl2br w:val="nil"/>
                    <w:tr2bl w:val="nil"/>
                  </w:tcBorders>
                  <w:vAlign w:val="center"/>
                </w:tcPr>
                <w:p w14:paraId="2338453B">
                  <w:pPr>
                    <w:pStyle w:val="3"/>
                    <w:bidi w:val="0"/>
                    <w:rPr>
                      <w:rFonts w:hint="eastAsia" w:ascii="Times New Roman" w:hAnsi="Times New Roman" w:eastAsia="宋体" w:cs="Times New Roman"/>
                      <w:color w:val="auto"/>
                      <w:lang w:eastAsia="zh-CN"/>
                    </w:rPr>
                  </w:pPr>
                  <w:r>
                    <w:rPr>
                      <w:rFonts w:hint="eastAsia" w:ascii="Times New Roman" w:hAnsi="Times New Roman" w:eastAsia="宋体" w:cs="Times New Roman"/>
                      <w:color w:val="auto"/>
                      <w:lang w:eastAsia="zh-CN"/>
                    </w:rPr>
                    <w:t>综合废水</w:t>
                  </w:r>
                </w:p>
              </w:tc>
              <w:tc>
                <w:tcPr>
                  <w:tcW w:w="596" w:type="pct"/>
                  <w:tcBorders>
                    <w:tl2br w:val="nil"/>
                    <w:tr2bl w:val="nil"/>
                  </w:tcBorders>
                  <w:vAlign w:val="center"/>
                </w:tcPr>
                <w:p w14:paraId="1802B54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4682115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48985</w:t>
                  </w:r>
                </w:p>
              </w:tc>
              <w:tc>
                <w:tcPr>
                  <w:tcW w:w="773" w:type="pct"/>
                  <w:tcBorders>
                    <w:tl2br w:val="nil"/>
                    <w:tr2bl w:val="nil"/>
                  </w:tcBorders>
                  <w:vAlign w:val="center"/>
                </w:tcPr>
                <w:p w14:paraId="290172A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00" w:type="pct"/>
                  <w:tcBorders>
                    <w:tl2br w:val="nil"/>
                    <w:tr2bl w:val="nil"/>
                  </w:tcBorders>
                  <w:vAlign w:val="center"/>
                </w:tcPr>
                <w:p w14:paraId="4A04EB0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48985</w:t>
                  </w:r>
                </w:p>
              </w:tc>
              <w:tc>
                <w:tcPr>
                  <w:tcW w:w="773" w:type="pct"/>
                  <w:tcBorders>
                    <w:tl2br w:val="nil"/>
                    <w:tr2bl w:val="nil"/>
                  </w:tcBorders>
                  <w:vAlign w:val="center"/>
                </w:tcPr>
                <w:p w14:paraId="49F47F38">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615" w:type="pct"/>
                  <w:tcBorders>
                    <w:tl2br w:val="nil"/>
                    <w:tr2bl w:val="nil"/>
                  </w:tcBorders>
                  <w:vAlign w:val="center"/>
                </w:tcPr>
                <w:p w14:paraId="7AC20927">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48985</w:t>
                  </w:r>
                </w:p>
              </w:tc>
            </w:tr>
            <w:tr w14:paraId="64FACB88">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326217E9">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COD</w:t>
                  </w:r>
                </w:p>
              </w:tc>
              <w:tc>
                <w:tcPr>
                  <w:tcW w:w="953" w:type="dxa"/>
                  <w:tcBorders>
                    <w:tl2br w:val="nil"/>
                    <w:tr2bl w:val="nil"/>
                  </w:tcBorders>
                  <w:vAlign w:val="center"/>
                </w:tcPr>
                <w:p w14:paraId="4F827BA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745 </w:t>
                  </w:r>
                </w:p>
              </w:tc>
              <w:tc>
                <w:tcPr>
                  <w:tcW w:w="959" w:type="dxa"/>
                  <w:tcBorders>
                    <w:tl2br w:val="nil"/>
                    <w:tr2bl w:val="nil"/>
                  </w:tcBorders>
                  <w:vAlign w:val="center"/>
                </w:tcPr>
                <w:p w14:paraId="6005D7D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36.490 </w:t>
                  </w:r>
                </w:p>
              </w:tc>
              <w:tc>
                <w:tcPr>
                  <w:tcW w:w="1236" w:type="dxa"/>
                  <w:tcBorders>
                    <w:tl2br w:val="nil"/>
                    <w:tr2bl w:val="nil"/>
                  </w:tcBorders>
                  <w:vAlign w:val="center"/>
                </w:tcPr>
                <w:p w14:paraId="3D82835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500</w:t>
                  </w:r>
                </w:p>
              </w:tc>
              <w:tc>
                <w:tcPr>
                  <w:tcW w:w="959" w:type="dxa"/>
                  <w:tcBorders>
                    <w:tl2br w:val="nil"/>
                    <w:tr2bl w:val="nil"/>
                  </w:tcBorders>
                  <w:vAlign w:val="center"/>
                </w:tcPr>
                <w:p w14:paraId="0640EE1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10.688 </w:t>
                  </w:r>
                </w:p>
              </w:tc>
              <w:tc>
                <w:tcPr>
                  <w:tcW w:w="1236" w:type="dxa"/>
                  <w:tcBorders>
                    <w:tl2br w:val="nil"/>
                    <w:tr2bl w:val="nil"/>
                  </w:tcBorders>
                  <w:vAlign w:val="center"/>
                </w:tcPr>
                <w:p w14:paraId="77194ED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60</w:t>
                  </w:r>
                </w:p>
              </w:tc>
              <w:tc>
                <w:tcPr>
                  <w:tcW w:w="983" w:type="dxa"/>
                  <w:tcBorders>
                    <w:tl2br w:val="nil"/>
                    <w:tr2bl w:val="nil"/>
                  </w:tcBorders>
                  <w:vAlign w:val="center"/>
                </w:tcPr>
                <w:p w14:paraId="4399F186">
                  <w:pPr>
                    <w:pStyle w:val="3"/>
                    <w:bidi w:val="0"/>
                    <w:rPr>
                      <w:rFonts w:hint="default"/>
                      <w:color w:val="auto"/>
                      <w:lang w:val="en-US" w:eastAsia="zh-CN"/>
                    </w:rPr>
                  </w:pPr>
                  <w:r>
                    <w:rPr>
                      <w:rFonts w:hint="eastAsia"/>
                      <w:color w:val="auto"/>
                      <w:lang w:val="en-US" w:eastAsia="zh-CN"/>
                    </w:rPr>
                    <w:t xml:space="preserve">2.939 </w:t>
                  </w:r>
                </w:p>
              </w:tc>
            </w:tr>
            <w:tr w14:paraId="0E0C4E1F">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69817693">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BOD5</w:t>
                  </w:r>
                </w:p>
              </w:tc>
              <w:tc>
                <w:tcPr>
                  <w:tcW w:w="953" w:type="dxa"/>
                  <w:tcBorders>
                    <w:tl2br w:val="nil"/>
                    <w:tr2bl w:val="nil"/>
                  </w:tcBorders>
                  <w:vAlign w:val="center"/>
                </w:tcPr>
                <w:p w14:paraId="01221EC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449 </w:t>
                  </w:r>
                </w:p>
              </w:tc>
              <w:tc>
                <w:tcPr>
                  <w:tcW w:w="959" w:type="dxa"/>
                  <w:tcBorders>
                    <w:tl2br w:val="nil"/>
                    <w:tr2bl w:val="nil"/>
                  </w:tcBorders>
                  <w:vAlign w:val="center"/>
                </w:tcPr>
                <w:p w14:paraId="60ABEA8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22.011 </w:t>
                  </w:r>
                </w:p>
              </w:tc>
              <w:tc>
                <w:tcPr>
                  <w:tcW w:w="1236" w:type="dxa"/>
                  <w:tcBorders>
                    <w:tl2br w:val="nil"/>
                    <w:tr2bl w:val="nil"/>
                  </w:tcBorders>
                  <w:vAlign w:val="center"/>
                </w:tcPr>
                <w:p w14:paraId="546D779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300</w:t>
                  </w:r>
                </w:p>
              </w:tc>
              <w:tc>
                <w:tcPr>
                  <w:tcW w:w="959" w:type="dxa"/>
                  <w:tcBorders>
                    <w:tl2br w:val="nil"/>
                    <w:tr2bl w:val="nil"/>
                  </w:tcBorders>
                  <w:vAlign w:val="center"/>
                </w:tcPr>
                <w:p w14:paraId="25913B7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4.835 </w:t>
                  </w:r>
                </w:p>
              </w:tc>
              <w:tc>
                <w:tcPr>
                  <w:tcW w:w="1236" w:type="dxa"/>
                  <w:tcBorders>
                    <w:tl2br w:val="nil"/>
                    <w:tr2bl w:val="nil"/>
                  </w:tcBorders>
                  <w:vAlign w:val="center"/>
                </w:tcPr>
                <w:p w14:paraId="228C6D4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p>
              </w:tc>
              <w:tc>
                <w:tcPr>
                  <w:tcW w:w="983" w:type="dxa"/>
                  <w:tcBorders>
                    <w:tl2br w:val="nil"/>
                    <w:tr2bl w:val="nil"/>
                  </w:tcBorders>
                  <w:vAlign w:val="center"/>
                </w:tcPr>
                <w:p w14:paraId="4AE9A438">
                  <w:pPr>
                    <w:pStyle w:val="3"/>
                    <w:bidi w:val="0"/>
                    <w:rPr>
                      <w:rFonts w:hint="default"/>
                      <w:color w:val="auto"/>
                      <w:lang w:val="en-US" w:eastAsia="zh-CN"/>
                    </w:rPr>
                  </w:pPr>
                  <w:r>
                    <w:rPr>
                      <w:rFonts w:hint="eastAsia"/>
                      <w:color w:val="auto"/>
                      <w:lang w:val="en-US" w:eastAsia="zh-CN"/>
                    </w:rPr>
                    <w:t xml:space="preserve">0.980 </w:t>
                  </w:r>
                </w:p>
              </w:tc>
            </w:tr>
            <w:tr w14:paraId="510613C2">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04F71743">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SS</w:t>
                  </w:r>
                </w:p>
              </w:tc>
              <w:tc>
                <w:tcPr>
                  <w:tcW w:w="953" w:type="dxa"/>
                  <w:tcBorders>
                    <w:tl2br w:val="nil"/>
                    <w:tr2bl w:val="nil"/>
                  </w:tcBorders>
                  <w:vAlign w:val="center"/>
                </w:tcPr>
                <w:p w14:paraId="1A900CF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100 </w:t>
                  </w:r>
                </w:p>
              </w:tc>
              <w:tc>
                <w:tcPr>
                  <w:tcW w:w="959" w:type="dxa"/>
                  <w:tcBorders>
                    <w:tl2br w:val="nil"/>
                    <w:tr2bl w:val="nil"/>
                  </w:tcBorders>
                  <w:vAlign w:val="center"/>
                </w:tcPr>
                <w:p w14:paraId="4EA4DAC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4.899 </w:t>
                  </w:r>
                </w:p>
              </w:tc>
              <w:tc>
                <w:tcPr>
                  <w:tcW w:w="1236" w:type="dxa"/>
                  <w:tcBorders>
                    <w:tl2br w:val="nil"/>
                    <w:tr2bl w:val="nil"/>
                  </w:tcBorders>
                  <w:vAlign w:val="center"/>
                </w:tcPr>
                <w:p w14:paraId="0068388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85</w:t>
                  </w:r>
                </w:p>
              </w:tc>
              <w:tc>
                <w:tcPr>
                  <w:tcW w:w="959" w:type="dxa"/>
                  <w:tcBorders>
                    <w:tl2br w:val="nil"/>
                    <w:tr2bl w:val="nil"/>
                  </w:tcBorders>
                  <w:vAlign w:val="center"/>
                </w:tcPr>
                <w:p w14:paraId="075958B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4.164 </w:t>
                  </w:r>
                </w:p>
              </w:tc>
              <w:tc>
                <w:tcPr>
                  <w:tcW w:w="1236" w:type="dxa"/>
                  <w:tcBorders>
                    <w:tl2br w:val="nil"/>
                    <w:tr2bl w:val="nil"/>
                  </w:tcBorders>
                  <w:vAlign w:val="center"/>
                </w:tcPr>
                <w:p w14:paraId="3875BF7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70</w:t>
                  </w:r>
                </w:p>
              </w:tc>
              <w:tc>
                <w:tcPr>
                  <w:tcW w:w="983" w:type="dxa"/>
                  <w:tcBorders>
                    <w:tl2br w:val="nil"/>
                    <w:tr2bl w:val="nil"/>
                  </w:tcBorders>
                  <w:vAlign w:val="center"/>
                </w:tcPr>
                <w:p w14:paraId="1BF41E91">
                  <w:pPr>
                    <w:pStyle w:val="3"/>
                    <w:bidi w:val="0"/>
                    <w:rPr>
                      <w:rFonts w:hint="default"/>
                      <w:color w:val="auto"/>
                      <w:lang w:val="en-US" w:eastAsia="zh-CN"/>
                    </w:rPr>
                  </w:pPr>
                  <w:r>
                    <w:rPr>
                      <w:rFonts w:hint="eastAsia"/>
                      <w:color w:val="auto"/>
                      <w:lang w:val="en-US" w:eastAsia="zh-CN"/>
                    </w:rPr>
                    <w:t xml:space="preserve">3.429 </w:t>
                  </w:r>
                </w:p>
              </w:tc>
            </w:tr>
            <w:tr w14:paraId="2A8E098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0F4201F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氨氮</w:t>
                  </w:r>
                </w:p>
              </w:tc>
              <w:tc>
                <w:tcPr>
                  <w:tcW w:w="953" w:type="dxa"/>
                  <w:tcBorders>
                    <w:tl2br w:val="nil"/>
                    <w:tr2bl w:val="nil"/>
                  </w:tcBorders>
                  <w:vAlign w:val="center"/>
                </w:tcPr>
                <w:p w14:paraId="538B555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29 </w:t>
                  </w:r>
                </w:p>
              </w:tc>
              <w:tc>
                <w:tcPr>
                  <w:tcW w:w="959" w:type="dxa"/>
                  <w:tcBorders>
                    <w:tl2br w:val="nil"/>
                    <w:tr2bl w:val="nil"/>
                  </w:tcBorders>
                  <w:vAlign w:val="center"/>
                </w:tcPr>
                <w:p w14:paraId="7A38743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1.431 </w:t>
                  </w:r>
                </w:p>
              </w:tc>
              <w:tc>
                <w:tcPr>
                  <w:tcW w:w="1236" w:type="dxa"/>
                  <w:tcBorders>
                    <w:tl2br w:val="nil"/>
                    <w:tr2bl w:val="nil"/>
                  </w:tcBorders>
                  <w:vAlign w:val="center"/>
                </w:tcPr>
                <w:p w14:paraId="2ACA500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45</w:t>
                  </w:r>
                </w:p>
              </w:tc>
              <w:tc>
                <w:tcPr>
                  <w:tcW w:w="959" w:type="dxa"/>
                  <w:tcBorders>
                    <w:tl2br w:val="nil"/>
                    <w:tr2bl w:val="nil"/>
                  </w:tcBorders>
                  <w:vAlign w:val="center"/>
                </w:tcPr>
                <w:p w14:paraId="1AED6F8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0.429 </w:t>
                  </w:r>
                </w:p>
              </w:tc>
              <w:tc>
                <w:tcPr>
                  <w:tcW w:w="1236" w:type="dxa"/>
                  <w:tcBorders>
                    <w:tl2br w:val="nil"/>
                    <w:tr2bl w:val="nil"/>
                  </w:tcBorders>
                  <w:vAlign w:val="center"/>
                </w:tcPr>
                <w:p w14:paraId="142C829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983" w:type="dxa"/>
                  <w:tcBorders>
                    <w:tl2br w:val="nil"/>
                    <w:tr2bl w:val="nil"/>
                  </w:tcBorders>
                  <w:vAlign w:val="center"/>
                </w:tcPr>
                <w:p w14:paraId="6AF5889A">
                  <w:pPr>
                    <w:pStyle w:val="3"/>
                    <w:bidi w:val="0"/>
                    <w:rPr>
                      <w:rFonts w:hint="default"/>
                      <w:color w:val="auto"/>
                      <w:lang w:val="en-US" w:eastAsia="zh-CN"/>
                    </w:rPr>
                  </w:pPr>
                  <w:r>
                    <w:rPr>
                      <w:rFonts w:hint="eastAsia"/>
                      <w:color w:val="auto"/>
                      <w:lang w:val="en-US" w:eastAsia="zh-CN"/>
                    </w:rPr>
                    <w:t xml:space="preserve">0.095 </w:t>
                  </w:r>
                </w:p>
              </w:tc>
            </w:tr>
            <w:tr w14:paraId="0A2983A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04053DF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总氮</w:t>
                  </w:r>
                </w:p>
              </w:tc>
              <w:tc>
                <w:tcPr>
                  <w:tcW w:w="953" w:type="dxa"/>
                  <w:tcBorders>
                    <w:tl2br w:val="nil"/>
                    <w:tr2bl w:val="nil"/>
                  </w:tcBorders>
                  <w:vAlign w:val="center"/>
                </w:tcPr>
                <w:p w14:paraId="5DCD0A5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49 </w:t>
                  </w:r>
                </w:p>
              </w:tc>
              <w:tc>
                <w:tcPr>
                  <w:tcW w:w="959" w:type="dxa"/>
                  <w:tcBorders>
                    <w:tl2br w:val="nil"/>
                    <w:tr2bl w:val="nil"/>
                  </w:tcBorders>
                  <w:vAlign w:val="center"/>
                </w:tcPr>
                <w:p w14:paraId="39D13D5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2.386 </w:t>
                  </w:r>
                </w:p>
              </w:tc>
              <w:tc>
                <w:tcPr>
                  <w:tcW w:w="1236" w:type="dxa"/>
                  <w:tcBorders>
                    <w:tl2br w:val="nil"/>
                    <w:tr2bl w:val="nil"/>
                  </w:tcBorders>
                  <w:vAlign w:val="center"/>
                </w:tcPr>
                <w:p w14:paraId="14EEFED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70</w:t>
                  </w:r>
                </w:p>
              </w:tc>
              <w:tc>
                <w:tcPr>
                  <w:tcW w:w="959" w:type="dxa"/>
                  <w:tcBorders>
                    <w:tl2br w:val="nil"/>
                    <w:tr2bl w:val="nil"/>
                  </w:tcBorders>
                  <w:vAlign w:val="center"/>
                </w:tcPr>
                <w:p w14:paraId="5310737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0.668 </w:t>
                  </w:r>
                </w:p>
              </w:tc>
              <w:tc>
                <w:tcPr>
                  <w:tcW w:w="1236" w:type="dxa"/>
                  <w:tcBorders>
                    <w:tl2br w:val="nil"/>
                    <w:tr2bl w:val="nil"/>
                  </w:tcBorders>
                  <w:vAlign w:val="center"/>
                </w:tcPr>
                <w:p w14:paraId="7740CC5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p>
              </w:tc>
              <w:tc>
                <w:tcPr>
                  <w:tcW w:w="983" w:type="dxa"/>
                  <w:tcBorders>
                    <w:tl2br w:val="nil"/>
                    <w:tr2bl w:val="nil"/>
                  </w:tcBorders>
                  <w:vAlign w:val="center"/>
                </w:tcPr>
                <w:p w14:paraId="4AF2182E">
                  <w:pPr>
                    <w:pStyle w:val="3"/>
                    <w:bidi w:val="0"/>
                    <w:rPr>
                      <w:rFonts w:hint="default"/>
                      <w:color w:val="auto"/>
                      <w:lang w:val="en-US" w:eastAsia="zh-CN"/>
                    </w:rPr>
                  </w:pPr>
                  <w:r>
                    <w:rPr>
                      <w:rFonts w:hint="eastAsia"/>
                      <w:color w:val="auto"/>
                      <w:lang w:val="en-US" w:eastAsia="zh-CN"/>
                    </w:rPr>
                    <w:t xml:space="preserve">0.191 </w:t>
                  </w:r>
                </w:p>
              </w:tc>
            </w:tr>
            <w:tr w14:paraId="78E7E7EB">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61802F49">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总磷</w:t>
                  </w:r>
                </w:p>
              </w:tc>
              <w:tc>
                <w:tcPr>
                  <w:tcW w:w="953" w:type="dxa"/>
                  <w:tcBorders>
                    <w:tl2br w:val="nil"/>
                    <w:tr2bl w:val="nil"/>
                  </w:tcBorders>
                  <w:vAlign w:val="center"/>
                </w:tcPr>
                <w:p w14:paraId="0EE4873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 </w:t>
                  </w:r>
                </w:p>
              </w:tc>
              <w:tc>
                <w:tcPr>
                  <w:tcW w:w="959" w:type="dxa"/>
                  <w:tcBorders>
                    <w:tl2br w:val="nil"/>
                    <w:tr2bl w:val="nil"/>
                  </w:tcBorders>
                  <w:vAlign w:val="center"/>
                </w:tcPr>
                <w:p w14:paraId="598A447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0.105 </w:t>
                  </w:r>
                </w:p>
              </w:tc>
              <w:tc>
                <w:tcPr>
                  <w:tcW w:w="1236" w:type="dxa"/>
                  <w:tcBorders>
                    <w:tl2br w:val="nil"/>
                    <w:tr2bl w:val="nil"/>
                  </w:tcBorders>
                  <w:vAlign w:val="center"/>
                </w:tcPr>
                <w:p w14:paraId="59D588C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8</w:t>
                  </w:r>
                </w:p>
              </w:tc>
              <w:tc>
                <w:tcPr>
                  <w:tcW w:w="959" w:type="dxa"/>
                  <w:tcBorders>
                    <w:tl2br w:val="nil"/>
                    <w:tr2bl w:val="nil"/>
                  </w:tcBorders>
                  <w:vAlign w:val="center"/>
                </w:tcPr>
                <w:p w14:paraId="6A39F21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0.076 </w:t>
                  </w:r>
                </w:p>
              </w:tc>
              <w:tc>
                <w:tcPr>
                  <w:tcW w:w="1236" w:type="dxa"/>
                  <w:tcBorders>
                    <w:tl2br w:val="nil"/>
                    <w:tr2bl w:val="nil"/>
                  </w:tcBorders>
                  <w:vAlign w:val="center"/>
                </w:tcPr>
                <w:p w14:paraId="6BC86B8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w:t>
                  </w:r>
                </w:p>
              </w:tc>
              <w:tc>
                <w:tcPr>
                  <w:tcW w:w="983" w:type="dxa"/>
                  <w:tcBorders>
                    <w:tl2br w:val="nil"/>
                    <w:tr2bl w:val="nil"/>
                  </w:tcBorders>
                  <w:vAlign w:val="center"/>
                </w:tcPr>
                <w:p w14:paraId="2B9D8FF3">
                  <w:pPr>
                    <w:pStyle w:val="3"/>
                    <w:bidi w:val="0"/>
                    <w:rPr>
                      <w:rFonts w:hint="default"/>
                      <w:color w:val="auto"/>
                      <w:lang w:val="en-US" w:eastAsia="zh-CN"/>
                    </w:rPr>
                  </w:pPr>
                  <w:r>
                    <w:rPr>
                      <w:rFonts w:hint="eastAsia"/>
                      <w:color w:val="auto"/>
                      <w:lang w:val="en-US" w:eastAsia="zh-CN"/>
                    </w:rPr>
                    <w:t xml:space="preserve">0.005 </w:t>
                  </w:r>
                </w:p>
              </w:tc>
            </w:tr>
            <w:tr w14:paraId="5E379105">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10" w:hRule="exact"/>
                <w:jc w:val="center"/>
              </w:trPr>
              <w:tc>
                <w:tcPr>
                  <w:tcW w:w="1664" w:type="dxa"/>
                  <w:tcBorders>
                    <w:tl2br w:val="nil"/>
                    <w:tr2bl w:val="nil"/>
                  </w:tcBorders>
                  <w:vAlign w:val="center"/>
                </w:tcPr>
                <w:p w14:paraId="02ED16C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动植物油</w:t>
                  </w:r>
                </w:p>
              </w:tc>
              <w:tc>
                <w:tcPr>
                  <w:tcW w:w="953" w:type="dxa"/>
                  <w:tcBorders>
                    <w:tl2br w:val="nil"/>
                    <w:tr2bl w:val="nil"/>
                  </w:tcBorders>
                  <w:vAlign w:val="center"/>
                </w:tcPr>
                <w:p w14:paraId="769CFD8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10 </w:t>
                  </w:r>
                </w:p>
              </w:tc>
              <w:tc>
                <w:tcPr>
                  <w:tcW w:w="959" w:type="dxa"/>
                  <w:tcBorders>
                    <w:tl2br w:val="nil"/>
                    <w:tr2bl w:val="nil"/>
                  </w:tcBorders>
                  <w:vAlign w:val="center"/>
                </w:tcPr>
                <w:p w14:paraId="7E265BE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0.487 </w:t>
                  </w:r>
                </w:p>
              </w:tc>
              <w:tc>
                <w:tcPr>
                  <w:tcW w:w="1236" w:type="dxa"/>
                  <w:tcBorders>
                    <w:tl2br w:val="nil"/>
                    <w:tr2bl w:val="nil"/>
                  </w:tcBorders>
                  <w:vAlign w:val="center"/>
                </w:tcPr>
                <w:p w14:paraId="15D5CB3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p>
              </w:tc>
              <w:tc>
                <w:tcPr>
                  <w:tcW w:w="959" w:type="dxa"/>
                  <w:tcBorders>
                    <w:tl2br w:val="nil"/>
                    <w:tr2bl w:val="nil"/>
                  </w:tcBorders>
                  <w:vAlign w:val="center"/>
                </w:tcPr>
                <w:p w14:paraId="04A552D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0.286 </w:t>
                  </w:r>
                </w:p>
              </w:tc>
              <w:tc>
                <w:tcPr>
                  <w:tcW w:w="1236" w:type="dxa"/>
                  <w:tcBorders>
                    <w:tl2br w:val="nil"/>
                    <w:tr2bl w:val="nil"/>
                  </w:tcBorders>
                  <w:vAlign w:val="center"/>
                </w:tcPr>
                <w:p w14:paraId="71FF88A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w:t>
                  </w:r>
                </w:p>
              </w:tc>
              <w:tc>
                <w:tcPr>
                  <w:tcW w:w="983" w:type="dxa"/>
                  <w:tcBorders>
                    <w:tl2br w:val="nil"/>
                    <w:tr2bl w:val="nil"/>
                  </w:tcBorders>
                  <w:vAlign w:val="center"/>
                </w:tcPr>
                <w:p w14:paraId="3DB8CE99">
                  <w:pPr>
                    <w:pStyle w:val="3"/>
                    <w:bidi w:val="0"/>
                    <w:rPr>
                      <w:rFonts w:hint="default"/>
                      <w:color w:val="auto"/>
                      <w:lang w:val="en-US" w:eastAsia="zh-CN"/>
                    </w:rPr>
                  </w:pPr>
                  <w:r>
                    <w:rPr>
                      <w:rFonts w:hint="eastAsia"/>
                      <w:color w:val="auto"/>
                      <w:lang w:val="en-US" w:eastAsia="zh-CN"/>
                    </w:rPr>
                    <w:t xml:space="preserve">0.095 </w:t>
                  </w:r>
                </w:p>
              </w:tc>
            </w:tr>
          </w:tbl>
          <w:p w14:paraId="63C43328">
            <w:pPr>
              <w:bidi w:val="0"/>
              <w:rPr>
                <w:rFonts w:hint="default"/>
                <w:color w:val="auto"/>
                <w:lang w:eastAsia="zh-CN"/>
              </w:rPr>
            </w:pPr>
            <w:r>
              <w:rPr>
                <w:rFonts w:hint="default"/>
                <w:color w:val="auto"/>
                <w:lang w:eastAsia="zh-CN"/>
              </w:rPr>
              <w:t>（</w:t>
            </w:r>
            <w:r>
              <w:rPr>
                <w:rFonts w:hint="default"/>
                <w:color w:val="auto"/>
                <w:lang w:val="en-US" w:eastAsia="zh-CN"/>
              </w:rPr>
              <w:t>2</w:t>
            </w:r>
            <w:r>
              <w:rPr>
                <w:rFonts w:hint="default"/>
                <w:color w:val="auto"/>
                <w:lang w:eastAsia="zh-CN"/>
              </w:rPr>
              <w:t>）</w:t>
            </w:r>
            <w:r>
              <w:rPr>
                <w:rFonts w:hint="eastAsia"/>
                <w:color w:val="auto"/>
                <w:lang w:eastAsia="zh-CN"/>
              </w:rPr>
              <w:t>废水</w:t>
            </w:r>
            <w:r>
              <w:rPr>
                <w:rFonts w:hint="default"/>
                <w:color w:val="auto"/>
                <w:lang w:eastAsia="zh-CN"/>
              </w:rPr>
              <w:t>治理措施可行性</w:t>
            </w:r>
          </w:p>
          <w:p w14:paraId="731D971B">
            <w:pPr>
              <w:tabs>
                <w:tab w:val="left" w:pos="652"/>
              </w:tabs>
              <w:snapToGrid w:val="0"/>
              <w:spacing w:line="360" w:lineRule="auto"/>
              <w:ind w:firstLine="480" w:firstLineChars="200"/>
              <w:rPr>
                <w:color w:val="auto"/>
                <w:sz w:val="24"/>
              </w:rPr>
            </w:pPr>
            <w:r>
              <w:rPr>
                <w:rFonts w:hint="eastAsia"/>
                <w:color w:val="auto"/>
                <w:lang w:eastAsia="zh-CN"/>
              </w:rPr>
              <w:t>本项目产生废水依托厂区现有污水处理站处理，其设计处理能力为</w:t>
            </w:r>
            <w:r>
              <w:rPr>
                <w:rFonts w:hint="eastAsia"/>
                <w:color w:val="auto"/>
                <w:lang w:val="en-US" w:eastAsia="zh-CN"/>
              </w:rPr>
              <w:t>500m</w:t>
            </w:r>
            <w:r>
              <w:rPr>
                <w:rFonts w:hint="eastAsia"/>
                <w:color w:val="auto"/>
                <w:vertAlign w:val="superscript"/>
                <w:lang w:val="en-US" w:eastAsia="zh-CN"/>
              </w:rPr>
              <w:t>3</w:t>
            </w:r>
            <w:r>
              <w:rPr>
                <w:rFonts w:hint="eastAsia"/>
                <w:color w:val="auto"/>
                <w:lang w:val="en-US" w:eastAsia="zh-CN"/>
              </w:rPr>
              <w:t>/d，根据日常运行记录，该污水处理站废水实际处理量约为297m</w:t>
            </w:r>
            <w:r>
              <w:rPr>
                <w:rFonts w:hint="eastAsia"/>
                <w:color w:val="auto"/>
                <w:vertAlign w:val="superscript"/>
                <w:lang w:val="en-US" w:eastAsia="zh-CN"/>
              </w:rPr>
              <w:t>3</w:t>
            </w:r>
            <w:r>
              <w:rPr>
                <w:rFonts w:hint="eastAsia"/>
                <w:color w:val="auto"/>
                <w:lang w:val="en-US" w:eastAsia="zh-CN"/>
              </w:rPr>
              <w:t>/d，则剩余处理能力为203m</w:t>
            </w:r>
            <w:r>
              <w:rPr>
                <w:rFonts w:hint="eastAsia"/>
                <w:color w:val="auto"/>
                <w:vertAlign w:val="superscript"/>
                <w:lang w:val="en-US" w:eastAsia="zh-CN"/>
              </w:rPr>
              <w:t>3</w:t>
            </w:r>
            <w:r>
              <w:rPr>
                <w:rFonts w:hint="eastAsia"/>
                <w:color w:val="auto"/>
                <w:lang w:val="en-US" w:eastAsia="zh-CN"/>
              </w:rPr>
              <w:t>/d，</w:t>
            </w:r>
            <w:r>
              <w:rPr>
                <w:rFonts w:hint="eastAsia"/>
                <w:color w:val="auto"/>
                <w:lang w:val="en-US" w:eastAsia="zh-CN"/>
              </w:rPr>
              <w:t>本项目废水排放量为165.795m</w:t>
            </w:r>
            <w:r>
              <w:rPr>
                <w:rFonts w:hint="eastAsia"/>
                <w:color w:val="auto"/>
                <w:vertAlign w:val="superscript"/>
                <w:lang w:val="en-US" w:eastAsia="zh-CN"/>
              </w:rPr>
              <w:t>3</w:t>
            </w:r>
            <w:r>
              <w:rPr>
                <w:rFonts w:hint="eastAsia"/>
                <w:color w:val="auto"/>
                <w:lang w:val="en-US" w:eastAsia="zh-CN"/>
              </w:rPr>
              <w:t>/d，</w:t>
            </w:r>
            <w:r>
              <w:rPr>
                <w:rFonts w:hint="eastAsia"/>
                <w:color w:val="auto"/>
                <w:lang w:val="en-US" w:eastAsia="zh-CN"/>
              </w:rPr>
              <w:t>其剩余处理能力能够满足本项目需求。该污水处理站采用“酸碱中和+气浮+厌氧+接触氧化”的废水治理工艺，根据《排污许可证申请与核发技术规范 农副食品加工工业—饲料加工、植物油加工工业》（HJ1110-2020）附录B，废水污染防治可行技术参考表—间接排放—可行技术包括：预处理：粗（细）格栅；</w:t>
            </w:r>
            <w:r>
              <w:rPr>
                <w:rFonts w:hint="eastAsia"/>
                <w:b w:val="0"/>
                <w:bCs w:val="0"/>
                <w:color w:val="auto"/>
                <w:lang w:val="en-US" w:eastAsia="zh-CN"/>
              </w:rPr>
              <w:t>气浮</w:t>
            </w:r>
            <w:r>
              <w:rPr>
                <w:rFonts w:hint="eastAsia"/>
                <w:color w:val="auto"/>
                <w:lang w:val="en-US" w:eastAsia="zh-CN"/>
              </w:rPr>
              <w:t>；隔油池、沉淀；生化处理：活性污泥法及改进的活性污泥法；生物膜法；厌氧法，</w:t>
            </w:r>
            <w:r>
              <w:rPr>
                <w:rFonts w:hint="eastAsia"/>
                <w:color w:val="auto"/>
                <w:sz w:val="24"/>
              </w:rPr>
              <w:t>因此</w:t>
            </w:r>
            <w:r>
              <w:rPr>
                <w:rFonts w:hint="eastAsia" w:eastAsia="宋体"/>
                <w:color w:val="auto"/>
                <w:sz w:val="24"/>
                <w:lang w:eastAsia="zh-CN"/>
              </w:rPr>
              <w:t>，该污水处理站</w:t>
            </w:r>
            <w:r>
              <w:rPr>
                <w:rFonts w:hint="eastAsia"/>
                <w:color w:val="auto"/>
                <w:sz w:val="24"/>
              </w:rPr>
              <w:t>采取的废水治理工艺属于可行技术。</w:t>
            </w:r>
          </w:p>
          <w:p w14:paraId="1DB6051B">
            <w:pPr>
              <w:bidi w:val="0"/>
              <w:ind w:left="0" w:leftChars="0" w:firstLine="480" w:firstLineChars="200"/>
              <w:rPr>
                <w:rFonts w:hint="default"/>
                <w:color w:val="auto"/>
                <w:lang w:val="en-US" w:eastAsia="zh-CN"/>
              </w:rPr>
            </w:pPr>
            <w:r>
              <w:rPr>
                <w:rFonts w:hint="default"/>
                <w:color w:val="auto"/>
                <w:lang w:val="en-US" w:eastAsia="zh-CN"/>
              </w:rPr>
              <w:t>根据《</w:t>
            </w:r>
            <w:r>
              <w:rPr>
                <w:rFonts w:hint="default"/>
                <w:color w:val="auto"/>
              </w:rPr>
              <w:t>重庆市涪陵区龙桥镇中粮油脂（重庆）有限公司2020年技改项目竣工环境保护验收监测报告表</w:t>
            </w:r>
            <w:r>
              <w:rPr>
                <w:rFonts w:hint="default"/>
                <w:color w:val="auto"/>
                <w:lang w:val="en-US" w:eastAsia="zh-CN"/>
              </w:rPr>
              <w:t>》</w:t>
            </w:r>
            <w:r>
              <w:rPr>
                <w:rFonts w:hint="eastAsia"/>
                <w:color w:val="auto"/>
                <w:lang w:val="en-US" w:eastAsia="zh-CN"/>
              </w:rPr>
              <w:t>以及例行监测报告，该污水处理站水质排放浓度能满足</w:t>
            </w:r>
            <w:r>
              <w:rPr>
                <w:rFonts w:hint="default"/>
                <w:color w:val="auto"/>
              </w:rPr>
              <w:t>《污水综合排放标准》（GB8978-1996）三级标准</w:t>
            </w:r>
            <w:r>
              <w:rPr>
                <w:rFonts w:hint="eastAsia"/>
                <w:color w:val="auto"/>
                <w:lang w:eastAsia="zh-CN"/>
              </w:rPr>
              <w:t>，其排放的水污染物能实现稳定达标排放，因此，本项目产生废水依托该污水处理站处理可行。</w:t>
            </w:r>
          </w:p>
          <w:p w14:paraId="194F58E2">
            <w:pPr>
              <w:bidi w:val="0"/>
              <w:rPr>
                <w:color w:val="auto"/>
              </w:rPr>
            </w:pPr>
            <w:r>
              <w:rPr>
                <w:rFonts w:hint="eastAsia"/>
                <w:color w:val="auto"/>
                <w:lang w:eastAsia="zh-CN"/>
              </w:rPr>
              <w:t>本项目水类别、污染物种类及污染治理设施情况</w:t>
            </w:r>
            <w:r>
              <w:rPr>
                <w:color w:val="auto"/>
              </w:rPr>
              <w:t>见表</w:t>
            </w:r>
            <w:r>
              <w:rPr>
                <w:rFonts w:hint="eastAsia" w:eastAsia="宋体"/>
                <w:color w:val="auto"/>
                <w:lang w:val="en-US" w:eastAsia="zh-CN"/>
              </w:rPr>
              <w:t>4.3-2</w:t>
            </w:r>
            <w:r>
              <w:rPr>
                <w:rFonts w:hint="eastAsia"/>
                <w:color w:val="auto"/>
                <w:lang w:eastAsia="zh-CN"/>
              </w:rPr>
              <w:t>、废水排放口基本信息见表</w:t>
            </w:r>
            <w:r>
              <w:rPr>
                <w:rFonts w:hint="eastAsia"/>
                <w:color w:val="auto"/>
                <w:lang w:val="en-US" w:eastAsia="zh-CN"/>
              </w:rPr>
              <w:t>4.3-3。</w:t>
            </w:r>
          </w:p>
          <w:p w14:paraId="32F3562F">
            <w:pPr>
              <w:pStyle w:val="3"/>
              <w:bidi w:val="0"/>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3-2</w:t>
            </w:r>
            <w:r>
              <w:rPr>
                <w:rFonts w:hint="default" w:ascii="Times New Roman" w:hAnsi="Times New Roman" w:cs="Times New Roman"/>
                <w:color w:val="auto"/>
              </w:rPr>
              <w:t xml:space="preserve"> </w:t>
            </w:r>
            <w:r>
              <w:rPr>
                <w:rFonts w:hint="default" w:ascii="Times New Roman" w:hAnsi="Times New Roman" w:cs="Times New Roman"/>
                <w:color w:val="auto"/>
                <w:lang w:eastAsia="zh-CN"/>
              </w:rPr>
              <w:t>废水类别、污染物种类及污染治理设施</w:t>
            </w:r>
            <w:r>
              <w:rPr>
                <w:rFonts w:hint="default" w:ascii="Times New Roman" w:hAnsi="Times New Roman" w:cs="Times New Roman"/>
                <w:color w:val="auto"/>
              </w:rPr>
              <w:t>一览表</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351"/>
              <w:gridCol w:w="1074"/>
              <w:gridCol w:w="1171"/>
              <w:gridCol w:w="1256"/>
              <w:gridCol w:w="1132"/>
              <w:gridCol w:w="1322"/>
            </w:tblGrid>
            <w:tr w14:paraId="332EAE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8" w:type="pct"/>
                  <w:vMerge w:val="restart"/>
                  <w:tcBorders>
                    <w:tl2br w:val="nil"/>
                    <w:tr2bl w:val="nil"/>
                  </w:tcBorders>
                  <w:vAlign w:val="center"/>
                </w:tcPr>
                <w:p w14:paraId="7BCF6BA7">
                  <w:pPr>
                    <w:pStyle w:val="3"/>
                    <w:bidi w:val="0"/>
                    <w:rPr>
                      <w:rFonts w:hint="default"/>
                      <w:color w:val="auto"/>
                      <w:lang w:eastAsia="zh-CN"/>
                    </w:rPr>
                  </w:pPr>
                  <w:r>
                    <w:rPr>
                      <w:rFonts w:hint="default"/>
                      <w:color w:val="auto"/>
                      <w:lang w:eastAsia="zh-CN"/>
                    </w:rPr>
                    <w:t>废水</w:t>
                  </w:r>
                </w:p>
                <w:p w14:paraId="03E6492E">
                  <w:pPr>
                    <w:pStyle w:val="3"/>
                    <w:bidi w:val="0"/>
                    <w:rPr>
                      <w:rFonts w:hint="default"/>
                      <w:color w:val="auto"/>
                      <w:lang w:eastAsia="zh-CN"/>
                    </w:rPr>
                  </w:pPr>
                  <w:r>
                    <w:rPr>
                      <w:rFonts w:hint="default"/>
                      <w:color w:val="auto"/>
                      <w:lang w:eastAsia="zh-CN"/>
                    </w:rPr>
                    <w:t>类别</w:t>
                  </w:r>
                </w:p>
              </w:tc>
              <w:tc>
                <w:tcPr>
                  <w:tcW w:w="845" w:type="pct"/>
                  <w:vMerge w:val="restart"/>
                  <w:tcBorders>
                    <w:tl2br w:val="nil"/>
                    <w:tr2bl w:val="nil"/>
                  </w:tcBorders>
                  <w:vAlign w:val="center"/>
                </w:tcPr>
                <w:p w14:paraId="4D95E2A7">
                  <w:pPr>
                    <w:pStyle w:val="3"/>
                    <w:bidi w:val="0"/>
                    <w:rPr>
                      <w:rFonts w:hint="default"/>
                      <w:color w:val="auto"/>
                      <w:lang w:eastAsia="zh-CN"/>
                    </w:rPr>
                  </w:pPr>
                  <w:r>
                    <w:rPr>
                      <w:rFonts w:hint="default"/>
                      <w:color w:val="auto"/>
                      <w:lang w:eastAsia="zh-CN"/>
                    </w:rPr>
                    <w:t>污染物</w:t>
                  </w:r>
                </w:p>
                <w:p w14:paraId="0B4F9EA6">
                  <w:pPr>
                    <w:pStyle w:val="3"/>
                    <w:bidi w:val="0"/>
                    <w:rPr>
                      <w:rFonts w:hint="default"/>
                      <w:color w:val="auto"/>
                      <w:lang w:eastAsia="zh-CN"/>
                    </w:rPr>
                  </w:pPr>
                  <w:r>
                    <w:rPr>
                      <w:rFonts w:hint="default"/>
                      <w:color w:val="auto"/>
                      <w:lang w:eastAsia="zh-CN"/>
                    </w:rPr>
                    <w:t>种类</w:t>
                  </w:r>
                </w:p>
              </w:tc>
              <w:tc>
                <w:tcPr>
                  <w:tcW w:w="2899" w:type="pct"/>
                  <w:gridSpan w:val="4"/>
                  <w:tcBorders>
                    <w:tl2br w:val="nil"/>
                    <w:tr2bl w:val="nil"/>
                  </w:tcBorders>
                  <w:vAlign w:val="center"/>
                </w:tcPr>
                <w:p w14:paraId="0330063A">
                  <w:pPr>
                    <w:pStyle w:val="3"/>
                    <w:bidi w:val="0"/>
                    <w:rPr>
                      <w:rFonts w:hint="default"/>
                      <w:color w:val="auto"/>
                    </w:rPr>
                  </w:pPr>
                  <w:r>
                    <w:rPr>
                      <w:rFonts w:hint="default"/>
                      <w:color w:val="auto"/>
                      <w:lang w:eastAsia="zh-CN"/>
                    </w:rPr>
                    <w:t>污染治理设施</w:t>
                  </w:r>
                </w:p>
              </w:tc>
              <w:tc>
                <w:tcPr>
                  <w:tcW w:w="827" w:type="pct"/>
                  <w:vMerge w:val="restart"/>
                  <w:tcBorders>
                    <w:tl2br w:val="nil"/>
                    <w:tr2bl w:val="nil"/>
                  </w:tcBorders>
                  <w:vAlign w:val="center"/>
                </w:tcPr>
                <w:p w14:paraId="51759DA2">
                  <w:pPr>
                    <w:pStyle w:val="3"/>
                    <w:bidi w:val="0"/>
                    <w:rPr>
                      <w:rFonts w:hint="default"/>
                      <w:color w:val="auto"/>
                      <w:lang w:eastAsia="zh-CN"/>
                    </w:rPr>
                  </w:pPr>
                  <w:r>
                    <w:rPr>
                      <w:rFonts w:hint="default"/>
                      <w:color w:val="auto"/>
                      <w:lang w:eastAsia="zh-CN"/>
                    </w:rPr>
                    <w:t>排放标准</w:t>
                  </w:r>
                </w:p>
              </w:tc>
            </w:tr>
            <w:tr w14:paraId="319E5B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8" w:type="pct"/>
                  <w:vMerge w:val="continue"/>
                  <w:tcBorders>
                    <w:tl2br w:val="nil"/>
                    <w:tr2bl w:val="nil"/>
                  </w:tcBorders>
                  <w:vAlign w:val="center"/>
                </w:tcPr>
                <w:p w14:paraId="4ACB4D76">
                  <w:pPr>
                    <w:pStyle w:val="3"/>
                    <w:bidi w:val="0"/>
                    <w:rPr>
                      <w:rFonts w:hint="default"/>
                      <w:color w:val="auto"/>
                    </w:rPr>
                  </w:pPr>
                </w:p>
              </w:tc>
              <w:tc>
                <w:tcPr>
                  <w:tcW w:w="845" w:type="pct"/>
                  <w:vMerge w:val="continue"/>
                  <w:tcBorders>
                    <w:tl2br w:val="nil"/>
                    <w:tr2bl w:val="nil"/>
                  </w:tcBorders>
                  <w:vAlign w:val="center"/>
                </w:tcPr>
                <w:p w14:paraId="74AFF793">
                  <w:pPr>
                    <w:pStyle w:val="3"/>
                    <w:bidi w:val="0"/>
                    <w:rPr>
                      <w:rFonts w:hint="default"/>
                      <w:color w:val="auto"/>
                    </w:rPr>
                  </w:pPr>
                </w:p>
              </w:tc>
              <w:tc>
                <w:tcPr>
                  <w:tcW w:w="672" w:type="pct"/>
                  <w:tcBorders>
                    <w:tl2br w:val="nil"/>
                    <w:tr2bl w:val="nil"/>
                  </w:tcBorders>
                  <w:vAlign w:val="center"/>
                </w:tcPr>
                <w:p w14:paraId="2492DED2">
                  <w:pPr>
                    <w:pStyle w:val="3"/>
                    <w:bidi w:val="0"/>
                    <w:rPr>
                      <w:rFonts w:hint="default"/>
                      <w:color w:val="auto"/>
                      <w:lang w:eastAsia="zh-CN"/>
                    </w:rPr>
                  </w:pPr>
                  <w:r>
                    <w:rPr>
                      <w:rFonts w:hint="default"/>
                      <w:color w:val="auto"/>
                      <w:lang w:eastAsia="zh-CN"/>
                    </w:rPr>
                    <w:t>设施名称</w:t>
                  </w:r>
                </w:p>
              </w:tc>
              <w:tc>
                <w:tcPr>
                  <w:tcW w:w="733" w:type="pct"/>
                  <w:tcBorders>
                    <w:tl2br w:val="nil"/>
                    <w:tr2bl w:val="nil"/>
                  </w:tcBorders>
                  <w:vAlign w:val="center"/>
                </w:tcPr>
                <w:p w14:paraId="64F71201">
                  <w:pPr>
                    <w:pStyle w:val="3"/>
                    <w:bidi w:val="0"/>
                    <w:rPr>
                      <w:rFonts w:hint="default"/>
                      <w:color w:val="auto"/>
                      <w:lang w:eastAsia="zh-CN"/>
                    </w:rPr>
                  </w:pPr>
                  <w:r>
                    <w:rPr>
                      <w:rFonts w:hint="default"/>
                      <w:color w:val="auto"/>
                      <w:lang w:eastAsia="zh-CN"/>
                    </w:rPr>
                    <w:t>处理能力</w:t>
                  </w:r>
                </w:p>
              </w:tc>
              <w:tc>
                <w:tcPr>
                  <w:tcW w:w="786" w:type="pct"/>
                  <w:tcBorders>
                    <w:tl2br w:val="nil"/>
                    <w:tr2bl w:val="nil"/>
                  </w:tcBorders>
                  <w:vAlign w:val="center"/>
                </w:tcPr>
                <w:p w14:paraId="2E6D93FB">
                  <w:pPr>
                    <w:pStyle w:val="3"/>
                    <w:bidi w:val="0"/>
                    <w:rPr>
                      <w:rFonts w:hint="default"/>
                      <w:color w:val="auto"/>
                      <w:lang w:eastAsia="zh-CN"/>
                    </w:rPr>
                  </w:pPr>
                  <w:r>
                    <w:rPr>
                      <w:rFonts w:hint="default"/>
                      <w:color w:val="auto"/>
                      <w:lang w:eastAsia="zh-CN"/>
                    </w:rPr>
                    <w:t>治理工艺</w:t>
                  </w:r>
                </w:p>
              </w:tc>
              <w:tc>
                <w:tcPr>
                  <w:tcW w:w="707" w:type="pct"/>
                  <w:tcBorders>
                    <w:tl2br w:val="nil"/>
                    <w:tr2bl w:val="nil"/>
                  </w:tcBorders>
                  <w:vAlign w:val="center"/>
                </w:tcPr>
                <w:p w14:paraId="229C3F27">
                  <w:pPr>
                    <w:pStyle w:val="3"/>
                    <w:bidi w:val="0"/>
                    <w:rPr>
                      <w:rFonts w:hint="default"/>
                      <w:color w:val="auto"/>
                      <w:lang w:eastAsia="zh-CN"/>
                    </w:rPr>
                  </w:pPr>
                  <w:r>
                    <w:rPr>
                      <w:rFonts w:hint="default"/>
                      <w:color w:val="auto"/>
                      <w:lang w:eastAsia="zh-CN"/>
                    </w:rPr>
                    <w:t>是否为可行技术</w:t>
                  </w:r>
                </w:p>
              </w:tc>
              <w:tc>
                <w:tcPr>
                  <w:tcW w:w="827" w:type="pct"/>
                  <w:vMerge w:val="continue"/>
                  <w:tcBorders>
                    <w:tl2br w:val="nil"/>
                    <w:tr2bl w:val="nil"/>
                  </w:tcBorders>
                  <w:vAlign w:val="center"/>
                </w:tcPr>
                <w:p w14:paraId="2CC6C401">
                  <w:pPr>
                    <w:pStyle w:val="3"/>
                    <w:bidi w:val="0"/>
                    <w:rPr>
                      <w:rFonts w:hint="default"/>
                      <w:color w:val="auto"/>
                    </w:rPr>
                  </w:pPr>
                </w:p>
              </w:tc>
            </w:tr>
            <w:tr w14:paraId="5AF83D0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28" w:type="pct"/>
                  <w:tcBorders>
                    <w:tl2br w:val="nil"/>
                    <w:tr2bl w:val="nil"/>
                  </w:tcBorders>
                  <w:vAlign w:val="center"/>
                </w:tcPr>
                <w:p w14:paraId="7E0B313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冷凝废水</w:t>
                  </w:r>
                </w:p>
              </w:tc>
              <w:tc>
                <w:tcPr>
                  <w:tcW w:w="845" w:type="pct"/>
                  <w:tcBorders>
                    <w:tl2br w:val="nil"/>
                    <w:tr2bl w:val="nil"/>
                  </w:tcBorders>
                  <w:vAlign w:val="center"/>
                </w:tcPr>
                <w:p w14:paraId="556E969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pH、</w:t>
                  </w:r>
                  <w:r>
                    <w:rPr>
                      <w:rFonts w:hint="default" w:ascii="Times New Roman" w:hAnsi="Times New Roman" w:cs="Times New Roman"/>
                      <w:color w:val="auto"/>
                    </w:rPr>
                    <w:t>COD、BOD</w:t>
                  </w:r>
                  <w:r>
                    <w:rPr>
                      <w:rFonts w:hint="default" w:ascii="Times New Roman" w:hAnsi="Times New Roman" w:cs="Times New Roman"/>
                      <w:color w:val="auto"/>
                      <w:vertAlign w:val="subscript"/>
                    </w:rPr>
                    <w:t>5</w:t>
                  </w:r>
                  <w:r>
                    <w:rPr>
                      <w:rFonts w:hint="default" w:ascii="Times New Roman" w:hAnsi="Times New Roman" w:cs="Times New Roman"/>
                      <w:color w:val="auto"/>
                    </w:rPr>
                    <w:t>、SS、氨氮、</w:t>
                  </w:r>
                  <w:r>
                    <w:rPr>
                      <w:rFonts w:hint="default" w:ascii="Times New Roman" w:hAnsi="Times New Roman" w:eastAsia="宋体" w:cs="Times New Roman"/>
                      <w:color w:val="auto"/>
                      <w:lang w:eastAsia="zh-CN"/>
                    </w:rPr>
                    <w:t>总氮、</w:t>
                  </w:r>
                  <w:r>
                    <w:rPr>
                      <w:rFonts w:hint="default" w:ascii="Times New Roman" w:hAnsi="Times New Roman" w:cs="Times New Roman"/>
                      <w:color w:val="auto"/>
                    </w:rPr>
                    <w:t>总磷</w:t>
                  </w:r>
                  <w:r>
                    <w:rPr>
                      <w:rFonts w:hint="default" w:ascii="Times New Roman" w:hAnsi="Times New Roman" w:cs="Times New Roman"/>
                      <w:color w:val="auto"/>
                      <w:lang w:eastAsia="zh-CN"/>
                    </w:rPr>
                    <w:t>、动植物油</w:t>
                  </w:r>
                </w:p>
              </w:tc>
              <w:tc>
                <w:tcPr>
                  <w:tcW w:w="672" w:type="pct"/>
                  <w:tcBorders>
                    <w:tl2br w:val="nil"/>
                    <w:tr2bl w:val="nil"/>
                  </w:tcBorders>
                  <w:vAlign w:val="center"/>
                </w:tcPr>
                <w:p w14:paraId="514DAF1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污水处</w:t>
                  </w:r>
                </w:p>
                <w:p w14:paraId="164F0E9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理站</w:t>
                  </w:r>
                </w:p>
              </w:tc>
              <w:tc>
                <w:tcPr>
                  <w:tcW w:w="733" w:type="pct"/>
                  <w:tcBorders>
                    <w:tl2br w:val="nil"/>
                    <w:tr2bl w:val="nil"/>
                  </w:tcBorders>
                  <w:vAlign w:val="center"/>
                </w:tcPr>
                <w:p w14:paraId="3820622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500m</w:t>
                  </w:r>
                  <w:r>
                    <w:rPr>
                      <w:rFonts w:hint="default" w:ascii="Times New Roman" w:hAnsi="Times New Roman" w:cs="Times New Roman"/>
                      <w:color w:val="auto"/>
                      <w:vertAlign w:val="superscript"/>
                      <w:lang w:val="en-US" w:eastAsia="zh-CN"/>
                    </w:rPr>
                    <w:t>3</w:t>
                  </w:r>
                  <w:r>
                    <w:rPr>
                      <w:rFonts w:hint="default" w:ascii="Times New Roman" w:hAnsi="Times New Roman" w:cs="Times New Roman"/>
                      <w:color w:val="auto"/>
                      <w:lang w:val="en-US" w:eastAsia="zh-CN"/>
                    </w:rPr>
                    <w:t>/d</w:t>
                  </w:r>
                </w:p>
              </w:tc>
              <w:tc>
                <w:tcPr>
                  <w:tcW w:w="786" w:type="pct"/>
                  <w:tcBorders>
                    <w:tl2br w:val="nil"/>
                    <w:tr2bl w:val="nil"/>
                  </w:tcBorders>
                  <w:vAlign w:val="center"/>
                </w:tcPr>
                <w:p w14:paraId="147295A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eastAsia="zh-CN"/>
                    </w:rPr>
                    <w:t>酸碱中和</w:t>
                  </w:r>
                  <w:r>
                    <w:rPr>
                      <w:rFonts w:hint="default" w:ascii="Times New Roman" w:hAnsi="Times New Roman" w:cs="Times New Roman"/>
                      <w:color w:val="auto"/>
                      <w:lang w:val="en-US" w:eastAsia="zh-CN"/>
                    </w:rPr>
                    <w:t>+气浮+厌氧+接触氧化+沉淀</w:t>
                  </w:r>
                </w:p>
              </w:tc>
              <w:tc>
                <w:tcPr>
                  <w:tcW w:w="707" w:type="pct"/>
                  <w:tcBorders>
                    <w:tl2br w:val="nil"/>
                    <w:tr2bl w:val="nil"/>
                  </w:tcBorders>
                  <w:vAlign w:val="center"/>
                </w:tcPr>
                <w:p w14:paraId="77A815FF">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是</w:t>
                  </w:r>
                </w:p>
              </w:tc>
              <w:tc>
                <w:tcPr>
                  <w:tcW w:w="827" w:type="pct"/>
                  <w:tcBorders>
                    <w:tl2br w:val="nil"/>
                    <w:tr2bl w:val="nil"/>
                  </w:tcBorders>
                  <w:vAlign w:val="center"/>
                </w:tcPr>
                <w:p w14:paraId="72E9A72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GB8979-199三级标准</w:t>
                  </w:r>
                </w:p>
              </w:tc>
            </w:tr>
          </w:tbl>
          <w:p w14:paraId="17A58F9A">
            <w:pPr>
              <w:pStyle w:val="3"/>
              <w:bidi w:val="0"/>
              <w:rPr>
                <w:rFonts w:hint="default" w:ascii="Times New Roman" w:hAnsi="Times New Roman" w:cs="Times New Roman"/>
                <w:color w:val="auto"/>
              </w:rPr>
            </w:pPr>
            <w:r>
              <w:rPr>
                <w:rFonts w:hint="default" w:ascii="Times New Roman" w:hAnsi="Times New Roman" w:cs="Times New Roman"/>
                <w:color w:val="auto"/>
              </w:rPr>
              <w:t>表4.</w:t>
            </w:r>
            <w:r>
              <w:rPr>
                <w:rFonts w:hint="default" w:ascii="Times New Roman" w:hAnsi="Times New Roman" w:cs="Times New Roman"/>
                <w:color w:val="auto"/>
                <w:lang w:val="en-US" w:eastAsia="zh-CN"/>
              </w:rPr>
              <w:t xml:space="preserve">3-3 </w:t>
            </w:r>
            <w:r>
              <w:rPr>
                <w:rFonts w:hint="default" w:ascii="Times New Roman" w:hAnsi="Times New Roman" w:cs="Times New Roman"/>
                <w:color w:val="auto"/>
                <w:lang w:eastAsia="zh-CN"/>
              </w:rPr>
              <w:t>废水排放口基本信息</w:t>
            </w:r>
            <w:r>
              <w:rPr>
                <w:rFonts w:hint="default" w:ascii="Times New Roman" w:hAnsi="Times New Roman" w:cs="Times New Roman"/>
                <w:color w:val="auto"/>
              </w:rPr>
              <w:t>一览表</w:t>
            </w:r>
          </w:p>
          <w:tbl>
            <w:tblPr>
              <w:tblStyle w:val="18"/>
              <w:tblW w:w="4997"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657"/>
              <w:gridCol w:w="1005"/>
              <w:gridCol w:w="1005"/>
              <w:gridCol w:w="1005"/>
              <w:gridCol w:w="1203"/>
              <w:gridCol w:w="1108"/>
            </w:tblGrid>
            <w:tr w14:paraId="73C444E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9" w:type="pct"/>
                  <w:vMerge w:val="restart"/>
                  <w:tcBorders>
                    <w:tl2br w:val="nil"/>
                    <w:tr2bl w:val="nil"/>
                  </w:tcBorders>
                  <w:vAlign w:val="center"/>
                </w:tcPr>
                <w:p w14:paraId="7CD0475B">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排放口</w:t>
                  </w:r>
                </w:p>
                <w:p w14:paraId="453DFB50">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名称</w:t>
                  </w:r>
                </w:p>
              </w:tc>
              <w:tc>
                <w:tcPr>
                  <w:tcW w:w="1037" w:type="pct"/>
                  <w:vMerge w:val="restart"/>
                  <w:tcBorders>
                    <w:tl2br w:val="nil"/>
                    <w:tr2bl w:val="nil"/>
                  </w:tcBorders>
                  <w:vAlign w:val="center"/>
                </w:tcPr>
                <w:p w14:paraId="4A8AA142">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污染物种类</w:t>
                  </w:r>
                </w:p>
              </w:tc>
              <w:tc>
                <w:tcPr>
                  <w:tcW w:w="629" w:type="pct"/>
                  <w:vMerge w:val="restart"/>
                  <w:tcBorders>
                    <w:tl2br w:val="nil"/>
                    <w:tr2bl w:val="nil"/>
                  </w:tcBorders>
                  <w:vAlign w:val="center"/>
                </w:tcPr>
                <w:p w14:paraId="38F7E69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排放方式</w:t>
                  </w:r>
                </w:p>
              </w:tc>
              <w:tc>
                <w:tcPr>
                  <w:tcW w:w="629" w:type="pct"/>
                  <w:vMerge w:val="restart"/>
                  <w:tcBorders>
                    <w:tl2br w:val="nil"/>
                    <w:tr2bl w:val="nil"/>
                  </w:tcBorders>
                  <w:vAlign w:val="center"/>
                </w:tcPr>
                <w:p w14:paraId="67EBAA9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排放去向</w:t>
                  </w:r>
                </w:p>
              </w:tc>
              <w:tc>
                <w:tcPr>
                  <w:tcW w:w="629" w:type="pct"/>
                  <w:vMerge w:val="restart"/>
                  <w:tcBorders>
                    <w:tl2br w:val="nil"/>
                    <w:tr2bl w:val="nil"/>
                  </w:tcBorders>
                  <w:vAlign w:val="center"/>
                </w:tcPr>
                <w:p w14:paraId="5102811D">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排放规律</w:t>
                  </w:r>
                </w:p>
              </w:tc>
              <w:tc>
                <w:tcPr>
                  <w:tcW w:w="1446" w:type="pct"/>
                  <w:gridSpan w:val="2"/>
                  <w:tcBorders>
                    <w:tl2br w:val="nil"/>
                    <w:tr2bl w:val="nil"/>
                  </w:tcBorders>
                  <w:vAlign w:val="center"/>
                </w:tcPr>
                <w:p w14:paraId="2069278E">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地理坐标</w:t>
                  </w:r>
                </w:p>
              </w:tc>
            </w:tr>
            <w:tr w14:paraId="69E3AF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29" w:type="pct"/>
                  <w:vMerge w:val="continue"/>
                  <w:tcBorders>
                    <w:tl2br w:val="nil"/>
                    <w:tr2bl w:val="nil"/>
                  </w:tcBorders>
                  <w:vAlign w:val="center"/>
                </w:tcPr>
                <w:p w14:paraId="6B487586">
                  <w:pPr>
                    <w:pStyle w:val="3"/>
                    <w:bidi w:val="0"/>
                    <w:rPr>
                      <w:rFonts w:hint="default" w:ascii="Times New Roman" w:hAnsi="Times New Roman" w:cs="Times New Roman"/>
                      <w:color w:val="auto"/>
                    </w:rPr>
                  </w:pPr>
                </w:p>
              </w:tc>
              <w:tc>
                <w:tcPr>
                  <w:tcW w:w="1037" w:type="pct"/>
                  <w:vMerge w:val="continue"/>
                  <w:tcBorders>
                    <w:tl2br w:val="nil"/>
                    <w:tr2bl w:val="nil"/>
                  </w:tcBorders>
                  <w:vAlign w:val="center"/>
                </w:tcPr>
                <w:p w14:paraId="239A2FB9">
                  <w:pPr>
                    <w:pStyle w:val="3"/>
                    <w:bidi w:val="0"/>
                    <w:rPr>
                      <w:rFonts w:hint="default" w:ascii="Times New Roman" w:hAnsi="Times New Roman" w:cs="Times New Roman"/>
                      <w:color w:val="auto"/>
                    </w:rPr>
                  </w:pPr>
                </w:p>
              </w:tc>
              <w:tc>
                <w:tcPr>
                  <w:tcW w:w="629" w:type="pct"/>
                  <w:vMerge w:val="continue"/>
                  <w:tcBorders>
                    <w:tl2br w:val="nil"/>
                    <w:tr2bl w:val="nil"/>
                  </w:tcBorders>
                  <w:vAlign w:val="center"/>
                </w:tcPr>
                <w:p w14:paraId="3220D48E">
                  <w:pPr>
                    <w:pStyle w:val="3"/>
                    <w:bidi w:val="0"/>
                    <w:rPr>
                      <w:rFonts w:hint="default" w:ascii="Times New Roman" w:hAnsi="Times New Roman" w:cs="Times New Roman"/>
                      <w:color w:val="auto"/>
                    </w:rPr>
                  </w:pPr>
                </w:p>
              </w:tc>
              <w:tc>
                <w:tcPr>
                  <w:tcW w:w="629" w:type="pct"/>
                  <w:vMerge w:val="continue"/>
                  <w:tcBorders>
                    <w:tl2br w:val="nil"/>
                    <w:tr2bl w:val="nil"/>
                  </w:tcBorders>
                  <w:vAlign w:val="center"/>
                </w:tcPr>
                <w:p w14:paraId="0C5D4629">
                  <w:pPr>
                    <w:pStyle w:val="3"/>
                    <w:bidi w:val="0"/>
                    <w:rPr>
                      <w:rFonts w:hint="default" w:ascii="Times New Roman" w:hAnsi="Times New Roman" w:cs="Times New Roman"/>
                      <w:color w:val="auto"/>
                    </w:rPr>
                  </w:pPr>
                </w:p>
              </w:tc>
              <w:tc>
                <w:tcPr>
                  <w:tcW w:w="629" w:type="pct"/>
                  <w:vMerge w:val="continue"/>
                  <w:tcBorders>
                    <w:tl2br w:val="nil"/>
                    <w:tr2bl w:val="nil"/>
                  </w:tcBorders>
                  <w:vAlign w:val="center"/>
                </w:tcPr>
                <w:p w14:paraId="416B9CF0">
                  <w:pPr>
                    <w:pStyle w:val="3"/>
                    <w:bidi w:val="0"/>
                    <w:rPr>
                      <w:rFonts w:hint="default" w:ascii="Times New Roman" w:hAnsi="Times New Roman" w:cs="Times New Roman"/>
                      <w:color w:val="auto"/>
                    </w:rPr>
                  </w:pPr>
                </w:p>
              </w:tc>
              <w:tc>
                <w:tcPr>
                  <w:tcW w:w="753" w:type="pct"/>
                  <w:tcBorders>
                    <w:tl2br w:val="nil"/>
                    <w:tr2bl w:val="nil"/>
                  </w:tcBorders>
                  <w:vAlign w:val="center"/>
                </w:tcPr>
                <w:p w14:paraId="400B480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经度</w:t>
                  </w:r>
                </w:p>
              </w:tc>
              <w:tc>
                <w:tcPr>
                  <w:tcW w:w="692" w:type="pct"/>
                  <w:tcBorders>
                    <w:tl2br w:val="nil"/>
                    <w:tr2bl w:val="nil"/>
                  </w:tcBorders>
                  <w:vAlign w:val="center"/>
                </w:tcPr>
                <w:p w14:paraId="5167F529">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纬度</w:t>
                  </w:r>
                </w:p>
              </w:tc>
            </w:tr>
            <w:tr w14:paraId="4FBB017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629" w:type="pct"/>
                  <w:tcBorders>
                    <w:tl2br w:val="nil"/>
                    <w:tr2bl w:val="nil"/>
                  </w:tcBorders>
                  <w:vAlign w:val="center"/>
                </w:tcPr>
                <w:p w14:paraId="5FE9A8B4">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企业</w:t>
                  </w:r>
                </w:p>
                <w:p w14:paraId="4F5392E6">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总排口</w:t>
                  </w:r>
                </w:p>
              </w:tc>
              <w:tc>
                <w:tcPr>
                  <w:tcW w:w="1037" w:type="pct"/>
                  <w:tcBorders>
                    <w:tl2br w:val="nil"/>
                    <w:tr2bl w:val="nil"/>
                  </w:tcBorders>
                  <w:vAlign w:val="center"/>
                </w:tcPr>
                <w:p w14:paraId="14FBBEA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rPr>
                    <w:t>COD、BOD</w:t>
                  </w:r>
                  <w:r>
                    <w:rPr>
                      <w:rFonts w:hint="default" w:ascii="Times New Roman" w:hAnsi="Times New Roman" w:cs="Times New Roman"/>
                      <w:color w:val="auto"/>
                      <w:vertAlign w:val="subscript"/>
                    </w:rPr>
                    <w:t>5</w:t>
                  </w:r>
                  <w:r>
                    <w:rPr>
                      <w:rFonts w:hint="default" w:ascii="Times New Roman" w:hAnsi="Times New Roman" w:cs="Times New Roman"/>
                      <w:color w:val="auto"/>
                    </w:rPr>
                    <w:t>、SS、氨氮、</w:t>
                  </w:r>
                  <w:r>
                    <w:rPr>
                      <w:rFonts w:hint="eastAsia" w:ascii="Times New Roman" w:hAnsi="Times New Roman" w:eastAsia="宋体" w:cs="Times New Roman"/>
                      <w:color w:val="auto"/>
                      <w:lang w:eastAsia="zh-CN"/>
                    </w:rPr>
                    <w:t>总氮、</w:t>
                  </w:r>
                  <w:r>
                    <w:rPr>
                      <w:rFonts w:hint="default" w:ascii="Times New Roman" w:hAnsi="Times New Roman" w:cs="Times New Roman"/>
                      <w:color w:val="auto"/>
                    </w:rPr>
                    <w:t>动植物油、总磷</w:t>
                  </w:r>
                </w:p>
              </w:tc>
              <w:tc>
                <w:tcPr>
                  <w:tcW w:w="629" w:type="pct"/>
                  <w:tcBorders>
                    <w:tl2br w:val="nil"/>
                    <w:tr2bl w:val="nil"/>
                  </w:tcBorders>
                  <w:vAlign w:val="center"/>
                </w:tcPr>
                <w:p w14:paraId="043B6B87">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间接排放</w:t>
                  </w:r>
                </w:p>
              </w:tc>
              <w:tc>
                <w:tcPr>
                  <w:tcW w:w="629" w:type="pct"/>
                  <w:tcBorders>
                    <w:tl2br w:val="nil"/>
                    <w:tr2bl w:val="nil"/>
                  </w:tcBorders>
                  <w:vAlign w:val="center"/>
                </w:tcPr>
                <w:p w14:paraId="5CF6B5F4">
                  <w:pPr>
                    <w:pStyle w:val="3"/>
                    <w:bidi w:val="0"/>
                    <w:rPr>
                      <w:rFonts w:hint="default" w:ascii="Times New Roman" w:hAnsi="Times New Roman" w:cs="Times New Roman"/>
                      <w:color w:val="auto"/>
                      <w:lang w:eastAsia="zh-CN"/>
                    </w:rPr>
                  </w:pPr>
                  <w:r>
                    <w:rPr>
                      <w:rFonts w:hint="default" w:ascii="Times New Roman" w:hAnsi="Times New Roman" w:cs="Times New Roman"/>
                      <w:color w:val="auto"/>
                    </w:rPr>
                    <w:t>工业废水集中处理厂</w:t>
                  </w:r>
                </w:p>
              </w:tc>
              <w:tc>
                <w:tcPr>
                  <w:tcW w:w="629" w:type="pct"/>
                  <w:tcBorders>
                    <w:tl2br w:val="nil"/>
                    <w:tr2bl w:val="nil"/>
                  </w:tcBorders>
                  <w:vAlign w:val="center"/>
                </w:tcPr>
                <w:p w14:paraId="1CA71865">
                  <w:pPr>
                    <w:pStyle w:val="3"/>
                    <w:bidi w:val="0"/>
                    <w:rPr>
                      <w:rFonts w:hint="default" w:ascii="Times New Roman" w:hAnsi="Times New Roman" w:cs="Times New Roman"/>
                      <w:color w:val="auto"/>
                    </w:rPr>
                  </w:pPr>
                  <w:r>
                    <w:rPr>
                      <w:rFonts w:hint="default" w:ascii="Times New Roman" w:hAnsi="Times New Roman" w:cs="Times New Roman"/>
                      <w:color w:val="auto"/>
                    </w:rPr>
                    <w:t>连续排放，流量稳定</w:t>
                  </w:r>
                </w:p>
              </w:tc>
              <w:tc>
                <w:tcPr>
                  <w:tcW w:w="1275" w:type="dxa"/>
                  <w:tcBorders>
                    <w:tl2br w:val="nil"/>
                    <w:tr2bl w:val="nil"/>
                  </w:tcBorders>
                  <w:vAlign w:val="center"/>
                </w:tcPr>
                <w:p w14:paraId="0A5A9A91">
                  <w:pPr>
                    <w:pStyle w:val="3"/>
                    <w:bidi w:val="0"/>
                    <w:rPr>
                      <w:rFonts w:hint="default" w:ascii="Times New Roman" w:hAnsi="Times New Roman" w:cs="Times New Roman"/>
                      <w:color w:val="auto"/>
                    </w:rPr>
                  </w:pPr>
                  <w:r>
                    <w:rPr>
                      <w:rFonts w:hint="default" w:ascii="Times New Roman" w:hAnsi="Times New Roman" w:cs="Times New Roman"/>
                      <w:color w:val="auto"/>
                    </w:rPr>
                    <w:t>10</w:t>
                  </w:r>
                  <w:r>
                    <w:rPr>
                      <w:rFonts w:hint="default" w:ascii="Times New Roman" w:hAnsi="Times New Roman" w:cs="Times New Roman"/>
                      <w:color w:val="auto"/>
                      <w:lang w:val="en-US" w:eastAsia="zh-CN"/>
                    </w:rPr>
                    <w:t>7</w:t>
                  </w:r>
                  <w:r>
                    <w:rPr>
                      <w:rFonts w:hint="default" w:ascii="Times New Roman" w:hAnsi="Times New Roman" w:cs="Times New Roman"/>
                      <w:color w:val="auto"/>
                    </w:rPr>
                    <w:t>°</w:t>
                  </w:r>
                  <w:r>
                    <w:rPr>
                      <w:rFonts w:hint="default" w:ascii="Times New Roman" w:hAnsi="Times New Roman" w:cs="Times New Roman"/>
                      <w:color w:val="auto"/>
                      <w:lang w:val="en-US" w:eastAsia="zh-CN"/>
                    </w:rPr>
                    <w:t>15</w:t>
                  </w:r>
                  <w:r>
                    <w:rPr>
                      <w:rFonts w:hint="default" w:ascii="Times New Roman" w:hAnsi="Times New Roman" w:cs="Times New Roman"/>
                      <w:color w:val="auto"/>
                    </w:rPr>
                    <w:t>ʹ</w:t>
                  </w:r>
                  <w:r>
                    <w:rPr>
                      <w:rFonts w:hint="default" w:ascii="Times New Roman" w:hAnsi="Times New Roman" w:cs="Times New Roman"/>
                      <w:color w:val="auto"/>
                      <w:lang w:val="en-US" w:eastAsia="zh-CN"/>
                    </w:rPr>
                    <w:t>47.895</w:t>
                  </w:r>
                  <w:r>
                    <w:rPr>
                      <w:rFonts w:hint="default" w:ascii="Times New Roman" w:hAnsi="Times New Roman" w:cs="Times New Roman"/>
                      <w:color w:val="auto"/>
                    </w:rPr>
                    <w:t>ʺ</w:t>
                  </w:r>
                </w:p>
              </w:tc>
              <w:tc>
                <w:tcPr>
                  <w:tcW w:w="1174" w:type="dxa"/>
                  <w:tcBorders>
                    <w:tl2br w:val="nil"/>
                    <w:tr2bl w:val="nil"/>
                  </w:tcBorders>
                  <w:vAlign w:val="center"/>
                </w:tcPr>
                <w:p w14:paraId="71183DB0">
                  <w:pPr>
                    <w:pStyle w:val="3"/>
                    <w:bidi w:val="0"/>
                    <w:rPr>
                      <w:rFonts w:hint="default" w:ascii="Times New Roman" w:hAnsi="Times New Roman" w:cs="Times New Roman"/>
                      <w:color w:val="auto"/>
                    </w:rPr>
                  </w:pPr>
                  <w:r>
                    <w:rPr>
                      <w:rFonts w:hint="default" w:ascii="Times New Roman" w:hAnsi="Times New Roman" w:cs="Times New Roman"/>
                      <w:color w:val="auto"/>
                    </w:rPr>
                    <w:t>29°</w:t>
                  </w:r>
                  <w:r>
                    <w:rPr>
                      <w:rFonts w:hint="default" w:ascii="Times New Roman" w:hAnsi="Times New Roman" w:cs="Times New Roman"/>
                      <w:color w:val="auto"/>
                      <w:lang w:val="en-US" w:eastAsia="zh-CN"/>
                    </w:rPr>
                    <w:t>42</w:t>
                  </w:r>
                  <w:r>
                    <w:rPr>
                      <w:rFonts w:hint="default" w:ascii="Times New Roman" w:hAnsi="Times New Roman" w:cs="Times New Roman"/>
                      <w:color w:val="auto"/>
                    </w:rPr>
                    <w:t>ʹ</w:t>
                  </w:r>
                  <w:r>
                    <w:rPr>
                      <w:rFonts w:hint="default" w:ascii="Times New Roman" w:hAnsi="Times New Roman" w:cs="Times New Roman"/>
                      <w:color w:val="auto"/>
                      <w:lang w:val="en-US" w:eastAsia="zh-CN"/>
                    </w:rPr>
                    <w:t>9.630</w:t>
                  </w:r>
                  <w:r>
                    <w:rPr>
                      <w:rFonts w:hint="default" w:ascii="Times New Roman" w:hAnsi="Times New Roman" w:cs="Times New Roman"/>
                      <w:color w:val="auto"/>
                    </w:rPr>
                    <w:t>ʺ</w:t>
                  </w:r>
                </w:p>
              </w:tc>
            </w:tr>
          </w:tbl>
          <w:p w14:paraId="4964AFEF">
            <w:pPr>
              <w:adjustRightInd w:val="0"/>
              <w:snapToGrid w:val="0"/>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eastAsia" w:cs="Times New Roman"/>
                <w:color w:val="auto"/>
                <w:sz w:val="24"/>
                <w:szCs w:val="24"/>
                <w:lang w:val="en-US" w:eastAsia="zh-CN"/>
              </w:rPr>
              <w:t>3</w:t>
            </w:r>
            <w:r>
              <w:rPr>
                <w:rFonts w:hint="default" w:ascii="Times New Roman" w:hAnsi="Times New Roman" w:cs="Times New Roman"/>
                <w:color w:val="auto"/>
                <w:sz w:val="24"/>
                <w:szCs w:val="24"/>
              </w:rPr>
              <w:t>）依托污水处理设施可行性分析</w:t>
            </w:r>
          </w:p>
          <w:p w14:paraId="2535D08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rPr>
              <w:t>根据排水规划，本项目属于</w:t>
            </w:r>
            <w:r>
              <w:rPr>
                <w:rFonts w:hint="default" w:ascii="Times New Roman" w:hAnsi="Times New Roman" w:cs="Times New Roman"/>
                <w:color w:val="auto"/>
                <w:sz w:val="24"/>
                <w:szCs w:val="24"/>
                <w:lang w:eastAsia="zh-CN"/>
              </w:rPr>
              <w:t>龙桥</w:t>
            </w:r>
            <w:r>
              <w:rPr>
                <w:rFonts w:hint="default" w:ascii="Times New Roman" w:hAnsi="Times New Roman" w:eastAsia="宋体" w:cs="Times New Roman"/>
                <w:color w:val="auto"/>
                <w:sz w:val="24"/>
                <w:szCs w:val="24"/>
              </w:rPr>
              <w:t>工业园污水处理厂服务范围，项目所在区域市政污水</w:t>
            </w:r>
            <w:r>
              <w:rPr>
                <w:rFonts w:hint="default" w:ascii="Times New Roman" w:hAnsi="Times New Roman" w:cs="Times New Roman"/>
                <w:color w:val="auto"/>
                <w:sz w:val="24"/>
                <w:szCs w:val="24"/>
              </w:rPr>
              <w:t>管网已</w:t>
            </w:r>
            <w:r>
              <w:rPr>
                <w:rFonts w:hint="default" w:ascii="Times New Roman" w:hAnsi="Times New Roman" w:eastAsia="宋体" w:cs="Times New Roman"/>
                <w:color w:val="auto"/>
                <w:sz w:val="24"/>
                <w:szCs w:val="24"/>
              </w:rPr>
              <w:t>经建成</w:t>
            </w:r>
            <w:r>
              <w:rPr>
                <w:rFonts w:hint="eastAsia" w:ascii="Times New Roman" w:hAnsi="Times New Roman" w:eastAsia="宋体" w:cs="Times New Roman"/>
                <w:color w:val="auto"/>
                <w:sz w:val="24"/>
                <w:szCs w:val="24"/>
                <w:lang w:eastAsia="zh-CN"/>
              </w:rPr>
              <w:t>，废水经龙桥工业园污水处理厂深度处理后经</w:t>
            </w:r>
            <w:r>
              <w:rPr>
                <w:rFonts w:hint="eastAsia" w:ascii="Times New Roman" w:hAnsi="Times New Roman" w:cs="Times New Roman"/>
                <w:b w:val="0"/>
                <w:bCs w:val="0"/>
                <w:color w:val="auto"/>
                <w:sz w:val="24"/>
                <w:szCs w:val="24"/>
                <w:lang w:eastAsia="zh-CN"/>
              </w:rPr>
              <w:t>冉家沟排入长江</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龙桥</w:t>
            </w:r>
            <w:r>
              <w:rPr>
                <w:rFonts w:hint="default" w:ascii="Times New Roman" w:hAnsi="Times New Roman" w:eastAsia="宋体" w:cs="Times New Roman"/>
                <w:color w:val="auto"/>
                <w:sz w:val="24"/>
                <w:szCs w:val="24"/>
              </w:rPr>
              <w:t>工业园污水处理厂于</w:t>
            </w:r>
            <w:r>
              <w:rPr>
                <w:rFonts w:hint="default" w:ascii="Times New Roman" w:hAnsi="Times New Roman" w:eastAsia="宋体" w:cs="Times New Roman"/>
                <w:color w:val="auto"/>
                <w:sz w:val="24"/>
                <w:szCs w:val="24"/>
                <w:lang w:val="en-US" w:eastAsia="zh-CN"/>
              </w:rPr>
              <w:t>2019</w:t>
            </w:r>
            <w:r>
              <w:rPr>
                <w:rFonts w:hint="default" w:ascii="Times New Roman" w:hAnsi="Times New Roman" w:eastAsia="宋体" w:cs="Times New Roman"/>
                <w:color w:val="auto"/>
                <w:sz w:val="24"/>
                <w:szCs w:val="24"/>
              </w:rPr>
              <w:t>年建成投入运行，其设计处理能力为</w:t>
            </w:r>
            <w:r>
              <w:rPr>
                <w:rFonts w:hint="default"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万m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/d，采用</w:t>
            </w:r>
            <w:r>
              <w:rPr>
                <w:rFonts w:hint="default" w:ascii="Times New Roman" w:hAnsi="Times New Roman" w:eastAsia="宋体" w:cs="Times New Roman"/>
                <w:i w:val="0"/>
                <w:iCs w:val="0"/>
                <w:caps w:val="0"/>
                <w:color w:val="auto"/>
                <w:spacing w:val="0"/>
                <w:sz w:val="24"/>
                <w:szCs w:val="24"/>
                <w:shd w:val="clear" w:fill="FFFFFF"/>
              </w:rPr>
              <w:t>A2/O</w:t>
            </w:r>
            <w:r>
              <w:rPr>
                <w:rFonts w:hint="default" w:ascii="Times New Roman" w:hAnsi="Times New Roman" w:eastAsia="宋体" w:cs="Times New Roman"/>
                <w:i w:val="0"/>
                <w:iCs w:val="0"/>
                <w:caps w:val="0"/>
                <w:color w:val="auto"/>
                <w:spacing w:val="0"/>
                <w:sz w:val="24"/>
                <w:szCs w:val="24"/>
                <w:shd w:val="clear" w:fill="FFFFFF"/>
                <w:lang w:eastAsia="zh-CN"/>
              </w:rPr>
              <w:t>废水治理工艺</w:t>
            </w:r>
            <w:r>
              <w:rPr>
                <w:rFonts w:hint="default" w:ascii="Times New Roman" w:hAnsi="Times New Roman" w:eastAsia="宋体" w:cs="Times New Roman"/>
                <w:color w:val="auto"/>
                <w:sz w:val="24"/>
                <w:szCs w:val="24"/>
              </w:rPr>
              <w:t>，出水水质能够满足</w:t>
            </w:r>
            <w:r>
              <w:rPr>
                <w:rFonts w:hint="default" w:ascii="Times New Roman" w:hAnsi="Times New Roman" w:cs="Times New Roman"/>
                <w:b w:val="0"/>
                <w:bCs w:val="0"/>
                <w:color w:val="auto"/>
                <w:sz w:val="24"/>
                <w:szCs w:val="24"/>
              </w:rPr>
              <w:t>《化工园区主要水污染物排放标准》（DB50/457-2012）标准（其中COD按60mg/L执行，“DB50457-2012”中未规定的执行《污水综合排放标准》（GB8978-1996）一级标准）</w:t>
            </w:r>
            <w:r>
              <w:rPr>
                <w:rFonts w:hint="eastAsia" w:ascii="Times New Roman" w:hAnsi="Times New Roman" w:cs="Times New Roman"/>
                <w:b w:val="0"/>
                <w:bCs w:val="0"/>
                <w:color w:val="auto"/>
                <w:sz w:val="24"/>
                <w:szCs w:val="24"/>
                <w:lang w:eastAsia="zh-CN"/>
              </w:rPr>
              <w:t>，</w:t>
            </w:r>
            <w:r>
              <w:rPr>
                <w:rFonts w:hint="eastAsia" w:cs="Times New Roman"/>
                <w:b w:val="0"/>
                <w:bCs w:val="0"/>
                <w:color w:val="auto"/>
                <w:sz w:val="24"/>
                <w:szCs w:val="24"/>
                <w:lang w:eastAsia="zh-CN"/>
              </w:rPr>
              <w:t>本项目产生</w:t>
            </w:r>
            <w:r>
              <w:rPr>
                <w:rFonts w:hint="eastAsia" w:ascii="Times New Roman" w:hAnsi="Times New Roman" w:cs="Times New Roman"/>
                <w:b w:val="0"/>
                <w:bCs w:val="0"/>
                <w:color w:val="auto"/>
                <w:sz w:val="24"/>
                <w:szCs w:val="24"/>
                <w:lang w:eastAsia="zh-CN"/>
              </w:rPr>
              <w:t>的废水能够依托该污水处理厂处理</w:t>
            </w:r>
            <w:r>
              <w:rPr>
                <w:rFonts w:hint="eastAsia" w:cs="Times New Roman"/>
                <w:b w:val="0"/>
                <w:bCs w:val="0"/>
                <w:color w:val="auto"/>
                <w:sz w:val="24"/>
                <w:szCs w:val="24"/>
                <w:lang w:eastAsia="zh-CN"/>
              </w:rPr>
              <w:t>。</w:t>
            </w:r>
          </w:p>
          <w:p w14:paraId="46449889">
            <w:pPr>
              <w:pStyle w:val="23"/>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eastAsia" w:ascii="Times New Roman" w:cs="Times New Roman"/>
                <w:color w:val="auto"/>
                <w:sz w:val="24"/>
                <w:szCs w:val="24"/>
                <w:lang w:val="en-US" w:eastAsia="zh-CN"/>
              </w:rPr>
              <w:t>5</w:t>
            </w:r>
            <w:r>
              <w:rPr>
                <w:rFonts w:hint="default" w:ascii="Times New Roman" w:hAnsi="Times New Roman" w:cs="Times New Roman"/>
                <w:color w:val="auto"/>
                <w:sz w:val="24"/>
                <w:szCs w:val="24"/>
                <w:lang w:eastAsia="zh-CN"/>
              </w:rPr>
              <w:t>）</w:t>
            </w:r>
            <w:r>
              <w:rPr>
                <w:rFonts w:hint="eastAsia" w:ascii="Times New Roman" w:cs="Times New Roman"/>
                <w:color w:val="auto"/>
                <w:sz w:val="24"/>
                <w:szCs w:val="24"/>
                <w:lang w:eastAsia="zh-CN"/>
              </w:rPr>
              <w:t>废水</w:t>
            </w:r>
            <w:r>
              <w:rPr>
                <w:rFonts w:hint="default" w:ascii="Times New Roman" w:hAnsi="Times New Roman" w:cs="Times New Roman"/>
                <w:color w:val="auto"/>
                <w:sz w:val="24"/>
                <w:szCs w:val="24"/>
              </w:rPr>
              <w:t>例行监测要求</w:t>
            </w:r>
          </w:p>
          <w:p w14:paraId="4BFC2155">
            <w:pPr>
              <w:widowControl/>
              <w:spacing w:line="360" w:lineRule="auto"/>
              <w:ind w:firstLine="480" w:firstLineChars="200"/>
              <w:jc w:val="left"/>
              <w:rPr>
                <w:color w:val="auto"/>
              </w:rPr>
            </w:pPr>
            <w:r>
              <w:rPr>
                <w:color w:val="auto"/>
                <w:sz w:val="24"/>
              </w:rPr>
              <w:t>根据</w:t>
            </w:r>
            <w:r>
              <w:rPr>
                <w:rFonts w:hint="default" w:ascii="Times New Roman" w:hAnsi="Times New Roman" w:cs="Times New Roman"/>
                <w:color w:val="auto"/>
                <w:sz w:val="24"/>
                <w:szCs w:val="24"/>
              </w:rPr>
              <w:t>《排污单位自行监测技术指南—</w:t>
            </w:r>
            <w:r>
              <w:rPr>
                <w:rFonts w:hint="eastAsia" w:cs="Times New Roman"/>
                <w:color w:val="auto"/>
                <w:sz w:val="24"/>
                <w:szCs w:val="24"/>
                <w:lang w:eastAsia="zh-CN"/>
              </w:rPr>
              <w:t>农副食品加工工业</w:t>
            </w:r>
            <w:r>
              <w:rPr>
                <w:rFonts w:hint="default" w:ascii="Times New Roman" w:hAnsi="Times New Roman" w:cs="Times New Roman"/>
                <w:color w:val="auto"/>
                <w:sz w:val="24"/>
                <w:szCs w:val="24"/>
              </w:rPr>
              <w:t>》(HJ</w:t>
            </w:r>
            <w:r>
              <w:rPr>
                <w:rFonts w:hint="eastAsia" w:cs="Times New Roman"/>
                <w:color w:val="auto"/>
                <w:sz w:val="24"/>
                <w:szCs w:val="24"/>
                <w:lang w:val="en-US" w:eastAsia="zh-CN"/>
              </w:rPr>
              <w:t>986</w:t>
            </w:r>
            <w:r>
              <w:rPr>
                <w:rFonts w:hint="default" w:ascii="Times New Roman" w:hAnsi="Times New Roman" w:cs="Times New Roman"/>
                <w:color w:val="auto"/>
                <w:sz w:val="24"/>
                <w:szCs w:val="24"/>
              </w:rPr>
              <w:t>-201</w:t>
            </w:r>
            <w:r>
              <w:rPr>
                <w:rFonts w:hint="eastAsia" w:cs="Times New Roman"/>
                <w:color w:val="auto"/>
                <w:sz w:val="24"/>
                <w:szCs w:val="24"/>
                <w:lang w:val="en-US" w:eastAsia="zh-CN"/>
              </w:rPr>
              <w:t>8</w:t>
            </w:r>
            <w:r>
              <w:rPr>
                <w:rFonts w:hint="default" w:ascii="Times New Roman" w:hAnsi="Times New Roman" w:cs="Times New Roman"/>
                <w:color w:val="auto"/>
                <w:sz w:val="24"/>
                <w:szCs w:val="24"/>
              </w:rPr>
              <w:t>)</w:t>
            </w:r>
            <w:r>
              <w:rPr>
                <w:color w:val="auto"/>
                <w:sz w:val="24"/>
              </w:rPr>
              <w:t>提出如下</w:t>
            </w:r>
            <w:r>
              <w:rPr>
                <w:rFonts w:hint="eastAsia"/>
                <w:color w:val="auto"/>
                <w:sz w:val="24"/>
              </w:rPr>
              <w:t>废水</w:t>
            </w:r>
            <w:r>
              <w:rPr>
                <w:color w:val="auto"/>
                <w:sz w:val="24"/>
              </w:rPr>
              <w:t>监测要求，详见表</w:t>
            </w:r>
            <w:r>
              <w:rPr>
                <w:rFonts w:hint="eastAsia" w:eastAsia="宋体"/>
                <w:color w:val="auto"/>
                <w:sz w:val="24"/>
                <w:lang w:val="en-US" w:eastAsia="zh-CN"/>
              </w:rPr>
              <w:t>4.3-4</w:t>
            </w:r>
            <w:r>
              <w:rPr>
                <w:color w:val="auto"/>
                <w:sz w:val="24"/>
              </w:rPr>
              <w:t>。</w:t>
            </w:r>
          </w:p>
          <w:p w14:paraId="0DDC5132">
            <w:pPr>
              <w:pStyle w:val="3"/>
              <w:bidi w:val="0"/>
              <w:rPr>
                <w:color w:val="auto"/>
              </w:rPr>
            </w:pPr>
            <w:r>
              <w:rPr>
                <w:color w:val="auto"/>
              </w:rPr>
              <w:t>表</w:t>
            </w:r>
            <w:r>
              <w:rPr>
                <w:rFonts w:hint="eastAsia"/>
                <w:color w:val="auto"/>
                <w:lang w:val="en-US" w:eastAsia="zh-CN"/>
              </w:rPr>
              <w:t>4.3-4</w:t>
            </w:r>
            <w:r>
              <w:rPr>
                <w:color w:val="auto"/>
              </w:rPr>
              <w:t xml:space="preserve"> </w:t>
            </w:r>
            <w:r>
              <w:rPr>
                <w:rFonts w:hint="eastAsia"/>
                <w:color w:val="auto"/>
              </w:rPr>
              <w:t>废水</w:t>
            </w:r>
            <w:r>
              <w:rPr>
                <w:rFonts w:hint="eastAsia" w:eastAsia="宋体"/>
                <w:color w:val="auto"/>
                <w:lang w:eastAsia="zh-CN"/>
              </w:rPr>
              <w:t>监测</w:t>
            </w:r>
            <w:r>
              <w:rPr>
                <w:rFonts w:hint="eastAsia"/>
                <w:color w:val="auto"/>
              </w:rPr>
              <w:t>例行</w:t>
            </w:r>
            <w:r>
              <w:rPr>
                <w:rFonts w:hint="eastAsia"/>
                <w:color w:val="auto"/>
                <w:lang w:eastAsia="zh-CN"/>
              </w:rPr>
              <w:t>监测</w:t>
            </w:r>
            <w:r>
              <w:rPr>
                <w:color w:val="auto"/>
              </w:rPr>
              <w:t>要求一览表</w:t>
            </w:r>
          </w:p>
          <w:tbl>
            <w:tblPr>
              <w:tblStyle w:val="17"/>
              <w:tblW w:w="5000"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32"/>
              <w:gridCol w:w="1006"/>
              <w:gridCol w:w="2166"/>
              <w:gridCol w:w="930"/>
              <w:gridCol w:w="3159"/>
            </w:tblGrid>
            <w:tr w14:paraId="64C408B3">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457" w:type="pct"/>
                  <w:tcBorders>
                    <w:top w:val="single" w:color="auto" w:sz="6" w:space="0"/>
                    <w:left w:val="nil"/>
                    <w:bottom w:val="single" w:color="auto" w:sz="6" w:space="0"/>
                    <w:right w:val="single" w:color="auto" w:sz="6" w:space="0"/>
                  </w:tcBorders>
                  <w:vAlign w:val="center"/>
                </w:tcPr>
                <w:p w14:paraId="744F8445">
                  <w:pPr>
                    <w:pStyle w:val="3"/>
                    <w:bidi w:val="0"/>
                    <w:rPr>
                      <w:rFonts w:hint="default" w:ascii="Times New Roman" w:hAnsi="Times New Roman" w:cs="Times New Roman"/>
                      <w:color w:val="auto"/>
                    </w:rPr>
                  </w:pPr>
                  <w:r>
                    <w:rPr>
                      <w:rFonts w:hint="default" w:ascii="Times New Roman" w:hAnsi="Times New Roman" w:cs="Times New Roman"/>
                      <w:color w:val="auto"/>
                    </w:rPr>
                    <w:t>污染物类型</w:t>
                  </w:r>
                </w:p>
              </w:tc>
              <w:tc>
                <w:tcPr>
                  <w:tcW w:w="629" w:type="pct"/>
                  <w:tcBorders>
                    <w:top w:val="single" w:color="auto" w:sz="6" w:space="0"/>
                    <w:left w:val="single" w:color="auto" w:sz="6" w:space="0"/>
                    <w:bottom w:val="single" w:color="auto" w:sz="6" w:space="0"/>
                    <w:right w:val="single" w:color="auto" w:sz="6" w:space="0"/>
                  </w:tcBorders>
                  <w:vAlign w:val="center"/>
                </w:tcPr>
                <w:p w14:paraId="325E9523">
                  <w:pPr>
                    <w:pStyle w:val="3"/>
                    <w:bidi w:val="0"/>
                    <w:rPr>
                      <w:rFonts w:hint="default" w:ascii="Times New Roman" w:hAnsi="Times New Roman" w:cs="Times New Roman"/>
                      <w:color w:val="auto"/>
                    </w:rPr>
                  </w:pPr>
                  <w:r>
                    <w:rPr>
                      <w:rFonts w:hint="default" w:ascii="Times New Roman" w:hAnsi="Times New Roman" w:cs="Times New Roman"/>
                      <w:color w:val="auto"/>
                    </w:rPr>
                    <w:t>监测</w:t>
                  </w:r>
                </w:p>
                <w:p w14:paraId="387C799B">
                  <w:pPr>
                    <w:pStyle w:val="3"/>
                    <w:bidi w:val="0"/>
                    <w:rPr>
                      <w:rFonts w:hint="default" w:ascii="Times New Roman" w:hAnsi="Times New Roman" w:cs="Times New Roman"/>
                      <w:color w:val="auto"/>
                    </w:rPr>
                  </w:pPr>
                  <w:r>
                    <w:rPr>
                      <w:rFonts w:hint="default" w:ascii="Times New Roman" w:hAnsi="Times New Roman" w:cs="Times New Roman"/>
                      <w:color w:val="auto"/>
                    </w:rPr>
                    <w:t>点位</w:t>
                  </w:r>
                </w:p>
              </w:tc>
              <w:tc>
                <w:tcPr>
                  <w:tcW w:w="1354" w:type="pct"/>
                  <w:tcBorders>
                    <w:top w:val="single" w:color="auto" w:sz="6" w:space="0"/>
                    <w:left w:val="single" w:color="auto" w:sz="6" w:space="0"/>
                    <w:bottom w:val="single" w:color="auto" w:sz="6" w:space="0"/>
                    <w:right w:val="single" w:color="auto" w:sz="6" w:space="0"/>
                  </w:tcBorders>
                  <w:vAlign w:val="center"/>
                </w:tcPr>
                <w:p w14:paraId="2D972941">
                  <w:pPr>
                    <w:pStyle w:val="3"/>
                    <w:bidi w:val="0"/>
                    <w:rPr>
                      <w:rFonts w:hint="default" w:ascii="Times New Roman" w:hAnsi="Times New Roman" w:cs="Times New Roman"/>
                      <w:color w:val="auto"/>
                    </w:rPr>
                  </w:pPr>
                  <w:r>
                    <w:rPr>
                      <w:rFonts w:hint="default" w:ascii="Times New Roman" w:hAnsi="Times New Roman" w:cs="Times New Roman"/>
                      <w:color w:val="auto"/>
                    </w:rPr>
                    <w:t>监测指标</w:t>
                  </w:r>
                </w:p>
              </w:tc>
              <w:tc>
                <w:tcPr>
                  <w:tcW w:w="581" w:type="pct"/>
                  <w:tcBorders>
                    <w:top w:val="single" w:color="auto" w:sz="6" w:space="0"/>
                    <w:left w:val="single" w:color="auto" w:sz="6" w:space="0"/>
                    <w:bottom w:val="single" w:color="auto" w:sz="6" w:space="0"/>
                    <w:right w:val="nil"/>
                  </w:tcBorders>
                  <w:vAlign w:val="center"/>
                </w:tcPr>
                <w:p w14:paraId="6A907FEE">
                  <w:pPr>
                    <w:pStyle w:val="3"/>
                    <w:bidi w:val="0"/>
                    <w:rPr>
                      <w:rFonts w:hint="default" w:ascii="Times New Roman" w:hAnsi="Times New Roman" w:cs="Times New Roman"/>
                      <w:color w:val="auto"/>
                    </w:rPr>
                  </w:pPr>
                  <w:r>
                    <w:rPr>
                      <w:rFonts w:hint="default" w:ascii="Times New Roman" w:hAnsi="Times New Roman" w:cs="Times New Roman"/>
                      <w:color w:val="auto"/>
                    </w:rPr>
                    <w:t>监测</w:t>
                  </w:r>
                </w:p>
                <w:p w14:paraId="66381B13">
                  <w:pPr>
                    <w:pStyle w:val="3"/>
                    <w:bidi w:val="0"/>
                    <w:rPr>
                      <w:rFonts w:hint="default" w:ascii="Times New Roman" w:hAnsi="Times New Roman" w:cs="Times New Roman"/>
                      <w:color w:val="auto"/>
                    </w:rPr>
                  </w:pPr>
                  <w:r>
                    <w:rPr>
                      <w:rFonts w:hint="default" w:ascii="Times New Roman" w:hAnsi="Times New Roman" w:cs="Times New Roman"/>
                      <w:color w:val="auto"/>
                    </w:rPr>
                    <w:t>频次</w:t>
                  </w:r>
                </w:p>
              </w:tc>
              <w:tc>
                <w:tcPr>
                  <w:tcW w:w="1976" w:type="pct"/>
                  <w:tcBorders>
                    <w:top w:val="single" w:color="auto" w:sz="6" w:space="0"/>
                    <w:left w:val="single" w:color="auto" w:sz="6" w:space="0"/>
                    <w:bottom w:val="single" w:color="auto" w:sz="6" w:space="0"/>
                    <w:right w:val="nil"/>
                  </w:tcBorders>
                  <w:vAlign w:val="center"/>
                </w:tcPr>
                <w:p w14:paraId="3F8E38A5">
                  <w:pPr>
                    <w:pStyle w:val="3"/>
                    <w:bidi w:val="0"/>
                    <w:rPr>
                      <w:rFonts w:hint="default" w:ascii="Times New Roman" w:hAnsi="Times New Roman" w:cs="Times New Roman"/>
                      <w:color w:val="auto"/>
                    </w:rPr>
                  </w:pPr>
                  <w:r>
                    <w:rPr>
                      <w:rFonts w:hint="default" w:ascii="Times New Roman" w:hAnsi="Times New Roman" w:cs="Times New Roman"/>
                      <w:color w:val="auto"/>
                    </w:rPr>
                    <w:t>执行标准</w:t>
                  </w:r>
                </w:p>
              </w:tc>
            </w:tr>
            <w:tr w14:paraId="6A0AF3AC">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457" w:type="pct"/>
                  <w:tcBorders>
                    <w:top w:val="single" w:color="auto" w:sz="4" w:space="0"/>
                    <w:left w:val="nil"/>
                    <w:bottom w:val="single" w:color="auto" w:sz="4" w:space="0"/>
                    <w:right w:val="single" w:color="auto" w:sz="6" w:space="0"/>
                  </w:tcBorders>
                  <w:vAlign w:val="center"/>
                </w:tcPr>
                <w:p w14:paraId="70194F55">
                  <w:pPr>
                    <w:pStyle w:val="3"/>
                    <w:bidi w:val="0"/>
                    <w:rPr>
                      <w:rFonts w:hint="default" w:ascii="Times New Roman" w:hAnsi="Times New Roman" w:cs="Times New Roman"/>
                      <w:color w:val="auto"/>
                    </w:rPr>
                  </w:pPr>
                  <w:r>
                    <w:rPr>
                      <w:rFonts w:hint="default" w:ascii="Times New Roman" w:hAnsi="Times New Roman" w:cs="Times New Roman"/>
                      <w:color w:val="auto"/>
                    </w:rPr>
                    <w:t>废水</w:t>
                  </w:r>
                </w:p>
              </w:tc>
              <w:tc>
                <w:tcPr>
                  <w:tcW w:w="629" w:type="pct"/>
                  <w:tcBorders>
                    <w:top w:val="single" w:color="auto" w:sz="4" w:space="0"/>
                    <w:left w:val="single" w:color="auto" w:sz="6" w:space="0"/>
                    <w:bottom w:val="single" w:color="auto" w:sz="4" w:space="0"/>
                    <w:right w:val="single" w:color="auto" w:sz="6" w:space="0"/>
                  </w:tcBorders>
                  <w:vAlign w:val="center"/>
                </w:tcPr>
                <w:p w14:paraId="0BD282A9">
                  <w:pPr>
                    <w:pStyle w:val="3"/>
                    <w:bidi w:val="0"/>
                    <w:rPr>
                      <w:rFonts w:hint="default" w:ascii="Times New Roman" w:hAnsi="Times New Roman" w:cs="Times New Roman"/>
                      <w:color w:val="auto"/>
                    </w:rPr>
                  </w:pPr>
                  <w:r>
                    <w:rPr>
                      <w:rFonts w:hint="default" w:ascii="Times New Roman" w:hAnsi="Times New Roman" w:cs="Times New Roman"/>
                      <w:color w:val="auto"/>
                    </w:rPr>
                    <w:t>厂区总排口</w:t>
                  </w:r>
                </w:p>
              </w:tc>
              <w:tc>
                <w:tcPr>
                  <w:tcW w:w="1354" w:type="pct"/>
                  <w:tcBorders>
                    <w:top w:val="single" w:color="auto" w:sz="6" w:space="0"/>
                    <w:left w:val="single" w:color="auto" w:sz="6" w:space="0"/>
                    <w:bottom w:val="single" w:color="auto" w:sz="6" w:space="0"/>
                    <w:right w:val="single" w:color="auto" w:sz="6" w:space="0"/>
                  </w:tcBorders>
                  <w:vAlign w:val="center"/>
                </w:tcPr>
                <w:p w14:paraId="2F5F4044">
                  <w:pPr>
                    <w:pStyle w:val="3"/>
                    <w:bidi w:val="0"/>
                    <w:jc w:val="both"/>
                    <w:rPr>
                      <w:rFonts w:hint="default" w:ascii="Times New Roman" w:hAnsi="Times New Roman" w:eastAsia="宋体" w:cs="Times New Roman"/>
                      <w:color w:val="auto"/>
                      <w:lang w:eastAsia="zh-CN"/>
                    </w:rPr>
                  </w:pPr>
                  <w:r>
                    <w:rPr>
                      <w:rFonts w:hint="default" w:ascii="Times New Roman" w:hAnsi="Times New Roman" w:cs="Times New Roman"/>
                      <w:color w:val="auto"/>
                    </w:rPr>
                    <w:t>pH、COD、BOD</w:t>
                  </w:r>
                  <w:r>
                    <w:rPr>
                      <w:rFonts w:hint="default" w:ascii="Times New Roman" w:hAnsi="Times New Roman" w:cs="Times New Roman"/>
                      <w:color w:val="auto"/>
                      <w:vertAlign w:val="subscript"/>
                    </w:rPr>
                    <w:t>5</w:t>
                  </w:r>
                  <w:r>
                    <w:rPr>
                      <w:rFonts w:hint="default" w:ascii="Times New Roman" w:hAnsi="Times New Roman" w:cs="Times New Roman"/>
                      <w:color w:val="auto"/>
                    </w:rPr>
                    <w:t>、SS、氨氮、</w:t>
                  </w:r>
                  <w:r>
                    <w:rPr>
                      <w:rFonts w:hint="default" w:ascii="Times New Roman" w:hAnsi="Times New Roman" w:eastAsia="宋体" w:cs="Times New Roman"/>
                      <w:color w:val="auto"/>
                      <w:lang w:eastAsia="zh-CN"/>
                    </w:rPr>
                    <w:t>总氮、</w:t>
                  </w:r>
                  <w:r>
                    <w:rPr>
                      <w:rFonts w:hint="default" w:ascii="Times New Roman" w:hAnsi="Times New Roman" w:cs="Times New Roman"/>
                      <w:color w:val="auto"/>
                    </w:rPr>
                    <w:t>总磷、</w:t>
                  </w:r>
                  <w:r>
                    <w:rPr>
                      <w:rFonts w:hint="default" w:ascii="Times New Roman" w:hAnsi="Times New Roman" w:eastAsia="宋体" w:cs="Times New Roman"/>
                      <w:color w:val="auto"/>
                      <w:lang w:eastAsia="zh-CN"/>
                    </w:rPr>
                    <w:t>动植物油</w:t>
                  </w:r>
                </w:p>
              </w:tc>
              <w:tc>
                <w:tcPr>
                  <w:tcW w:w="581" w:type="pct"/>
                  <w:tcBorders>
                    <w:top w:val="single" w:color="auto" w:sz="6" w:space="0"/>
                    <w:left w:val="single" w:color="auto" w:sz="6" w:space="0"/>
                    <w:bottom w:val="single" w:color="auto" w:sz="6" w:space="0"/>
                    <w:right w:val="nil"/>
                  </w:tcBorders>
                  <w:vAlign w:val="center"/>
                </w:tcPr>
                <w:p w14:paraId="3C566259">
                  <w:pPr>
                    <w:pStyle w:val="3"/>
                    <w:bidi w:val="0"/>
                    <w:rPr>
                      <w:rFonts w:hint="default" w:ascii="Times New Roman" w:hAnsi="Times New Roman" w:cs="Times New Roman"/>
                      <w:color w:val="auto"/>
                    </w:rPr>
                  </w:pPr>
                  <w:r>
                    <w:rPr>
                      <w:rFonts w:hint="default" w:ascii="Times New Roman" w:hAnsi="Times New Roman" w:cs="Times New Roman"/>
                      <w:color w:val="auto"/>
                    </w:rPr>
                    <w:t>半年</w:t>
                  </w:r>
                </w:p>
              </w:tc>
              <w:tc>
                <w:tcPr>
                  <w:tcW w:w="1976" w:type="pct"/>
                  <w:tcBorders>
                    <w:top w:val="single" w:color="auto" w:sz="6" w:space="0"/>
                    <w:left w:val="single" w:color="auto" w:sz="6" w:space="0"/>
                    <w:bottom w:val="single" w:color="auto" w:sz="6" w:space="0"/>
                    <w:right w:val="nil"/>
                  </w:tcBorders>
                  <w:vAlign w:val="center"/>
                </w:tcPr>
                <w:p w14:paraId="4D55EBAC">
                  <w:pPr>
                    <w:pStyle w:val="3"/>
                    <w:bidi w:val="0"/>
                    <w:rPr>
                      <w:rFonts w:hint="default" w:ascii="Times New Roman" w:hAnsi="Times New Roman" w:cs="Times New Roman"/>
                      <w:color w:val="auto"/>
                    </w:rPr>
                  </w:pPr>
                  <w:r>
                    <w:rPr>
                      <w:rFonts w:hint="default" w:ascii="Times New Roman" w:hAnsi="Times New Roman" w:cs="Times New Roman"/>
                      <w:color w:val="auto"/>
                    </w:rPr>
                    <w:t>GB8978-1996三级标准，氨氮、</w:t>
                  </w:r>
                  <w:r>
                    <w:rPr>
                      <w:rFonts w:hint="eastAsia" w:ascii="Times New Roman" w:hAnsi="Times New Roman" w:eastAsia="宋体" w:cs="Times New Roman"/>
                      <w:color w:val="auto"/>
                      <w:lang w:eastAsia="zh-CN"/>
                    </w:rPr>
                    <w:t>总氮、</w:t>
                  </w:r>
                  <w:r>
                    <w:rPr>
                      <w:rFonts w:hint="default" w:ascii="Times New Roman" w:hAnsi="Times New Roman" w:cs="Times New Roman"/>
                      <w:color w:val="auto"/>
                    </w:rPr>
                    <w:t>总磷执行GB/T31962-2015</w:t>
                  </w:r>
                </w:p>
              </w:tc>
            </w:tr>
          </w:tbl>
          <w:p w14:paraId="3F4E7405">
            <w:pPr>
              <w:pStyle w:val="23"/>
              <w:rPr>
                <w:color w:val="auto"/>
              </w:rPr>
            </w:pPr>
          </w:p>
          <w:p w14:paraId="385F8BC1">
            <w:pPr>
              <w:pStyle w:val="23"/>
              <w:rPr>
                <w:color w:val="auto"/>
              </w:rPr>
            </w:pPr>
          </w:p>
          <w:p w14:paraId="21A52B51">
            <w:pPr>
              <w:pStyle w:val="5"/>
              <w:rPr>
                <w:color w:val="auto"/>
              </w:rPr>
            </w:pPr>
          </w:p>
          <w:p w14:paraId="7504D2BD">
            <w:pPr>
              <w:rPr>
                <w:color w:val="auto"/>
              </w:rPr>
            </w:pPr>
          </w:p>
          <w:p w14:paraId="68CE1071">
            <w:pPr>
              <w:pStyle w:val="2"/>
              <w:rPr>
                <w:color w:val="auto"/>
              </w:rPr>
            </w:pPr>
          </w:p>
          <w:p w14:paraId="3EC8F27E">
            <w:pPr>
              <w:rPr>
                <w:color w:val="auto"/>
              </w:rPr>
            </w:pPr>
          </w:p>
          <w:p w14:paraId="717F4634">
            <w:pPr>
              <w:pStyle w:val="2"/>
              <w:rPr>
                <w:color w:val="auto"/>
              </w:rPr>
            </w:pPr>
          </w:p>
          <w:p w14:paraId="18DD43C2">
            <w:pPr>
              <w:rPr>
                <w:color w:val="auto"/>
              </w:rPr>
            </w:pPr>
          </w:p>
          <w:p w14:paraId="26C57DBB">
            <w:pPr>
              <w:pStyle w:val="2"/>
              <w:rPr>
                <w:color w:val="auto"/>
              </w:rPr>
            </w:pPr>
          </w:p>
          <w:p w14:paraId="1D933158">
            <w:pPr>
              <w:rPr>
                <w:color w:val="auto"/>
              </w:rPr>
            </w:pPr>
          </w:p>
          <w:p w14:paraId="5907EBDA">
            <w:pPr>
              <w:pStyle w:val="2"/>
              <w:rPr>
                <w:color w:val="auto"/>
              </w:rPr>
            </w:pPr>
          </w:p>
          <w:p w14:paraId="5AA5A89E">
            <w:pPr>
              <w:pStyle w:val="23"/>
              <w:ind w:left="0" w:leftChars="0" w:firstLine="0" w:firstLineChars="0"/>
              <w:rPr>
                <w:color w:val="auto"/>
              </w:rPr>
            </w:pPr>
          </w:p>
          <w:p w14:paraId="2122C5D3">
            <w:pPr>
              <w:tabs>
                <w:tab w:val="left" w:pos="1535"/>
              </w:tabs>
              <w:snapToGrid w:val="0"/>
              <w:spacing w:line="360" w:lineRule="auto"/>
              <w:ind w:firstLine="480"/>
              <w:rPr>
                <w:color w:val="auto"/>
                <w:sz w:val="24"/>
                <w:szCs w:val="24"/>
              </w:rPr>
            </w:pPr>
          </w:p>
        </w:tc>
      </w:tr>
    </w:tbl>
    <w:p w14:paraId="584909AA">
      <w:pPr>
        <w:adjustRightInd w:val="0"/>
        <w:snapToGrid w:val="0"/>
        <w:spacing w:line="360" w:lineRule="auto"/>
        <w:ind w:left="0" w:leftChars="0" w:firstLine="0" w:firstLineChars="0"/>
        <w:rPr>
          <w:rFonts w:ascii="宋体" w:cs="宋体"/>
          <w:b/>
          <w:color w:val="auto"/>
          <w:kern w:val="0"/>
          <w:sz w:val="28"/>
          <w:szCs w:val="28"/>
        </w:rPr>
        <w:sectPr>
          <w:footerReference r:id="rId7" w:type="default"/>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17"/>
        <w:tblW w:w="5059"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577"/>
        <w:gridCol w:w="12726"/>
      </w:tblGrid>
      <w:tr w14:paraId="3978B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5" w:hRule="atLeast"/>
          <w:jc w:val="center"/>
        </w:trPr>
        <w:tc>
          <w:tcPr>
            <w:tcW w:w="217" w:type="pct"/>
            <w:tcMar>
              <w:left w:w="28" w:type="dxa"/>
              <w:right w:w="28" w:type="dxa"/>
            </w:tcMar>
            <w:vAlign w:val="center"/>
          </w:tcPr>
          <w:p w14:paraId="6E21608F">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Cs/>
                <w:color w:val="auto"/>
                <w:szCs w:val="21"/>
              </w:rPr>
            </w:pPr>
            <w:r>
              <w:rPr>
                <w:rFonts w:hint="eastAsia" w:ascii="宋体" w:hAnsi="宋体" w:cs="宋体"/>
                <w:bCs/>
                <w:color w:val="auto"/>
                <w:szCs w:val="21"/>
              </w:rPr>
              <w:t>运营</w:t>
            </w:r>
          </w:p>
          <w:p w14:paraId="422EFE7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Cs/>
                <w:color w:val="auto"/>
                <w:szCs w:val="21"/>
              </w:rPr>
            </w:pPr>
            <w:r>
              <w:rPr>
                <w:rFonts w:hint="eastAsia" w:ascii="宋体" w:hAnsi="宋体" w:cs="宋体"/>
                <w:bCs/>
                <w:color w:val="auto"/>
                <w:szCs w:val="21"/>
              </w:rPr>
              <w:t>期环</w:t>
            </w:r>
          </w:p>
          <w:p w14:paraId="1F11D19C">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Cs/>
                <w:color w:val="auto"/>
                <w:szCs w:val="21"/>
              </w:rPr>
            </w:pPr>
            <w:r>
              <w:rPr>
                <w:rFonts w:hint="eastAsia" w:ascii="宋体" w:hAnsi="宋体" w:cs="宋体"/>
                <w:bCs/>
                <w:color w:val="auto"/>
                <w:szCs w:val="21"/>
              </w:rPr>
              <w:t>境影</w:t>
            </w:r>
          </w:p>
          <w:p w14:paraId="198E6CA4">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Cs/>
                <w:color w:val="auto"/>
                <w:szCs w:val="21"/>
              </w:rPr>
            </w:pPr>
            <w:r>
              <w:rPr>
                <w:rFonts w:hint="eastAsia" w:ascii="宋体" w:hAnsi="宋体" w:cs="宋体"/>
                <w:bCs/>
                <w:color w:val="auto"/>
                <w:szCs w:val="21"/>
              </w:rPr>
              <w:t>响和</w:t>
            </w:r>
          </w:p>
          <w:p w14:paraId="5010B8A2">
            <w:pPr>
              <w:keepNext w:val="0"/>
              <w:keepLines w:val="0"/>
              <w:pageBreakBefore w:val="0"/>
              <w:kinsoku/>
              <w:wordWrap/>
              <w:overflowPunct/>
              <w:topLinePunct w:val="0"/>
              <w:autoSpaceDE/>
              <w:autoSpaceDN/>
              <w:bidi w:val="0"/>
              <w:adjustRightInd w:val="0"/>
              <w:snapToGrid w:val="0"/>
              <w:spacing w:line="240" w:lineRule="auto"/>
              <w:ind w:firstLine="0" w:firstLineChars="0"/>
              <w:jc w:val="center"/>
              <w:textAlignment w:val="auto"/>
              <w:rPr>
                <w:rFonts w:ascii="宋体" w:hAnsi="宋体" w:cs="宋体"/>
                <w:bCs/>
                <w:color w:val="auto"/>
                <w:szCs w:val="21"/>
              </w:rPr>
            </w:pPr>
            <w:r>
              <w:rPr>
                <w:rFonts w:hint="eastAsia" w:ascii="宋体" w:hAnsi="宋体" w:cs="宋体"/>
                <w:bCs/>
                <w:color w:val="auto"/>
                <w:szCs w:val="21"/>
              </w:rPr>
              <w:t>保护</w:t>
            </w:r>
          </w:p>
          <w:p w14:paraId="72BB1DE2">
            <w:pPr>
              <w:pStyle w:val="16"/>
              <w:keepNext w:val="0"/>
              <w:keepLines w:val="0"/>
              <w:pageBreakBefore w:val="0"/>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auto"/>
              <w:rPr>
                <w:rFonts w:cs="宋体"/>
                <w:color w:val="auto"/>
                <w:sz w:val="21"/>
                <w:szCs w:val="21"/>
              </w:rPr>
            </w:pPr>
            <w:r>
              <w:rPr>
                <w:rFonts w:hint="eastAsia" w:cs="宋体"/>
                <w:bCs/>
                <w:color w:val="auto"/>
                <w:szCs w:val="21"/>
              </w:rPr>
              <w:t>措施</w:t>
            </w:r>
          </w:p>
        </w:tc>
        <w:tc>
          <w:tcPr>
            <w:tcW w:w="4782" w:type="pct"/>
          </w:tcPr>
          <w:p w14:paraId="0469FDD8">
            <w:pPr>
              <w:pStyle w:val="23"/>
              <w:spacing w:line="360" w:lineRule="auto"/>
              <w:ind w:left="0" w:leftChars="0" w:firstLine="0" w:firstLineChars="0"/>
              <w:jc w:val="both"/>
              <w:rPr>
                <w:rFonts w:ascii="Times New Roman" w:cs="Times New Roman"/>
                <w:b/>
                <w:bCs/>
                <w:color w:val="auto"/>
                <w:highlight w:val="none"/>
              </w:rPr>
            </w:pPr>
            <w:r>
              <w:rPr>
                <w:rFonts w:hint="eastAsia" w:ascii="Times New Roman" w:cs="Times New Roman"/>
                <w:b/>
                <w:bCs/>
                <w:color w:val="auto"/>
                <w:highlight w:val="none"/>
                <w:lang w:val="en-US" w:eastAsia="zh-CN"/>
              </w:rPr>
              <w:t>4</w:t>
            </w:r>
            <w:r>
              <w:rPr>
                <w:rFonts w:ascii="Times New Roman" w:cs="Times New Roman"/>
                <w:b/>
                <w:bCs/>
                <w:color w:val="auto"/>
                <w:highlight w:val="none"/>
              </w:rPr>
              <w:t>.噪声</w:t>
            </w:r>
          </w:p>
          <w:p w14:paraId="07C3721F">
            <w:pPr>
              <w:pStyle w:val="23"/>
              <w:spacing w:line="360" w:lineRule="auto"/>
              <w:ind w:firstLine="480" w:firstLineChars="200"/>
              <w:jc w:val="both"/>
              <w:rPr>
                <w:rFonts w:ascii="Times New Roman" w:cs="Times New Roman"/>
                <w:color w:val="auto"/>
              </w:rPr>
            </w:pPr>
            <w:r>
              <w:rPr>
                <w:rFonts w:ascii="Times New Roman" w:cs="Times New Roman"/>
                <w:color w:val="auto"/>
              </w:rPr>
              <w:t>（1）主要噪声源情况及降噪措施</w:t>
            </w:r>
          </w:p>
          <w:p w14:paraId="67CB399D">
            <w:pPr>
              <w:adjustRightInd w:val="0"/>
              <w:snapToGrid w:val="0"/>
              <w:spacing w:line="360" w:lineRule="auto"/>
              <w:ind w:firstLine="480" w:firstLineChars="200"/>
              <w:rPr>
                <w:color w:val="auto"/>
                <w:sz w:val="21"/>
                <w:szCs w:val="21"/>
                <w:highlight w:val="none"/>
              </w:rPr>
            </w:pPr>
            <w:r>
              <w:rPr>
                <w:rFonts w:hint="eastAsia" w:eastAsia="宋体"/>
                <w:color w:val="auto"/>
                <w:sz w:val="24"/>
                <w:lang w:eastAsia="zh-CN"/>
              </w:rPr>
              <w:t>通过调查，本项目主要噪声源为</w:t>
            </w:r>
            <w:r>
              <w:rPr>
                <w:rFonts w:hint="eastAsia"/>
                <w:color w:val="auto"/>
                <w:sz w:val="24"/>
                <w:szCs w:val="24"/>
                <w:lang w:eastAsia="zh-CN"/>
              </w:rPr>
              <w:t>大豆膨化生产线的破碎机、粉碎机、风机等机械设备；磷脂分线的离心机、磷脂调质泵、薄膜蒸发器、磷脂冷却器、输送泵、</w:t>
            </w:r>
            <w:r>
              <w:rPr>
                <w:rFonts w:hint="eastAsia"/>
                <w:color w:val="auto"/>
              </w:rPr>
              <w:t>液环真空泵</w:t>
            </w:r>
            <w:r>
              <w:rPr>
                <w:rFonts w:hint="eastAsia" w:eastAsia="宋体"/>
                <w:color w:val="auto"/>
                <w:sz w:val="24"/>
                <w:szCs w:val="24"/>
                <w:lang w:eastAsia="zh-CN"/>
              </w:rPr>
              <w:t>、</w:t>
            </w:r>
            <w:r>
              <w:rPr>
                <w:rFonts w:hint="eastAsia"/>
                <w:color w:val="auto"/>
              </w:rPr>
              <w:t>脱胶混合器</w:t>
            </w:r>
            <w:r>
              <w:rPr>
                <w:rFonts w:hint="eastAsia" w:eastAsia="宋体"/>
                <w:color w:val="auto"/>
                <w:lang w:eastAsia="zh-CN"/>
              </w:rPr>
              <w:t>等设备</w:t>
            </w:r>
            <w:r>
              <w:rPr>
                <w:rFonts w:hint="eastAsia" w:eastAsia="宋体"/>
                <w:color w:val="auto"/>
                <w:sz w:val="24"/>
                <w:lang w:eastAsia="zh-CN"/>
              </w:rPr>
              <w:t>，本项</w:t>
            </w:r>
            <w:r>
              <w:rPr>
                <w:color w:val="auto"/>
                <w:kern w:val="0"/>
                <w:highlight w:val="none"/>
              </w:rPr>
              <w:t>目实行</w:t>
            </w:r>
            <w:r>
              <w:rPr>
                <w:rFonts w:hint="eastAsia" w:eastAsia="宋体"/>
                <w:color w:val="auto"/>
                <w:kern w:val="0"/>
                <w:highlight w:val="none"/>
                <w:lang w:val="en-US" w:eastAsia="zh-CN"/>
              </w:rPr>
              <w:t>3</w:t>
            </w:r>
            <w:r>
              <w:rPr>
                <w:color w:val="auto"/>
                <w:kern w:val="0"/>
                <w:highlight w:val="none"/>
              </w:rPr>
              <w:t>班制，每班工作时间为8小时</w:t>
            </w:r>
            <w:r>
              <w:rPr>
                <w:rFonts w:hint="eastAsia" w:eastAsia="宋体"/>
                <w:color w:val="auto"/>
                <w:kern w:val="0"/>
                <w:highlight w:val="none"/>
                <w:lang w:eastAsia="zh-CN"/>
              </w:rPr>
              <w:t>。</w:t>
            </w:r>
            <w:r>
              <w:rPr>
                <w:rFonts w:hint="eastAsia"/>
                <w:color w:val="auto"/>
                <w:sz w:val="24"/>
              </w:rPr>
              <w:t>根据</w:t>
            </w:r>
            <w:r>
              <w:rPr>
                <w:snapToGrid w:val="0"/>
                <w:color w:val="auto"/>
                <w:sz w:val="24"/>
              </w:rPr>
              <w:t>《环境影响评价技术导则 声环境》（HJ2.4－2021）</w:t>
            </w:r>
            <w:r>
              <w:rPr>
                <w:rFonts w:hint="eastAsia"/>
                <w:snapToGrid w:val="0"/>
                <w:color w:val="auto"/>
                <w:sz w:val="24"/>
              </w:rPr>
              <w:t>，</w:t>
            </w:r>
            <w:r>
              <w:rPr>
                <w:color w:val="auto"/>
                <w:sz w:val="24"/>
              </w:rPr>
              <w:t>本项目</w:t>
            </w:r>
            <w:r>
              <w:rPr>
                <w:rFonts w:hint="eastAsia"/>
                <w:color w:val="auto"/>
                <w:sz w:val="24"/>
              </w:rPr>
              <w:t>噪声源强调查清单见表4.</w:t>
            </w:r>
            <w:r>
              <w:rPr>
                <w:rFonts w:hint="eastAsia" w:eastAsia="宋体"/>
                <w:color w:val="auto"/>
                <w:sz w:val="24"/>
                <w:lang w:val="en-US" w:eastAsia="zh-CN"/>
              </w:rPr>
              <w:t>4-1、表4.4-2</w:t>
            </w:r>
            <w:r>
              <w:rPr>
                <w:color w:val="auto"/>
                <w:sz w:val="24"/>
              </w:rPr>
              <w:t>。</w:t>
            </w:r>
          </w:p>
          <w:p w14:paraId="1F5BE119">
            <w:pPr>
              <w:adjustRightInd w:val="0"/>
              <w:snapToGrid w:val="0"/>
              <w:spacing w:line="360" w:lineRule="auto"/>
              <w:ind w:left="0" w:leftChars="0" w:firstLine="0" w:firstLineChars="0"/>
              <w:jc w:val="center"/>
              <w:rPr>
                <w:color w:val="auto"/>
                <w:sz w:val="21"/>
                <w:szCs w:val="21"/>
                <w:highlight w:val="none"/>
              </w:rPr>
            </w:pPr>
            <w:r>
              <w:rPr>
                <w:color w:val="auto"/>
                <w:sz w:val="21"/>
                <w:szCs w:val="21"/>
                <w:highlight w:val="none"/>
              </w:rPr>
              <w:t>表4.</w:t>
            </w:r>
            <w:r>
              <w:rPr>
                <w:rFonts w:hint="eastAsia" w:eastAsia="宋体"/>
                <w:color w:val="auto"/>
                <w:sz w:val="21"/>
                <w:szCs w:val="21"/>
                <w:highlight w:val="none"/>
                <w:lang w:val="en-US" w:eastAsia="zh-CN"/>
              </w:rPr>
              <w:t>4-1</w:t>
            </w:r>
            <w:r>
              <w:rPr>
                <w:rFonts w:hint="eastAsia"/>
                <w:color w:val="auto"/>
                <w:sz w:val="21"/>
                <w:szCs w:val="21"/>
                <w:highlight w:val="none"/>
              </w:rPr>
              <w:t>噪声源强调查清单（室内声源）</w:t>
            </w:r>
          </w:p>
          <w:tbl>
            <w:tblPr>
              <w:tblStyle w:val="18"/>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93"/>
              <w:gridCol w:w="815"/>
              <w:gridCol w:w="500"/>
              <w:gridCol w:w="2003"/>
              <w:gridCol w:w="1080"/>
              <w:gridCol w:w="542"/>
              <w:gridCol w:w="402"/>
              <w:gridCol w:w="524"/>
              <w:gridCol w:w="1220"/>
              <w:gridCol w:w="1255"/>
              <w:gridCol w:w="566"/>
              <w:gridCol w:w="1339"/>
              <w:gridCol w:w="1045"/>
            </w:tblGrid>
            <w:tr w14:paraId="6911C8C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2E0AEB26">
                  <w:pPr>
                    <w:pStyle w:val="3"/>
                    <w:bidi w:val="0"/>
                    <w:rPr>
                      <w:rFonts w:hint="default" w:ascii="Times New Roman" w:hAnsi="Times New Roman" w:cs="Times New Roman"/>
                      <w:color w:val="auto"/>
                    </w:rPr>
                  </w:pPr>
                  <w:r>
                    <w:rPr>
                      <w:rFonts w:hint="default" w:ascii="Times New Roman" w:hAnsi="Times New Roman" w:cs="Times New Roman"/>
                      <w:color w:val="auto"/>
                    </w:rPr>
                    <w:t>序</w:t>
                  </w:r>
                </w:p>
                <w:p w14:paraId="3EC3E6AE">
                  <w:pPr>
                    <w:pStyle w:val="3"/>
                    <w:bidi w:val="0"/>
                    <w:rPr>
                      <w:rFonts w:hint="default" w:ascii="Times New Roman" w:hAnsi="Times New Roman" w:cs="Times New Roman"/>
                      <w:color w:val="auto"/>
                    </w:rPr>
                  </w:pPr>
                  <w:r>
                    <w:rPr>
                      <w:rFonts w:hint="default" w:ascii="Times New Roman" w:hAnsi="Times New Roman" w:cs="Times New Roman"/>
                      <w:color w:val="auto"/>
                    </w:rPr>
                    <w:t>号</w:t>
                  </w:r>
                </w:p>
              </w:tc>
              <w:tc>
                <w:tcPr>
                  <w:tcW w:w="0" w:type="auto"/>
                  <w:vMerge w:val="restart"/>
                  <w:tcBorders>
                    <w:tl2br w:val="nil"/>
                    <w:tr2bl w:val="nil"/>
                  </w:tcBorders>
                  <w:vAlign w:val="center"/>
                </w:tcPr>
                <w:p w14:paraId="590A435F">
                  <w:pPr>
                    <w:pStyle w:val="3"/>
                    <w:bidi w:val="0"/>
                    <w:rPr>
                      <w:rFonts w:hint="default" w:ascii="Times New Roman" w:hAnsi="Times New Roman" w:cs="Times New Roman"/>
                      <w:color w:val="auto"/>
                    </w:rPr>
                  </w:pPr>
                  <w:r>
                    <w:rPr>
                      <w:rFonts w:hint="default" w:ascii="Times New Roman" w:hAnsi="Times New Roman" w:cs="Times New Roman"/>
                      <w:color w:val="auto"/>
                    </w:rPr>
                    <w:t>建筑物名称</w:t>
                  </w:r>
                </w:p>
              </w:tc>
              <w:tc>
                <w:tcPr>
                  <w:tcW w:w="0" w:type="auto"/>
                  <w:vMerge w:val="restart"/>
                  <w:tcBorders>
                    <w:tl2br w:val="nil"/>
                    <w:tr2bl w:val="nil"/>
                  </w:tcBorders>
                  <w:vAlign w:val="center"/>
                </w:tcPr>
                <w:p w14:paraId="27B2CF55">
                  <w:pPr>
                    <w:pStyle w:val="3"/>
                    <w:bidi w:val="0"/>
                    <w:rPr>
                      <w:rFonts w:hint="default" w:ascii="Times New Roman" w:hAnsi="Times New Roman" w:cs="Times New Roman"/>
                      <w:color w:val="auto"/>
                    </w:rPr>
                  </w:pPr>
                  <w:r>
                    <w:rPr>
                      <w:rFonts w:hint="default" w:ascii="Times New Roman" w:hAnsi="Times New Roman" w:cs="Times New Roman"/>
                      <w:color w:val="auto"/>
                    </w:rPr>
                    <w:t>声源名称</w:t>
                  </w:r>
                </w:p>
              </w:tc>
              <w:tc>
                <w:tcPr>
                  <w:tcW w:w="0" w:type="auto"/>
                  <w:vMerge w:val="restart"/>
                  <w:tcBorders>
                    <w:tl2br w:val="nil"/>
                    <w:tr2bl w:val="nil"/>
                  </w:tcBorders>
                  <w:vAlign w:val="center"/>
                </w:tcPr>
                <w:p w14:paraId="23947472">
                  <w:pPr>
                    <w:pStyle w:val="3"/>
                    <w:bidi w:val="0"/>
                    <w:rPr>
                      <w:rFonts w:hint="default" w:ascii="Times New Roman" w:hAnsi="Times New Roman" w:cs="Times New Roman"/>
                      <w:color w:val="auto"/>
                    </w:rPr>
                  </w:pPr>
                  <w:r>
                    <w:rPr>
                      <w:rFonts w:hint="default" w:ascii="Times New Roman" w:hAnsi="Times New Roman" w:cs="Times New Roman"/>
                      <w:color w:val="auto"/>
                    </w:rPr>
                    <w:t>型号</w:t>
                  </w:r>
                </w:p>
              </w:tc>
              <w:tc>
                <w:tcPr>
                  <w:tcW w:w="0" w:type="auto"/>
                  <w:vMerge w:val="restart"/>
                  <w:tcBorders>
                    <w:tl2br w:val="nil"/>
                    <w:tr2bl w:val="nil"/>
                  </w:tcBorders>
                  <w:vAlign w:val="center"/>
                </w:tcPr>
                <w:p w14:paraId="7F3BC553">
                  <w:pPr>
                    <w:pStyle w:val="3"/>
                    <w:bidi w:val="0"/>
                    <w:rPr>
                      <w:rFonts w:hint="default" w:ascii="Times New Roman" w:hAnsi="Times New Roman" w:cs="Times New Roman"/>
                      <w:color w:val="auto"/>
                    </w:rPr>
                  </w:pPr>
                  <w:r>
                    <w:rPr>
                      <w:rFonts w:hint="default" w:ascii="Times New Roman" w:hAnsi="Times New Roman" w:cs="Times New Roman"/>
                      <w:color w:val="auto"/>
                    </w:rPr>
                    <w:t>声压级/距声源距离（dB(A)/m）</w:t>
                  </w:r>
                </w:p>
              </w:tc>
              <w:tc>
                <w:tcPr>
                  <w:tcW w:w="0" w:type="auto"/>
                  <w:vMerge w:val="restart"/>
                  <w:tcBorders>
                    <w:tl2br w:val="nil"/>
                    <w:tr2bl w:val="nil"/>
                  </w:tcBorders>
                  <w:vAlign w:val="center"/>
                </w:tcPr>
                <w:p w14:paraId="53FB3DB9">
                  <w:pPr>
                    <w:pStyle w:val="3"/>
                    <w:bidi w:val="0"/>
                    <w:rPr>
                      <w:rFonts w:hint="default" w:ascii="Times New Roman" w:hAnsi="Times New Roman" w:cs="Times New Roman"/>
                      <w:color w:val="auto"/>
                    </w:rPr>
                  </w:pPr>
                  <w:r>
                    <w:rPr>
                      <w:rFonts w:hint="default" w:ascii="Times New Roman" w:hAnsi="Times New Roman" w:cs="Times New Roman"/>
                      <w:color w:val="auto"/>
                    </w:rPr>
                    <w:t>声源控制措施</w:t>
                  </w:r>
                </w:p>
              </w:tc>
              <w:tc>
                <w:tcPr>
                  <w:tcW w:w="0" w:type="auto"/>
                  <w:gridSpan w:val="3"/>
                  <w:tcBorders>
                    <w:tl2br w:val="nil"/>
                    <w:tr2bl w:val="nil"/>
                  </w:tcBorders>
                  <w:vAlign w:val="center"/>
                </w:tcPr>
                <w:p w14:paraId="4520779E">
                  <w:pPr>
                    <w:pStyle w:val="3"/>
                    <w:bidi w:val="0"/>
                    <w:rPr>
                      <w:rFonts w:hint="default" w:ascii="Times New Roman" w:hAnsi="Times New Roman" w:cs="Times New Roman"/>
                      <w:color w:val="auto"/>
                    </w:rPr>
                  </w:pPr>
                  <w:r>
                    <w:rPr>
                      <w:rFonts w:hint="default" w:ascii="Times New Roman" w:hAnsi="Times New Roman" w:cs="Times New Roman"/>
                      <w:color w:val="auto"/>
                    </w:rPr>
                    <w:t>空间相对位置/m</w:t>
                  </w:r>
                </w:p>
              </w:tc>
              <w:tc>
                <w:tcPr>
                  <w:tcW w:w="0" w:type="auto"/>
                  <w:vMerge w:val="restart"/>
                  <w:tcBorders>
                    <w:tl2br w:val="nil"/>
                    <w:tr2bl w:val="nil"/>
                  </w:tcBorders>
                  <w:vAlign w:val="center"/>
                </w:tcPr>
                <w:p w14:paraId="5321ADA4">
                  <w:pPr>
                    <w:pStyle w:val="3"/>
                    <w:bidi w:val="0"/>
                    <w:rPr>
                      <w:rFonts w:hint="default" w:ascii="Times New Roman" w:hAnsi="Times New Roman" w:cs="Times New Roman"/>
                      <w:color w:val="auto"/>
                    </w:rPr>
                  </w:pPr>
                  <w:r>
                    <w:rPr>
                      <w:rFonts w:hint="default" w:ascii="Times New Roman" w:hAnsi="Times New Roman" w:cs="Times New Roman"/>
                      <w:color w:val="auto"/>
                    </w:rPr>
                    <w:t>距室内边界距离/m</w:t>
                  </w:r>
                </w:p>
              </w:tc>
              <w:tc>
                <w:tcPr>
                  <w:tcW w:w="0" w:type="auto"/>
                  <w:vMerge w:val="restart"/>
                  <w:tcBorders>
                    <w:tl2br w:val="nil"/>
                    <w:tr2bl w:val="nil"/>
                  </w:tcBorders>
                  <w:vAlign w:val="center"/>
                </w:tcPr>
                <w:p w14:paraId="77BC9C65">
                  <w:pPr>
                    <w:pStyle w:val="3"/>
                    <w:bidi w:val="0"/>
                    <w:rPr>
                      <w:rFonts w:hint="default" w:ascii="Times New Roman" w:hAnsi="Times New Roman" w:cs="Times New Roman"/>
                      <w:color w:val="auto"/>
                    </w:rPr>
                  </w:pPr>
                  <w:r>
                    <w:rPr>
                      <w:rFonts w:hint="default" w:ascii="Times New Roman" w:hAnsi="Times New Roman" w:cs="Times New Roman"/>
                      <w:color w:val="auto"/>
                    </w:rPr>
                    <w:t>室内边界声级/dB(A)</w:t>
                  </w:r>
                </w:p>
              </w:tc>
              <w:tc>
                <w:tcPr>
                  <w:tcW w:w="0" w:type="auto"/>
                  <w:vMerge w:val="restart"/>
                  <w:tcBorders>
                    <w:tl2br w:val="nil"/>
                    <w:tr2bl w:val="nil"/>
                  </w:tcBorders>
                  <w:vAlign w:val="center"/>
                </w:tcPr>
                <w:p w14:paraId="5AFF61B8">
                  <w:pPr>
                    <w:pStyle w:val="3"/>
                    <w:bidi w:val="0"/>
                    <w:rPr>
                      <w:rFonts w:hint="default" w:ascii="Times New Roman" w:hAnsi="Times New Roman" w:cs="Times New Roman"/>
                      <w:color w:val="auto"/>
                    </w:rPr>
                  </w:pPr>
                  <w:r>
                    <w:rPr>
                      <w:rFonts w:hint="default" w:ascii="Times New Roman" w:hAnsi="Times New Roman" w:cs="Times New Roman"/>
                      <w:color w:val="auto"/>
                    </w:rPr>
                    <w:t>运行</w:t>
                  </w:r>
                </w:p>
                <w:p w14:paraId="007557BD">
                  <w:pPr>
                    <w:pStyle w:val="3"/>
                    <w:bidi w:val="0"/>
                    <w:rPr>
                      <w:rFonts w:hint="default" w:ascii="Times New Roman" w:hAnsi="Times New Roman" w:cs="Times New Roman"/>
                      <w:color w:val="auto"/>
                    </w:rPr>
                  </w:pPr>
                  <w:r>
                    <w:rPr>
                      <w:rFonts w:hint="default" w:ascii="Times New Roman" w:hAnsi="Times New Roman" w:cs="Times New Roman"/>
                      <w:color w:val="auto"/>
                    </w:rPr>
                    <w:t>时段</w:t>
                  </w:r>
                </w:p>
              </w:tc>
              <w:tc>
                <w:tcPr>
                  <w:tcW w:w="0" w:type="auto"/>
                  <w:vMerge w:val="restart"/>
                  <w:tcBorders>
                    <w:tl2br w:val="nil"/>
                    <w:tr2bl w:val="nil"/>
                  </w:tcBorders>
                  <w:vAlign w:val="center"/>
                </w:tcPr>
                <w:p w14:paraId="62FCE831">
                  <w:pPr>
                    <w:pStyle w:val="3"/>
                    <w:bidi w:val="0"/>
                    <w:rPr>
                      <w:rFonts w:hint="default" w:ascii="Times New Roman" w:hAnsi="Times New Roman" w:cs="Times New Roman"/>
                      <w:color w:val="auto"/>
                    </w:rPr>
                  </w:pPr>
                  <w:r>
                    <w:rPr>
                      <w:rFonts w:hint="default" w:ascii="Times New Roman" w:hAnsi="Times New Roman" w:cs="Times New Roman"/>
                      <w:color w:val="auto"/>
                    </w:rPr>
                    <w:t>建筑物插入损失/dB(A)</w:t>
                  </w:r>
                </w:p>
              </w:tc>
              <w:tc>
                <w:tcPr>
                  <w:tcW w:w="0" w:type="auto"/>
                  <w:tcBorders>
                    <w:tl2br w:val="nil"/>
                    <w:tr2bl w:val="nil"/>
                  </w:tcBorders>
                  <w:vAlign w:val="center"/>
                </w:tcPr>
                <w:p w14:paraId="1287A8B0">
                  <w:pPr>
                    <w:pStyle w:val="3"/>
                    <w:bidi w:val="0"/>
                    <w:rPr>
                      <w:rFonts w:hint="default" w:ascii="Times New Roman" w:hAnsi="Times New Roman" w:cs="Times New Roman"/>
                      <w:color w:val="auto"/>
                    </w:rPr>
                  </w:pPr>
                  <w:r>
                    <w:rPr>
                      <w:rFonts w:hint="default" w:ascii="Times New Roman" w:hAnsi="Times New Roman" w:cs="Times New Roman"/>
                      <w:color w:val="auto"/>
                    </w:rPr>
                    <w:t>建筑物外噪声</w:t>
                  </w:r>
                </w:p>
              </w:tc>
            </w:tr>
            <w:tr w14:paraId="11A475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vAlign w:val="center"/>
                </w:tcPr>
                <w:p w14:paraId="5062E9D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D87D3C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D02FF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9F8AFE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D703E0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B953A00">
                  <w:pPr>
                    <w:pStyle w:val="3"/>
                    <w:bidi w:val="0"/>
                    <w:rPr>
                      <w:rFonts w:hint="default" w:ascii="Times New Roman" w:hAnsi="Times New Roman" w:cs="Times New Roman"/>
                      <w:color w:val="auto"/>
                    </w:rPr>
                  </w:pPr>
                </w:p>
              </w:tc>
              <w:tc>
                <w:tcPr>
                  <w:tcW w:w="0" w:type="auto"/>
                  <w:tcBorders>
                    <w:tl2br w:val="nil"/>
                    <w:tr2bl w:val="nil"/>
                  </w:tcBorders>
                  <w:vAlign w:val="center"/>
                </w:tcPr>
                <w:p w14:paraId="298B2657">
                  <w:pPr>
                    <w:pStyle w:val="3"/>
                    <w:bidi w:val="0"/>
                    <w:rPr>
                      <w:rFonts w:hint="default" w:ascii="Times New Roman" w:hAnsi="Times New Roman" w:cs="Times New Roman"/>
                      <w:color w:val="auto"/>
                    </w:rPr>
                  </w:pPr>
                  <w:r>
                    <w:rPr>
                      <w:rFonts w:hint="default" w:ascii="Times New Roman" w:hAnsi="Times New Roman" w:cs="Times New Roman"/>
                      <w:color w:val="auto"/>
                    </w:rPr>
                    <w:t>X</w:t>
                  </w:r>
                </w:p>
              </w:tc>
              <w:tc>
                <w:tcPr>
                  <w:tcW w:w="0" w:type="auto"/>
                  <w:tcBorders>
                    <w:tl2br w:val="nil"/>
                    <w:tr2bl w:val="nil"/>
                  </w:tcBorders>
                  <w:vAlign w:val="center"/>
                </w:tcPr>
                <w:p w14:paraId="2E46C18C">
                  <w:pPr>
                    <w:pStyle w:val="3"/>
                    <w:bidi w:val="0"/>
                    <w:rPr>
                      <w:rFonts w:hint="default" w:ascii="Times New Roman" w:hAnsi="Times New Roman" w:cs="Times New Roman"/>
                      <w:color w:val="auto"/>
                    </w:rPr>
                  </w:pPr>
                  <w:r>
                    <w:rPr>
                      <w:rFonts w:hint="default" w:ascii="Times New Roman" w:hAnsi="Times New Roman" w:cs="Times New Roman"/>
                      <w:color w:val="auto"/>
                    </w:rPr>
                    <w:t>Y</w:t>
                  </w:r>
                </w:p>
              </w:tc>
              <w:tc>
                <w:tcPr>
                  <w:tcW w:w="0" w:type="auto"/>
                  <w:tcBorders>
                    <w:tl2br w:val="nil"/>
                    <w:tr2bl w:val="nil"/>
                  </w:tcBorders>
                  <w:vAlign w:val="center"/>
                </w:tcPr>
                <w:p w14:paraId="02030007">
                  <w:pPr>
                    <w:pStyle w:val="3"/>
                    <w:bidi w:val="0"/>
                    <w:rPr>
                      <w:rFonts w:hint="default" w:ascii="Times New Roman" w:hAnsi="Times New Roman" w:cs="Times New Roman"/>
                      <w:color w:val="auto"/>
                    </w:rPr>
                  </w:pPr>
                  <w:r>
                    <w:rPr>
                      <w:rFonts w:hint="default" w:ascii="Times New Roman" w:hAnsi="Times New Roman" w:cs="Times New Roman"/>
                      <w:color w:val="auto"/>
                    </w:rPr>
                    <w:t>Z</w:t>
                  </w:r>
                </w:p>
              </w:tc>
              <w:tc>
                <w:tcPr>
                  <w:tcW w:w="0" w:type="auto"/>
                  <w:vMerge w:val="continue"/>
                  <w:tcBorders>
                    <w:tl2br w:val="nil"/>
                    <w:tr2bl w:val="nil"/>
                  </w:tcBorders>
                  <w:vAlign w:val="center"/>
                </w:tcPr>
                <w:p w14:paraId="320F4DE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4E7166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ED28AB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0D7913F">
                  <w:pPr>
                    <w:pStyle w:val="3"/>
                    <w:bidi w:val="0"/>
                    <w:rPr>
                      <w:rFonts w:hint="default" w:ascii="Times New Roman" w:hAnsi="Times New Roman" w:cs="Times New Roman"/>
                      <w:color w:val="auto"/>
                    </w:rPr>
                  </w:pPr>
                </w:p>
              </w:tc>
              <w:tc>
                <w:tcPr>
                  <w:tcW w:w="0" w:type="auto"/>
                  <w:tcBorders>
                    <w:tl2br w:val="nil"/>
                    <w:tr2bl w:val="nil"/>
                  </w:tcBorders>
                  <w:vAlign w:val="center"/>
                </w:tcPr>
                <w:p w14:paraId="56150793">
                  <w:pPr>
                    <w:pStyle w:val="3"/>
                    <w:bidi w:val="0"/>
                    <w:rPr>
                      <w:rFonts w:hint="default" w:ascii="Times New Roman" w:hAnsi="Times New Roman" w:cs="Times New Roman"/>
                      <w:color w:val="auto"/>
                    </w:rPr>
                  </w:pPr>
                  <w:r>
                    <w:rPr>
                      <w:rFonts w:hint="default" w:ascii="Times New Roman" w:hAnsi="Times New Roman" w:cs="Times New Roman"/>
                      <w:color w:val="auto"/>
                    </w:rPr>
                    <w:t>声压级/dB(A)</w:t>
                  </w:r>
                </w:p>
              </w:tc>
            </w:tr>
            <w:tr w14:paraId="7E319E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0" w:type="auto"/>
                  <w:vMerge w:val="restart"/>
                  <w:tcBorders>
                    <w:tl2br w:val="nil"/>
                    <w:tr2bl w:val="nil"/>
                  </w:tcBorders>
                  <w:vAlign w:val="center"/>
                </w:tcPr>
                <w:p w14:paraId="5B0C14EB">
                  <w:pPr>
                    <w:pStyle w:val="3"/>
                    <w:bidi w:val="0"/>
                    <w:rPr>
                      <w:rFonts w:hint="default" w:ascii="Times New Roman" w:hAnsi="Times New Roman" w:cs="Times New Roman"/>
                      <w:color w:val="auto"/>
                    </w:rPr>
                  </w:pPr>
                  <w:r>
                    <w:rPr>
                      <w:rFonts w:hint="default" w:ascii="Times New Roman" w:hAnsi="Times New Roman" w:cs="Times New Roman"/>
                      <w:color w:val="auto"/>
                    </w:rPr>
                    <w:t>1</w:t>
                  </w:r>
                </w:p>
              </w:tc>
              <w:tc>
                <w:tcPr>
                  <w:tcW w:w="0" w:type="auto"/>
                  <w:vMerge w:val="restart"/>
                  <w:tcBorders>
                    <w:tl2br w:val="nil"/>
                    <w:tr2bl w:val="nil"/>
                  </w:tcBorders>
                  <w:vAlign w:val="center"/>
                </w:tcPr>
                <w:p w14:paraId="6DC11870">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豆粕打包车间</w:t>
                  </w:r>
                </w:p>
              </w:tc>
              <w:tc>
                <w:tcPr>
                  <w:tcW w:w="0" w:type="auto"/>
                  <w:vMerge w:val="restart"/>
                  <w:tcBorders>
                    <w:tl2br w:val="nil"/>
                    <w:tr2bl w:val="nil"/>
                  </w:tcBorders>
                  <w:vAlign w:val="center"/>
                </w:tcPr>
                <w:p w14:paraId="2FBE779D">
                  <w:pPr>
                    <w:pStyle w:val="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输送刮板</w:t>
                  </w:r>
                </w:p>
              </w:tc>
              <w:tc>
                <w:tcPr>
                  <w:tcW w:w="0" w:type="auto"/>
                  <w:vMerge w:val="restart"/>
                  <w:tcBorders>
                    <w:tl2br w:val="nil"/>
                    <w:tr2bl w:val="nil"/>
                  </w:tcBorders>
                  <w:vAlign w:val="center"/>
                </w:tcPr>
                <w:p w14:paraId="56F08869">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0" w:type="auto"/>
                  <w:vMerge w:val="restart"/>
                  <w:tcBorders>
                    <w:tl2br w:val="nil"/>
                    <w:tr2bl w:val="nil"/>
                  </w:tcBorders>
                  <w:vAlign w:val="center"/>
                </w:tcPr>
                <w:p w14:paraId="2B32C4F8">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75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restart"/>
                  <w:tcBorders>
                    <w:tl2br w:val="nil"/>
                    <w:tr2bl w:val="nil"/>
                  </w:tcBorders>
                  <w:vAlign w:val="center"/>
                </w:tcPr>
                <w:p w14:paraId="361C88F5">
                  <w:pPr>
                    <w:pStyle w:val="3"/>
                    <w:bidi w:val="0"/>
                    <w:rPr>
                      <w:rFonts w:hint="default" w:ascii="Times New Roman" w:hAnsi="Times New Roman" w:cs="Times New Roman"/>
                      <w:color w:val="auto"/>
                    </w:rPr>
                  </w:pPr>
                  <w:r>
                    <w:rPr>
                      <w:rFonts w:hint="default" w:ascii="Times New Roman" w:hAnsi="Times New Roman" w:cs="Times New Roman"/>
                      <w:color w:val="auto"/>
                    </w:rPr>
                    <w:t>建筑隔声</w:t>
                  </w:r>
                </w:p>
              </w:tc>
              <w:tc>
                <w:tcPr>
                  <w:tcW w:w="0" w:type="auto"/>
                  <w:vMerge w:val="restart"/>
                  <w:tcBorders>
                    <w:tl2br w:val="nil"/>
                    <w:tr2bl w:val="nil"/>
                  </w:tcBorders>
                  <w:vAlign w:val="center"/>
                </w:tcPr>
                <w:p w14:paraId="196E55A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40</w:t>
                  </w:r>
                </w:p>
              </w:tc>
              <w:tc>
                <w:tcPr>
                  <w:tcW w:w="0" w:type="auto"/>
                  <w:vMerge w:val="restart"/>
                  <w:tcBorders>
                    <w:tl2br w:val="nil"/>
                    <w:tr2bl w:val="nil"/>
                  </w:tcBorders>
                  <w:vAlign w:val="center"/>
                </w:tcPr>
                <w:p w14:paraId="6456093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0" w:type="auto"/>
                  <w:vMerge w:val="restart"/>
                  <w:tcBorders>
                    <w:tl2br w:val="nil"/>
                    <w:tr2bl w:val="nil"/>
                  </w:tcBorders>
                  <w:vAlign w:val="center"/>
                </w:tcPr>
                <w:p w14:paraId="735DF8B4">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5</w:t>
                  </w:r>
                </w:p>
              </w:tc>
              <w:tc>
                <w:tcPr>
                  <w:tcW w:w="0" w:type="auto"/>
                  <w:tcBorders>
                    <w:tl2br w:val="nil"/>
                    <w:tr2bl w:val="nil"/>
                  </w:tcBorders>
                  <w:vAlign w:val="center"/>
                </w:tcPr>
                <w:p w14:paraId="29BB5DBC">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94</w:t>
                  </w:r>
                  <w:r>
                    <w:rPr>
                      <w:rFonts w:hint="default" w:ascii="Times New Roman" w:hAnsi="Times New Roman" w:cs="Times New Roman"/>
                      <w:color w:val="auto"/>
                    </w:rPr>
                    <w:t>（东）</w:t>
                  </w:r>
                </w:p>
              </w:tc>
              <w:tc>
                <w:tcPr>
                  <w:tcW w:w="1255" w:type="dxa"/>
                  <w:tcBorders>
                    <w:tl2br w:val="nil"/>
                    <w:tr2bl w:val="nil"/>
                  </w:tcBorders>
                  <w:vAlign w:val="bottom"/>
                </w:tcPr>
                <w:p w14:paraId="61C2646F">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35.54 </w:t>
                  </w:r>
                </w:p>
              </w:tc>
              <w:tc>
                <w:tcPr>
                  <w:tcW w:w="0" w:type="auto"/>
                  <w:vMerge w:val="restart"/>
                  <w:tcBorders>
                    <w:tl2br w:val="nil"/>
                    <w:tr2bl w:val="nil"/>
                  </w:tcBorders>
                  <w:vAlign w:val="center"/>
                </w:tcPr>
                <w:p w14:paraId="37685252">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5D82B939">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7AA3986D">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20.54 </w:t>
                  </w:r>
                </w:p>
              </w:tc>
            </w:tr>
            <w:tr w14:paraId="4CED29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A29027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02A50C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E69C73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4004A4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CF2B82">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5C8517D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F137EB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AD0526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B704AF9">
                  <w:pPr>
                    <w:pStyle w:val="3"/>
                    <w:bidi w:val="0"/>
                    <w:rPr>
                      <w:rFonts w:hint="default" w:ascii="Times New Roman" w:hAnsi="Times New Roman" w:cs="Times New Roman"/>
                      <w:color w:val="auto"/>
                    </w:rPr>
                  </w:pPr>
                </w:p>
              </w:tc>
              <w:tc>
                <w:tcPr>
                  <w:tcW w:w="0" w:type="auto"/>
                  <w:tcBorders>
                    <w:tl2br w:val="nil"/>
                    <w:tr2bl w:val="nil"/>
                  </w:tcBorders>
                  <w:vAlign w:val="center"/>
                </w:tcPr>
                <w:p w14:paraId="0F3AC6E5">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14</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7DDD22DF">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52.08 </w:t>
                  </w:r>
                </w:p>
              </w:tc>
              <w:tc>
                <w:tcPr>
                  <w:tcW w:w="0" w:type="auto"/>
                  <w:vMerge w:val="continue"/>
                  <w:tcBorders>
                    <w:tl2br w:val="nil"/>
                    <w:tr2bl w:val="nil"/>
                  </w:tcBorders>
                  <w:vAlign w:val="center"/>
                </w:tcPr>
                <w:p w14:paraId="0D6C887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C6D53C5">
                  <w:pPr>
                    <w:pStyle w:val="3"/>
                    <w:bidi w:val="0"/>
                    <w:rPr>
                      <w:rFonts w:hint="default" w:ascii="Times New Roman" w:hAnsi="Times New Roman" w:cs="Times New Roman"/>
                      <w:color w:val="auto"/>
                    </w:rPr>
                  </w:pPr>
                </w:p>
              </w:tc>
              <w:tc>
                <w:tcPr>
                  <w:tcW w:w="1045" w:type="dxa"/>
                  <w:tcBorders>
                    <w:tl2br w:val="nil"/>
                    <w:tr2bl w:val="nil"/>
                  </w:tcBorders>
                  <w:vAlign w:val="center"/>
                </w:tcPr>
                <w:p w14:paraId="7B2A605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37.08 </w:t>
                  </w:r>
                </w:p>
              </w:tc>
            </w:tr>
            <w:tr w14:paraId="46E97E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639B29A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C93A20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7BC737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26830A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1D625A1">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534FB6C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AEA2C3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48476C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836D57D">
                  <w:pPr>
                    <w:pStyle w:val="3"/>
                    <w:bidi w:val="0"/>
                    <w:rPr>
                      <w:rFonts w:hint="default" w:ascii="Times New Roman" w:hAnsi="Times New Roman" w:cs="Times New Roman"/>
                      <w:color w:val="auto"/>
                    </w:rPr>
                  </w:pPr>
                </w:p>
              </w:tc>
              <w:tc>
                <w:tcPr>
                  <w:tcW w:w="0" w:type="auto"/>
                  <w:tcBorders>
                    <w:tl2br w:val="nil"/>
                    <w:tr2bl w:val="nil"/>
                  </w:tcBorders>
                  <w:vAlign w:val="center"/>
                </w:tcPr>
                <w:p w14:paraId="18B54812">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28</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7DCC43D0">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46.06 </w:t>
                  </w:r>
                </w:p>
              </w:tc>
              <w:tc>
                <w:tcPr>
                  <w:tcW w:w="0" w:type="auto"/>
                  <w:vMerge w:val="continue"/>
                  <w:tcBorders>
                    <w:tl2br w:val="nil"/>
                    <w:tr2bl w:val="nil"/>
                  </w:tcBorders>
                  <w:vAlign w:val="center"/>
                </w:tcPr>
                <w:p w14:paraId="742E459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6A1E356">
                  <w:pPr>
                    <w:pStyle w:val="3"/>
                    <w:bidi w:val="0"/>
                    <w:rPr>
                      <w:rFonts w:hint="default" w:ascii="Times New Roman" w:hAnsi="Times New Roman" w:cs="Times New Roman"/>
                      <w:color w:val="auto"/>
                    </w:rPr>
                  </w:pPr>
                </w:p>
              </w:tc>
              <w:tc>
                <w:tcPr>
                  <w:tcW w:w="1045" w:type="dxa"/>
                  <w:tcBorders>
                    <w:tl2br w:val="nil"/>
                    <w:tr2bl w:val="nil"/>
                  </w:tcBorders>
                  <w:vAlign w:val="center"/>
                </w:tcPr>
                <w:p w14:paraId="291D2917">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31.06 </w:t>
                  </w:r>
                </w:p>
              </w:tc>
            </w:tr>
            <w:tr w14:paraId="77D076D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039FB11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968866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C7A547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EFE363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165BFC0">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44CC22E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026FA9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48E2F1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1D2D70C">
                  <w:pPr>
                    <w:pStyle w:val="3"/>
                    <w:bidi w:val="0"/>
                    <w:rPr>
                      <w:rFonts w:hint="default" w:ascii="Times New Roman" w:hAnsi="Times New Roman" w:cs="Times New Roman"/>
                      <w:color w:val="auto"/>
                    </w:rPr>
                  </w:pPr>
                </w:p>
              </w:tc>
              <w:tc>
                <w:tcPr>
                  <w:tcW w:w="0" w:type="auto"/>
                  <w:tcBorders>
                    <w:tl2br w:val="nil"/>
                    <w:tr2bl w:val="nil"/>
                  </w:tcBorders>
                  <w:vAlign w:val="center"/>
                </w:tcPr>
                <w:p w14:paraId="7C201EFD">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22</w:t>
                  </w:r>
                  <w:r>
                    <w:rPr>
                      <w:rFonts w:hint="default" w:ascii="Times New Roman" w:hAnsi="Times New Roman" w:cs="Times New Roman"/>
                      <w:color w:val="auto"/>
                    </w:rPr>
                    <w:t>（北）</w:t>
                  </w:r>
                </w:p>
              </w:tc>
              <w:tc>
                <w:tcPr>
                  <w:tcW w:w="1255" w:type="dxa"/>
                  <w:tcBorders>
                    <w:tl2br w:val="nil"/>
                    <w:tr2bl w:val="nil"/>
                  </w:tcBorders>
                  <w:vAlign w:val="bottom"/>
                </w:tcPr>
                <w:p w14:paraId="0BE63208">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48.15 </w:t>
                  </w:r>
                </w:p>
              </w:tc>
              <w:tc>
                <w:tcPr>
                  <w:tcW w:w="0" w:type="auto"/>
                  <w:vMerge w:val="continue"/>
                  <w:tcBorders>
                    <w:tl2br w:val="nil"/>
                    <w:tr2bl w:val="nil"/>
                  </w:tcBorders>
                  <w:vAlign w:val="center"/>
                </w:tcPr>
                <w:p w14:paraId="3662F2F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1FF0DA">
                  <w:pPr>
                    <w:pStyle w:val="3"/>
                    <w:bidi w:val="0"/>
                    <w:rPr>
                      <w:rFonts w:hint="default" w:ascii="Times New Roman" w:hAnsi="Times New Roman" w:cs="Times New Roman"/>
                      <w:color w:val="auto"/>
                    </w:rPr>
                  </w:pPr>
                </w:p>
              </w:tc>
              <w:tc>
                <w:tcPr>
                  <w:tcW w:w="1045" w:type="dxa"/>
                  <w:tcBorders>
                    <w:tl2br w:val="nil"/>
                    <w:tr2bl w:val="nil"/>
                  </w:tcBorders>
                  <w:vAlign w:val="center"/>
                </w:tcPr>
                <w:p w14:paraId="112263C8">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33.15 </w:t>
                  </w:r>
                </w:p>
              </w:tc>
            </w:tr>
            <w:tr w14:paraId="593582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0" w:type="auto"/>
                  <w:vMerge w:val="restart"/>
                  <w:tcBorders>
                    <w:tl2br w:val="nil"/>
                    <w:tr2bl w:val="nil"/>
                  </w:tcBorders>
                  <w:vAlign w:val="center"/>
                </w:tcPr>
                <w:p w14:paraId="707F35E0">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c>
                <w:tcPr>
                  <w:tcW w:w="0" w:type="auto"/>
                  <w:vMerge w:val="continue"/>
                  <w:tcBorders>
                    <w:tl2br w:val="nil"/>
                    <w:tr2bl w:val="nil"/>
                  </w:tcBorders>
                  <w:vAlign w:val="center"/>
                </w:tcPr>
                <w:p w14:paraId="6CEDECB3">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F57F34A">
                  <w:pPr>
                    <w:pStyle w:val="3"/>
                    <w:bidi w:val="0"/>
                    <w:rPr>
                      <w:rFonts w:hint="default" w:ascii="Times New Roman" w:hAnsi="Times New Roman" w:cs="Times New Roman"/>
                      <w:color w:val="auto"/>
                    </w:rPr>
                  </w:pPr>
                  <w:r>
                    <w:rPr>
                      <w:rFonts w:hint="default" w:ascii="Times New Roman" w:hAnsi="Times New Roman" w:cs="Times New Roman"/>
                      <w:color w:val="auto"/>
                    </w:rPr>
                    <w:t>叶轮喂料器</w:t>
                  </w:r>
                </w:p>
              </w:tc>
              <w:tc>
                <w:tcPr>
                  <w:tcW w:w="0" w:type="auto"/>
                  <w:vMerge w:val="restart"/>
                  <w:tcBorders>
                    <w:tl2br w:val="nil"/>
                    <w:tr2bl w:val="nil"/>
                  </w:tcBorders>
                  <w:vAlign w:val="center"/>
                </w:tcPr>
                <w:p w14:paraId="13DFC45C">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0" w:type="auto"/>
                  <w:vMerge w:val="restart"/>
                  <w:tcBorders>
                    <w:tl2br w:val="nil"/>
                    <w:tr2bl w:val="nil"/>
                  </w:tcBorders>
                  <w:vAlign w:val="center"/>
                </w:tcPr>
                <w:p w14:paraId="1A684A7A">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70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continue"/>
                  <w:tcBorders>
                    <w:tl2br w:val="nil"/>
                    <w:tr2bl w:val="nil"/>
                  </w:tcBorders>
                  <w:vAlign w:val="center"/>
                </w:tcPr>
                <w:p w14:paraId="7C7EFB1A">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6589C2EF">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35</w:t>
                  </w:r>
                </w:p>
              </w:tc>
              <w:tc>
                <w:tcPr>
                  <w:tcW w:w="0" w:type="auto"/>
                  <w:vMerge w:val="restart"/>
                  <w:tcBorders>
                    <w:tl2br w:val="nil"/>
                    <w:tr2bl w:val="nil"/>
                  </w:tcBorders>
                  <w:vAlign w:val="center"/>
                </w:tcPr>
                <w:p w14:paraId="30708B3A">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2971CC4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w:t>
                  </w:r>
                </w:p>
              </w:tc>
              <w:tc>
                <w:tcPr>
                  <w:tcW w:w="0" w:type="auto"/>
                  <w:tcBorders>
                    <w:tl2br w:val="nil"/>
                    <w:tr2bl w:val="nil"/>
                  </w:tcBorders>
                  <w:vAlign w:val="center"/>
                </w:tcPr>
                <w:p w14:paraId="723ECB1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89</w:t>
                  </w:r>
                  <w:r>
                    <w:rPr>
                      <w:rFonts w:hint="default" w:ascii="Times New Roman" w:hAnsi="Times New Roman" w:cs="Times New Roman"/>
                      <w:color w:val="auto"/>
                    </w:rPr>
                    <w:t>（东）</w:t>
                  </w:r>
                </w:p>
              </w:tc>
              <w:tc>
                <w:tcPr>
                  <w:tcW w:w="1255" w:type="dxa"/>
                  <w:tcBorders>
                    <w:tl2br w:val="nil"/>
                    <w:tr2bl w:val="nil"/>
                  </w:tcBorders>
                  <w:vAlign w:val="bottom"/>
                </w:tcPr>
                <w:p w14:paraId="24D35D40">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31.01 </w:t>
                  </w:r>
                </w:p>
              </w:tc>
              <w:tc>
                <w:tcPr>
                  <w:tcW w:w="0" w:type="auto"/>
                  <w:vMerge w:val="restart"/>
                  <w:tcBorders>
                    <w:tl2br w:val="nil"/>
                    <w:tr2bl w:val="nil"/>
                  </w:tcBorders>
                  <w:vAlign w:val="center"/>
                </w:tcPr>
                <w:p w14:paraId="2CC02DF4">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4376714D">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7E163A00">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16.01 </w:t>
                  </w:r>
                </w:p>
              </w:tc>
            </w:tr>
            <w:tr w14:paraId="2216D6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vAlign w:val="center"/>
                </w:tcPr>
                <w:p w14:paraId="55FED53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F03BCD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C27281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35EA20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EEA2FC2">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1059B27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89BC62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09951E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0C2DD8">
                  <w:pPr>
                    <w:pStyle w:val="3"/>
                    <w:bidi w:val="0"/>
                    <w:rPr>
                      <w:rFonts w:hint="default" w:ascii="Times New Roman" w:hAnsi="Times New Roman" w:cs="Times New Roman"/>
                      <w:color w:val="auto"/>
                    </w:rPr>
                  </w:pPr>
                </w:p>
              </w:tc>
              <w:tc>
                <w:tcPr>
                  <w:tcW w:w="0" w:type="auto"/>
                  <w:tcBorders>
                    <w:tl2br w:val="nil"/>
                    <w:tr2bl w:val="nil"/>
                  </w:tcBorders>
                  <w:vAlign w:val="center"/>
                </w:tcPr>
                <w:p w14:paraId="33270FE8">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41673ABC">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44.42 </w:t>
                  </w:r>
                </w:p>
              </w:tc>
              <w:tc>
                <w:tcPr>
                  <w:tcW w:w="0" w:type="auto"/>
                  <w:vMerge w:val="continue"/>
                  <w:tcBorders>
                    <w:tl2br w:val="nil"/>
                    <w:tr2bl w:val="nil"/>
                  </w:tcBorders>
                  <w:vAlign w:val="center"/>
                </w:tcPr>
                <w:p w14:paraId="532712B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6FF52B1">
                  <w:pPr>
                    <w:pStyle w:val="3"/>
                    <w:bidi w:val="0"/>
                    <w:rPr>
                      <w:rFonts w:hint="default" w:ascii="Times New Roman" w:hAnsi="Times New Roman" w:cs="Times New Roman"/>
                      <w:color w:val="auto"/>
                    </w:rPr>
                  </w:pPr>
                </w:p>
              </w:tc>
              <w:tc>
                <w:tcPr>
                  <w:tcW w:w="1045" w:type="dxa"/>
                  <w:tcBorders>
                    <w:tl2br w:val="nil"/>
                    <w:tr2bl w:val="nil"/>
                  </w:tcBorders>
                  <w:vAlign w:val="center"/>
                </w:tcPr>
                <w:p w14:paraId="31D23535">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29.42 </w:t>
                  </w:r>
                </w:p>
              </w:tc>
            </w:tr>
            <w:tr w14:paraId="17DD301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vAlign w:val="center"/>
                </w:tcPr>
                <w:p w14:paraId="3621D85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C0EFC0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049779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9A7C70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F5CB7CA">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44476D0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101A12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FFE7EF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F50E6E4">
                  <w:pPr>
                    <w:pStyle w:val="3"/>
                    <w:bidi w:val="0"/>
                    <w:rPr>
                      <w:rFonts w:hint="default" w:ascii="Times New Roman" w:hAnsi="Times New Roman" w:cs="Times New Roman"/>
                      <w:color w:val="auto"/>
                    </w:rPr>
                  </w:pPr>
                </w:p>
              </w:tc>
              <w:tc>
                <w:tcPr>
                  <w:tcW w:w="0" w:type="auto"/>
                  <w:tcBorders>
                    <w:tl2br w:val="nil"/>
                    <w:tr2bl w:val="nil"/>
                  </w:tcBorders>
                  <w:vAlign w:val="center"/>
                </w:tcPr>
                <w:p w14:paraId="43185DB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5CF10DD5">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40.46 </w:t>
                  </w:r>
                </w:p>
              </w:tc>
              <w:tc>
                <w:tcPr>
                  <w:tcW w:w="0" w:type="auto"/>
                  <w:vMerge w:val="continue"/>
                  <w:tcBorders>
                    <w:tl2br w:val="nil"/>
                    <w:tr2bl w:val="nil"/>
                  </w:tcBorders>
                  <w:vAlign w:val="center"/>
                </w:tcPr>
                <w:p w14:paraId="16E1005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E9BC7FF">
                  <w:pPr>
                    <w:pStyle w:val="3"/>
                    <w:bidi w:val="0"/>
                    <w:rPr>
                      <w:rFonts w:hint="default" w:ascii="Times New Roman" w:hAnsi="Times New Roman" w:cs="Times New Roman"/>
                      <w:color w:val="auto"/>
                    </w:rPr>
                  </w:pPr>
                </w:p>
              </w:tc>
              <w:tc>
                <w:tcPr>
                  <w:tcW w:w="1045" w:type="dxa"/>
                  <w:tcBorders>
                    <w:tl2br w:val="nil"/>
                    <w:tr2bl w:val="nil"/>
                  </w:tcBorders>
                  <w:vAlign w:val="center"/>
                </w:tcPr>
                <w:p w14:paraId="2083633D">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25.46 </w:t>
                  </w:r>
                </w:p>
              </w:tc>
            </w:tr>
            <w:tr w14:paraId="5A23BB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03DE95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6123A7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5CAB7E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402C0A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97BEC28">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398F18A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39D37E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A443CD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43480F6">
                  <w:pPr>
                    <w:pStyle w:val="3"/>
                    <w:bidi w:val="0"/>
                    <w:rPr>
                      <w:rFonts w:hint="default" w:ascii="Times New Roman" w:hAnsi="Times New Roman" w:cs="Times New Roman"/>
                      <w:color w:val="auto"/>
                    </w:rPr>
                  </w:pPr>
                </w:p>
              </w:tc>
              <w:tc>
                <w:tcPr>
                  <w:tcW w:w="0" w:type="auto"/>
                  <w:tcBorders>
                    <w:tl2br w:val="nil"/>
                    <w:tr2bl w:val="nil"/>
                  </w:tcBorders>
                  <w:vAlign w:val="center"/>
                </w:tcPr>
                <w:p w14:paraId="5A73DEE4">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r>
                    <w:rPr>
                      <w:rFonts w:hint="default" w:ascii="Times New Roman" w:hAnsi="Times New Roman" w:cs="Times New Roman"/>
                      <w:color w:val="auto"/>
                    </w:rPr>
                    <w:t>（北）</w:t>
                  </w:r>
                </w:p>
              </w:tc>
              <w:tc>
                <w:tcPr>
                  <w:tcW w:w="1255" w:type="dxa"/>
                  <w:tcBorders>
                    <w:tl2br w:val="nil"/>
                    <w:tr2bl w:val="nil"/>
                  </w:tcBorders>
                  <w:vAlign w:val="bottom"/>
                </w:tcPr>
                <w:p w14:paraId="7CA287A8">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43.98 </w:t>
                  </w:r>
                </w:p>
              </w:tc>
              <w:tc>
                <w:tcPr>
                  <w:tcW w:w="0" w:type="auto"/>
                  <w:vMerge w:val="continue"/>
                  <w:tcBorders>
                    <w:tl2br w:val="nil"/>
                    <w:tr2bl w:val="nil"/>
                  </w:tcBorders>
                  <w:vAlign w:val="center"/>
                </w:tcPr>
                <w:p w14:paraId="4358751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99E8CFD">
                  <w:pPr>
                    <w:pStyle w:val="3"/>
                    <w:bidi w:val="0"/>
                    <w:rPr>
                      <w:rFonts w:hint="default" w:ascii="Times New Roman" w:hAnsi="Times New Roman" w:cs="Times New Roman"/>
                      <w:color w:val="auto"/>
                    </w:rPr>
                  </w:pPr>
                </w:p>
              </w:tc>
              <w:tc>
                <w:tcPr>
                  <w:tcW w:w="1045" w:type="dxa"/>
                  <w:tcBorders>
                    <w:tl2br w:val="nil"/>
                    <w:tr2bl w:val="nil"/>
                  </w:tcBorders>
                  <w:vAlign w:val="center"/>
                </w:tcPr>
                <w:p w14:paraId="5E17DD5B">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28.98 </w:t>
                  </w:r>
                </w:p>
              </w:tc>
            </w:tr>
            <w:tr w14:paraId="6323C9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tcBorders>
                    <w:tl2br w:val="nil"/>
                    <w:tr2bl w:val="nil"/>
                  </w:tcBorders>
                  <w:vAlign w:val="center"/>
                </w:tcPr>
                <w:p w14:paraId="17B77A1B">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3</w:t>
                  </w:r>
                </w:p>
              </w:tc>
              <w:tc>
                <w:tcPr>
                  <w:tcW w:w="0" w:type="auto"/>
                  <w:vMerge w:val="continue"/>
                  <w:tcBorders>
                    <w:tl2br w:val="nil"/>
                    <w:tr2bl w:val="nil"/>
                  </w:tcBorders>
                  <w:vAlign w:val="center"/>
                </w:tcPr>
                <w:p w14:paraId="11BF302C">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087FA71B">
                  <w:pPr>
                    <w:pStyle w:val="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rPr>
                    <w:t>辊式</w:t>
                  </w:r>
                  <w:r>
                    <w:rPr>
                      <w:rFonts w:hint="default" w:ascii="Times New Roman" w:hAnsi="Times New Roman" w:cs="Times New Roman"/>
                      <w:color w:val="auto"/>
                    </w:rPr>
                    <w:t>破碎机</w:t>
                  </w:r>
                </w:p>
              </w:tc>
              <w:tc>
                <w:tcPr>
                  <w:tcW w:w="0" w:type="auto"/>
                  <w:vMerge w:val="restart"/>
                  <w:tcBorders>
                    <w:tl2br w:val="nil"/>
                    <w:tr2bl w:val="nil"/>
                  </w:tcBorders>
                  <w:vAlign w:val="center"/>
                </w:tcPr>
                <w:p w14:paraId="30412584">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0" w:type="auto"/>
                  <w:vMerge w:val="restart"/>
                  <w:tcBorders>
                    <w:tl2br w:val="nil"/>
                    <w:tr2bl w:val="nil"/>
                  </w:tcBorders>
                  <w:vAlign w:val="center"/>
                </w:tcPr>
                <w:p w14:paraId="01605928">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85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restart"/>
                  <w:tcBorders>
                    <w:tl2br w:val="nil"/>
                    <w:tr2bl w:val="nil"/>
                  </w:tcBorders>
                  <w:vAlign w:val="center"/>
                </w:tcPr>
                <w:p w14:paraId="6049C470">
                  <w:pPr>
                    <w:pStyle w:val="3"/>
                    <w:bidi w:val="0"/>
                    <w:rPr>
                      <w:rFonts w:hint="default" w:ascii="Times New Roman" w:hAnsi="Times New Roman" w:cs="Times New Roman"/>
                      <w:color w:val="auto"/>
                    </w:rPr>
                  </w:pPr>
                  <w:r>
                    <w:rPr>
                      <w:rFonts w:hint="default" w:ascii="Times New Roman" w:hAnsi="Times New Roman" w:cs="Times New Roman"/>
                      <w:color w:val="auto"/>
                    </w:rPr>
                    <w:t>建筑隔声、减震垫</w:t>
                  </w:r>
                </w:p>
              </w:tc>
              <w:tc>
                <w:tcPr>
                  <w:tcW w:w="0" w:type="auto"/>
                  <w:vMerge w:val="restart"/>
                  <w:tcBorders>
                    <w:tl2br w:val="nil"/>
                    <w:tr2bl w:val="nil"/>
                  </w:tcBorders>
                  <w:vAlign w:val="center"/>
                </w:tcPr>
                <w:p w14:paraId="1D2678B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33</w:t>
                  </w:r>
                </w:p>
              </w:tc>
              <w:tc>
                <w:tcPr>
                  <w:tcW w:w="0" w:type="auto"/>
                  <w:vMerge w:val="restart"/>
                  <w:tcBorders>
                    <w:tl2br w:val="nil"/>
                    <w:tr2bl w:val="nil"/>
                  </w:tcBorders>
                  <w:vAlign w:val="center"/>
                </w:tcPr>
                <w:p w14:paraId="7A4278FE">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0" w:type="auto"/>
                  <w:vMerge w:val="restart"/>
                  <w:tcBorders>
                    <w:tl2br w:val="nil"/>
                    <w:tr2bl w:val="nil"/>
                  </w:tcBorders>
                  <w:vAlign w:val="center"/>
                </w:tcPr>
                <w:p w14:paraId="6D0E4A9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c>
                <w:tcPr>
                  <w:tcW w:w="0" w:type="auto"/>
                  <w:tcBorders>
                    <w:tl2br w:val="nil"/>
                    <w:tr2bl w:val="nil"/>
                  </w:tcBorders>
                  <w:vAlign w:val="center"/>
                </w:tcPr>
                <w:p w14:paraId="5FE40BC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87</w:t>
                  </w:r>
                  <w:r>
                    <w:rPr>
                      <w:rFonts w:hint="default" w:ascii="Times New Roman" w:hAnsi="Times New Roman" w:cs="Times New Roman"/>
                      <w:color w:val="auto"/>
                    </w:rPr>
                    <w:t>（东）</w:t>
                  </w:r>
                </w:p>
              </w:tc>
              <w:tc>
                <w:tcPr>
                  <w:tcW w:w="1255" w:type="dxa"/>
                  <w:tcBorders>
                    <w:tl2br w:val="nil"/>
                    <w:tr2bl w:val="nil"/>
                  </w:tcBorders>
                  <w:vAlign w:val="bottom"/>
                </w:tcPr>
                <w:p w14:paraId="21116DB5">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46.21 </w:t>
                  </w:r>
                </w:p>
              </w:tc>
              <w:tc>
                <w:tcPr>
                  <w:tcW w:w="0" w:type="auto"/>
                  <w:vMerge w:val="restart"/>
                  <w:tcBorders>
                    <w:tl2br w:val="nil"/>
                    <w:tr2bl w:val="nil"/>
                  </w:tcBorders>
                  <w:vAlign w:val="center"/>
                </w:tcPr>
                <w:p w14:paraId="3D9AC850">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3A72595A">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5B90A3E4">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31.21 </w:t>
                  </w:r>
                </w:p>
              </w:tc>
            </w:tr>
            <w:tr w14:paraId="2E474F4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C51601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B15ECD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725635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7EDD06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FA5A65">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1D11A27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AAEB53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5D2237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2EC2BCB">
                  <w:pPr>
                    <w:pStyle w:val="3"/>
                    <w:bidi w:val="0"/>
                    <w:rPr>
                      <w:rFonts w:hint="default" w:ascii="Times New Roman" w:hAnsi="Times New Roman" w:cs="Times New Roman"/>
                      <w:color w:val="auto"/>
                    </w:rPr>
                  </w:pPr>
                </w:p>
              </w:tc>
              <w:tc>
                <w:tcPr>
                  <w:tcW w:w="0" w:type="auto"/>
                  <w:tcBorders>
                    <w:tl2br w:val="nil"/>
                    <w:tr2bl w:val="nil"/>
                  </w:tcBorders>
                  <w:vAlign w:val="center"/>
                </w:tcPr>
                <w:p w14:paraId="31DA9E8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21</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5FD6B58D">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58.56 </w:t>
                  </w:r>
                </w:p>
              </w:tc>
              <w:tc>
                <w:tcPr>
                  <w:tcW w:w="0" w:type="auto"/>
                  <w:vMerge w:val="continue"/>
                  <w:tcBorders>
                    <w:tl2br w:val="nil"/>
                    <w:tr2bl w:val="nil"/>
                  </w:tcBorders>
                  <w:vAlign w:val="center"/>
                </w:tcPr>
                <w:p w14:paraId="1C0B9A5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95B45B5">
                  <w:pPr>
                    <w:pStyle w:val="3"/>
                    <w:bidi w:val="0"/>
                    <w:rPr>
                      <w:rFonts w:hint="default" w:ascii="Times New Roman" w:hAnsi="Times New Roman" w:cs="Times New Roman"/>
                      <w:color w:val="auto"/>
                    </w:rPr>
                  </w:pPr>
                </w:p>
              </w:tc>
              <w:tc>
                <w:tcPr>
                  <w:tcW w:w="1045" w:type="dxa"/>
                  <w:tcBorders>
                    <w:tl2br w:val="nil"/>
                    <w:tr2bl w:val="nil"/>
                  </w:tcBorders>
                  <w:vAlign w:val="center"/>
                </w:tcPr>
                <w:p w14:paraId="2E3CE87E">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43.56 </w:t>
                  </w:r>
                </w:p>
              </w:tc>
            </w:tr>
            <w:tr w14:paraId="359202B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1A0665F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E59700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651460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14CF1F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30446F7">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6D32612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77BF04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C61816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1454F07">
                  <w:pPr>
                    <w:pStyle w:val="3"/>
                    <w:bidi w:val="0"/>
                    <w:rPr>
                      <w:rFonts w:hint="default" w:ascii="Times New Roman" w:hAnsi="Times New Roman" w:cs="Times New Roman"/>
                      <w:color w:val="auto"/>
                    </w:rPr>
                  </w:pPr>
                </w:p>
              </w:tc>
              <w:tc>
                <w:tcPr>
                  <w:tcW w:w="0" w:type="auto"/>
                  <w:tcBorders>
                    <w:tl2br w:val="nil"/>
                    <w:tr2bl w:val="nil"/>
                  </w:tcBorders>
                  <w:vAlign w:val="center"/>
                </w:tcPr>
                <w:p w14:paraId="29120EE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45F65F0D">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56.37 </w:t>
                  </w:r>
                </w:p>
              </w:tc>
              <w:tc>
                <w:tcPr>
                  <w:tcW w:w="0" w:type="auto"/>
                  <w:vMerge w:val="continue"/>
                  <w:tcBorders>
                    <w:tl2br w:val="nil"/>
                    <w:tr2bl w:val="nil"/>
                  </w:tcBorders>
                  <w:vAlign w:val="center"/>
                </w:tcPr>
                <w:p w14:paraId="15F7907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15EB08D">
                  <w:pPr>
                    <w:pStyle w:val="3"/>
                    <w:bidi w:val="0"/>
                    <w:rPr>
                      <w:rFonts w:hint="default" w:ascii="Times New Roman" w:hAnsi="Times New Roman" w:cs="Times New Roman"/>
                      <w:color w:val="auto"/>
                    </w:rPr>
                  </w:pPr>
                </w:p>
              </w:tc>
              <w:tc>
                <w:tcPr>
                  <w:tcW w:w="1045" w:type="dxa"/>
                  <w:tcBorders>
                    <w:tl2br w:val="nil"/>
                    <w:tr2bl w:val="nil"/>
                  </w:tcBorders>
                  <w:vAlign w:val="center"/>
                </w:tcPr>
                <w:p w14:paraId="163184E0">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41.37 </w:t>
                  </w:r>
                </w:p>
              </w:tc>
            </w:tr>
            <w:tr w14:paraId="5D2EF8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24793E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E9381B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F591C4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33ADC9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63189F3">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5B83505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947ADB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624FD2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8988754">
                  <w:pPr>
                    <w:pStyle w:val="3"/>
                    <w:bidi w:val="0"/>
                    <w:rPr>
                      <w:rFonts w:hint="default" w:ascii="Times New Roman" w:hAnsi="Times New Roman" w:cs="Times New Roman"/>
                      <w:color w:val="auto"/>
                    </w:rPr>
                  </w:pPr>
                </w:p>
              </w:tc>
              <w:tc>
                <w:tcPr>
                  <w:tcW w:w="0" w:type="auto"/>
                  <w:tcBorders>
                    <w:tl2br w:val="nil"/>
                    <w:tr2bl w:val="nil"/>
                  </w:tcBorders>
                  <w:vAlign w:val="center"/>
                </w:tcPr>
                <w:p w14:paraId="15A166B9">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w:t>
                  </w:r>
                  <w:r>
                    <w:rPr>
                      <w:rFonts w:hint="default" w:ascii="Times New Roman" w:hAnsi="Times New Roman" w:cs="Times New Roman"/>
                      <w:color w:val="auto"/>
                    </w:rPr>
                    <w:t>（北）</w:t>
                  </w:r>
                </w:p>
              </w:tc>
              <w:tc>
                <w:tcPr>
                  <w:tcW w:w="1255" w:type="dxa"/>
                  <w:tcBorders>
                    <w:tl2br w:val="nil"/>
                    <w:tr2bl w:val="nil"/>
                  </w:tcBorders>
                  <w:vAlign w:val="bottom"/>
                </w:tcPr>
                <w:p w14:paraId="342F14F3">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57.77 </w:t>
                  </w:r>
                </w:p>
              </w:tc>
              <w:tc>
                <w:tcPr>
                  <w:tcW w:w="0" w:type="auto"/>
                  <w:vMerge w:val="continue"/>
                  <w:tcBorders>
                    <w:tl2br w:val="nil"/>
                    <w:tr2bl w:val="nil"/>
                  </w:tcBorders>
                  <w:vAlign w:val="center"/>
                </w:tcPr>
                <w:p w14:paraId="7F7C73B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0ADD4E9">
                  <w:pPr>
                    <w:pStyle w:val="3"/>
                    <w:bidi w:val="0"/>
                    <w:rPr>
                      <w:rFonts w:hint="default" w:ascii="Times New Roman" w:hAnsi="Times New Roman" w:cs="Times New Roman"/>
                      <w:color w:val="auto"/>
                    </w:rPr>
                  </w:pPr>
                </w:p>
              </w:tc>
              <w:tc>
                <w:tcPr>
                  <w:tcW w:w="1045" w:type="dxa"/>
                  <w:tcBorders>
                    <w:tl2br w:val="nil"/>
                    <w:tr2bl w:val="nil"/>
                  </w:tcBorders>
                  <w:vAlign w:val="center"/>
                </w:tcPr>
                <w:p w14:paraId="5F72307B">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 xml:space="preserve">42.77 </w:t>
                  </w:r>
                </w:p>
              </w:tc>
            </w:tr>
            <w:tr w14:paraId="0CC5CD5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restart"/>
                  <w:tcBorders>
                    <w:tl2br w:val="nil"/>
                    <w:tr2bl w:val="nil"/>
                  </w:tcBorders>
                  <w:vAlign w:val="center"/>
                </w:tcPr>
                <w:p w14:paraId="44649834">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4</w:t>
                  </w:r>
                </w:p>
              </w:tc>
              <w:tc>
                <w:tcPr>
                  <w:tcW w:w="0" w:type="auto"/>
                  <w:vMerge w:val="continue"/>
                  <w:tcBorders>
                    <w:tl2br w:val="nil"/>
                    <w:tr2bl w:val="nil"/>
                  </w:tcBorders>
                  <w:vAlign w:val="center"/>
                </w:tcPr>
                <w:p w14:paraId="34ED3036">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549D2338">
                  <w:pPr>
                    <w:pStyle w:val="3"/>
                    <w:bidi w:val="0"/>
                    <w:rPr>
                      <w:rFonts w:hint="default" w:ascii="Times New Roman" w:hAnsi="Times New Roman" w:cs="Times New Roman"/>
                      <w:color w:val="auto"/>
                    </w:rPr>
                  </w:pPr>
                  <w:r>
                    <w:rPr>
                      <w:rFonts w:hint="default" w:ascii="Times New Roman" w:hAnsi="Times New Roman" w:cs="Times New Roman"/>
                      <w:color w:val="auto"/>
                      <w:lang w:eastAsia="zh-CN"/>
                    </w:rPr>
                    <w:t>锤片式</w:t>
                  </w:r>
                  <w:r>
                    <w:rPr>
                      <w:rFonts w:hint="default" w:ascii="Times New Roman" w:hAnsi="Times New Roman" w:cs="Times New Roman"/>
                      <w:color w:val="auto"/>
                    </w:rPr>
                    <w:t>粉碎机</w:t>
                  </w:r>
                </w:p>
              </w:tc>
              <w:tc>
                <w:tcPr>
                  <w:tcW w:w="0" w:type="auto"/>
                  <w:vMerge w:val="restart"/>
                  <w:tcBorders>
                    <w:tl2br w:val="nil"/>
                    <w:tr2bl w:val="nil"/>
                  </w:tcBorders>
                  <w:vAlign w:val="center"/>
                </w:tcPr>
                <w:p w14:paraId="651C6DE1">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7ABC36F8">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85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continue"/>
                  <w:tcBorders>
                    <w:tl2br w:val="nil"/>
                    <w:tr2bl w:val="nil"/>
                  </w:tcBorders>
                  <w:vAlign w:val="center"/>
                </w:tcPr>
                <w:p w14:paraId="624A276D">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426634FD">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28</w:t>
                  </w:r>
                </w:p>
              </w:tc>
              <w:tc>
                <w:tcPr>
                  <w:tcW w:w="0" w:type="auto"/>
                  <w:vMerge w:val="restart"/>
                  <w:tcBorders>
                    <w:tl2br w:val="nil"/>
                    <w:tr2bl w:val="nil"/>
                  </w:tcBorders>
                  <w:vAlign w:val="center"/>
                </w:tcPr>
                <w:p w14:paraId="3534C3A2">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0" w:type="auto"/>
                  <w:vMerge w:val="restart"/>
                  <w:tcBorders>
                    <w:tl2br w:val="nil"/>
                    <w:tr2bl w:val="nil"/>
                  </w:tcBorders>
                  <w:vAlign w:val="center"/>
                </w:tcPr>
                <w:p w14:paraId="41DDE742">
                  <w:pPr>
                    <w:pStyle w:val="3"/>
                    <w:bidi w:val="0"/>
                    <w:rPr>
                      <w:rFonts w:hint="default" w:ascii="Times New Roman" w:hAnsi="Times New Roman" w:cs="Times New Roman"/>
                      <w:color w:val="auto"/>
                      <w:lang w:val="en-US"/>
                    </w:rPr>
                  </w:pPr>
                  <w:r>
                    <w:rPr>
                      <w:rFonts w:hint="eastAsia" w:ascii="Times New Roman" w:hAnsi="Times New Roman" w:eastAsia="宋体" w:cs="Times New Roman"/>
                      <w:color w:val="auto"/>
                      <w:lang w:val="en-US" w:eastAsia="zh-CN"/>
                    </w:rPr>
                    <w:t>1</w:t>
                  </w:r>
                  <w:r>
                    <w:rPr>
                      <w:rFonts w:hint="default" w:ascii="Times New Roman" w:hAnsi="Times New Roman" w:eastAsia="宋体" w:cs="Times New Roman"/>
                      <w:color w:val="auto"/>
                      <w:lang w:val="en-US" w:eastAsia="zh-CN"/>
                    </w:rPr>
                    <w:t>.5</w:t>
                  </w:r>
                </w:p>
              </w:tc>
              <w:tc>
                <w:tcPr>
                  <w:tcW w:w="0" w:type="auto"/>
                  <w:tcBorders>
                    <w:tl2br w:val="nil"/>
                    <w:tr2bl w:val="nil"/>
                  </w:tcBorders>
                  <w:vAlign w:val="center"/>
                </w:tcPr>
                <w:p w14:paraId="55E18B3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82</w:t>
                  </w:r>
                  <w:r>
                    <w:rPr>
                      <w:rFonts w:hint="default" w:ascii="Times New Roman" w:hAnsi="Times New Roman" w:cs="Times New Roman"/>
                      <w:color w:val="auto"/>
                    </w:rPr>
                    <w:t>（东）</w:t>
                  </w:r>
                </w:p>
              </w:tc>
              <w:tc>
                <w:tcPr>
                  <w:tcW w:w="1255" w:type="dxa"/>
                  <w:tcBorders>
                    <w:tl2br w:val="nil"/>
                    <w:tr2bl w:val="nil"/>
                  </w:tcBorders>
                  <w:vAlign w:val="bottom"/>
                </w:tcPr>
                <w:p w14:paraId="55150E5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46.72 </w:t>
                  </w:r>
                </w:p>
              </w:tc>
              <w:tc>
                <w:tcPr>
                  <w:tcW w:w="0" w:type="auto"/>
                  <w:vMerge w:val="restart"/>
                  <w:tcBorders>
                    <w:tl2br w:val="nil"/>
                    <w:tr2bl w:val="nil"/>
                  </w:tcBorders>
                  <w:vAlign w:val="center"/>
                </w:tcPr>
                <w:p w14:paraId="757619FE">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7F6C196A">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40531D6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31.72 </w:t>
                  </w:r>
                </w:p>
              </w:tc>
            </w:tr>
            <w:tr w14:paraId="55DEF2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38FA5F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AD9598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EB1BE0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80D770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5549187">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6FA4857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3D08C8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47B746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6543B64">
                  <w:pPr>
                    <w:pStyle w:val="3"/>
                    <w:bidi w:val="0"/>
                    <w:rPr>
                      <w:rFonts w:hint="default" w:ascii="Times New Roman" w:hAnsi="Times New Roman" w:cs="Times New Roman"/>
                      <w:color w:val="auto"/>
                    </w:rPr>
                  </w:pPr>
                </w:p>
              </w:tc>
              <w:tc>
                <w:tcPr>
                  <w:tcW w:w="0" w:type="auto"/>
                  <w:tcBorders>
                    <w:tl2br w:val="nil"/>
                    <w:tr2bl w:val="nil"/>
                  </w:tcBorders>
                  <w:vAlign w:val="center"/>
                </w:tcPr>
                <w:p w14:paraId="5AC6F591">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26</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5AC875F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56.70 </w:t>
                  </w:r>
                </w:p>
              </w:tc>
              <w:tc>
                <w:tcPr>
                  <w:tcW w:w="0" w:type="auto"/>
                  <w:vMerge w:val="continue"/>
                  <w:tcBorders>
                    <w:tl2br w:val="nil"/>
                    <w:tr2bl w:val="nil"/>
                  </w:tcBorders>
                  <w:vAlign w:val="center"/>
                </w:tcPr>
                <w:p w14:paraId="56A5305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F9C6B31">
                  <w:pPr>
                    <w:pStyle w:val="3"/>
                    <w:bidi w:val="0"/>
                    <w:rPr>
                      <w:rFonts w:hint="default" w:ascii="Times New Roman" w:hAnsi="Times New Roman" w:cs="Times New Roman"/>
                      <w:color w:val="auto"/>
                    </w:rPr>
                  </w:pPr>
                </w:p>
              </w:tc>
              <w:tc>
                <w:tcPr>
                  <w:tcW w:w="1045" w:type="dxa"/>
                  <w:tcBorders>
                    <w:tl2br w:val="nil"/>
                    <w:tr2bl w:val="nil"/>
                  </w:tcBorders>
                  <w:vAlign w:val="center"/>
                </w:tcPr>
                <w:p w14:paraId="4A33939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41.70 </w:t>
                  </w:r>
                </w:p>
              </w:tc>
            </w:tr>
            <w:tr w14:paraId="5F2664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2BB43D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19A216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CF9284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659960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D885D9B">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1686527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E5EF9A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8E2880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E870C6A">
                  <w:pPr>
                    <w:pStyle w:val="3"/>
                    <w:bidi w:val="0"/>
                    <w:rPr>
                      <w:rFonts w:hint="default" w:ascii="Times New Roman" w:hAnsi="Times New Roman" w:cs="Times New Roman"/>
                      <w:color w:val="auto"/>
                    </w:rPr>
                  </w:pPr>
                </w:p>
              </w:tc>
              <w:tc>
                <w:tcPr>
                  <w:tcW w:w="1220" w:type="dxa"/>
                  <w:tcBorders>
                    <w:tl2br w:val="nil"/>
                    <w:tr2bl w:val="nil"/>
                  </w:tcBorders>
                  <w:vAlign w:val="center"/>
                </w:tcPr>
                <w:p w14:paraId="2F5DA561">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26</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125ED9A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56.70  </w:t>
                  </w:r>
                </w:p>
              </w:tc>
              <w:tc>
                <w:tcPr>
                  <w:tcW w:w="0" w:type="auto"/>
                  <w:vMerge w:val="continue"/>
                  <w:tcBorders>
                    <w:tl2br w:val="nil"/>
                    <w:tr2bl w:val="nil"/>
                  </w:tcBorders>
                  <w:vAlign w:val="center"/>
                </w:tcPr>
                <w:p w14:paraId="2C97E10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CA80829">
                  <w:pPr>
                    <w:pStyle w:val="3"/>
                    <w:bidi w:val="0"/>
                    <w:rPr>
                      <w:rFonts w:hint="default" w:ascii="Times New Roman" w:hAnsi="Times New Roman" w:cs="Times New Roman"/>
                      <w:color w:val="auto"/>
                    </w:rPr>
                  </w:pPr>
                </w:p>
              </w:tc>
              <w:tc>
                <w:tcPr>
                  <w:tcW w:w="1045" w:type="dxa"/>
                  <w:tcBorders>
                    <w:tl2br w:val="nil"/>
                    <w:tr2bl w:val="nil"/>
                  </w:tcBorders>
                  <w:vAlign w:val="center"/>
                </w:tcPr>
                <w:p w14:paraId="46E5A07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41.70 </w:t>
                  </w:r>
                </w:p>
              </w:tc>
            </w:tr>
            <w:tr w14:paraId="7D1E0FC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6039162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58E375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C7C2BB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27F35F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14AB02">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7E520F7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022183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683B75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2E9C4BA">
                  <w:pPr>
                    <w:pStyle w:val="3"/>
                    <w:bidi w:val="0"/>
                    <w:rPr>
                      <w:rFonts w:hint="default" w:ascii="Times New Roman" w:hAnsi="Times New Roman" w:cs="Times New Roman"/>
                      <w:color w:val="auto"/>
                    </w:rPr>
                  </w:pPr>
                </w:p>
              </w:tc>
              <w:tc>
                <w:tcPr>
                  <w:tcW w:w="1220" w:type="dxa"/>
                  <w:tcBorders>
                    <w:tl2br w:val="nil"/>
                    <w:tr2bl w:val="nil"/>
                  </w:tcBorders>
                  <w:vAlign w:val="center"/>
                </w:tcPr>
                <w:p w14:paraId="7A581227">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w:t>
                  </w:r>
                  <w:r>
                    <w:rPr>
                      <w:rFonts w:hint="default" w:ascii="Times New Roman" w:hAnsi="Times New Roman" w:cs="Times New Roman"/>
                      <w:color w:val="auto"/>
                    </w:rPr>
                    <w:t>（北）</w:t>
                  </w:r>
                </w:p>
              </w:tc>
              <w:tc>
                <w:tcPr>
                  <w:tcW w:w="1255" w:type="dxa"/>
                  <w:tcBorders>
                    <w:tl2br w:val="nil"/>
                    <w:tr2bl w:val="nil"/>
                  </w:tcBorders>
                  <w:vAlign w:val="bottom"/>
                </w:tcPr>
                <w:p w14:paraId="7AF7E47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57.77 </w:t>
                  </w:r>
                </w:p>
              </w:tc>
              <w:tc>
                <w:tcPr>
                  <w:tcW w:w="0" w:type="auto"/>
                  <w:vMerge w:val="continue"/>
                  <w:tcBorders>
                    <w:tl2br w:val="nil"/>
                    <w:tr2bl w:val="nil"/>
                  </w:tcBorders>
                  <w:vAlign w:val="center"/>
                </w:tcPr>
                <w:p w14:paraId="041586A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9D074BF">
                  <w:pPr>
                    <w:pStyle w:val="3"/>
                    <w:bidi w:val="0"/>
                    <w:rPr>
                      <w:rFonts w:hint="default" w:ascii="Times New Roman" w:hAnsi="Times New Roman" w:cs="Times New Roman"/>
                      <w:color w:val="auto"/>
                    </w:rPr>
                  </w:pPr>
                </w:p>
              </w:tc>
              <w:tc>
                <w:tcPr>
                  <w:tcW w:w="1045" w:type="dxa"/>
                  <w:tcBorders>
                    <w:tl2br w:val="nil"/>
                    <w:tr2bl w:val="nil"/>
                  </w:tcBorders>
                  <w:vAlign w:val="center"/>
                </w:tcPr>
                <w:p w14:paraId="33FC3E4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42.77 </w:t>
                  </w:r>
                </w:p>
              </w:tc>
            </w:tr>
            <w:tr w14:paraId="690DF3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4D5937EF">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w:t>
                  </w:r>
                </w:p>
              </w:tc>
              <w:tc>
                <w:tcPr>
                  <w:tcW w:w="0" w:type="auto"/>
                  <w:vMerge w:val="continue"/>
                  <w:tcBorders>
                    <w:tl2br w:val="nil"/>
                    <w:tr2bl w:val="nil"/>
                  </w:tcBorders>
                  <w:vAlign w:val="center"/>
                </w:tcPr>
                <w:p w14:paraId="20E8F722">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A771FD3">
                  <w:pPr>
                    <w:pStyle w:val="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成品破碎机</w:t>
                  </w:r>
                </w:p>
              </w:tc>
              <w:tc>
                <w:tcPr>
                  <w:tcW w:w="0" w:type="auto"/>
                  <w:vMerge w:val="restart"/>
                  <w:tcBorders>
                    <w:tl2br w:val="nil"/>
                    <w:tr2bl w:val="nil"/>
                  </w:tcBorders>
                  <w:vAlign w:val="center"/>
                </w:tcPr>
                <w:p w14:paraId="1135FA83">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798F06A7">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85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continue"/>
                  <w:tcBorders>
                    <w:tl2br w:val="nil"/>
                    <w:tr2bl w:val="nil"/>
                  </w:tcBorders>
                  <w:vAlign w:val="center"/>
                </w:tcPr>
                <w:p w14:paraId="3DCDE544">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6AFA0F1">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25</w:t>
                  </w:r>
                </w:p>
              </w:tc>
              <w:tc>
                <w:tcPr>
                  <w:tcW w:w="0" w:type="auto"/>
                  <w:vMerge w:val="restart"/>
                  <w:tcBorders>
                    <w:tl2br w:val="nil"/>
                    <w:tr2bl w:val="nil"/>
                  </w:tcBorders>
                  <w:vAlign w:val="center"/>
                </w:tcPr>
                <w:p w14:paraId="39B7275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0" w:type="auto"/>
                  <w:vMerge w:val="restart"/>
                  <w:tcBorders>
                    <w:tl2br w:val="nil"/>
                    <w:tr2bl w:val="nil"/>
                  </w:tcBorders>
                  <w:vAlign w:val="center"/>
                </w:tcPr>
                <w:p w14:paraId="667530C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c>
                <w:tcPr>
                  <w:tcW w:w="0" w:type="auto"/>
                  <w:tcBorders>
                    <w:tl2br w:val="nil"/>
                    <w:tr2bl w:val="nil"/>
                  </w:tcBorders>
                  <w:vAlign w:val="center"/>
                </w:tcPr>
                <w:p w14:paraId="63EA6FBA">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79</w:t>
                  </w:r>
                  <w:r>
                    <w:rPr>
                      <w:rFonts w:hint="default" w:ascii="Times New Roman" w:hAnsi="Times New Roman" w:cs="Times New Roman"/>
                      <w:color w:val="auto"/>
                    </w:rPr>
                    <w:t>（东）</w:t>
                  </w:r>
                </w:p>
              </w:tc>
              <w:tc>
                <w:tcPr>
                  <w:tcW w:w="1255" w:type="dxa"/>
                  <w:tcBorders>
                    <w:tl2br w:val="nil"/>
                    <w:tr2bl w:val="nil"/>
                  </w:tcBorders>
                  <w:vAlign w:val="bottom"/>
                </w:tcPr>
                <w:p w14:paraId="0266D67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47.05 </w:t>
                  </w:r>
                </w:p>
              </w:tc>
              <w:tc>
                <w:tcPr>
                  <w:tcW w:w="0" w:type="auto"/>
                  <w:vMerge w:val="restart"/>
                  <w:tcBorders>
                    <w:tl2br w:val="nil"/>
                    <w:tr2bl w:val="nil"/>
                  </w:tcBorders>
                  <w:vAlign w:val="center"/>
                </w:tcPr>
                <w:p w14:paraId="7F3466B2">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1A5E8E32">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73A4ACF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32.05 </w:t>
                  </w:r>
                </w:p>
              </w:tc>
            </w:tr>
            <w:tr w14:paraId="5A9BC3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566B9F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D869D8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40E8A9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A6CAD6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F46F0A3">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08DCA19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94BF25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810A1B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BD4971C">
                  <w:pPr>
                    <w:pStyle w:val="3"/>
                    <w:bidi w:val="0"/>
                    <w:rPr>
                      <w:rFonts w:hint="default" w:ascii="Times New Roman" w:hAnsi="Times New Roman" w:cs="Times New Roman"/>
                      <w:color w:val="auto"/>
                    </w:rPr>
                  </w:pPr>
                </w:p>
              </w:tc>
              <w:tc>
                <w:tcPr>
                  <w:tcW w:w="0" w:type="auto"/>
                  <w:tcBorders>
                    <w:tl2br w:val="nil"/>
                    <w:tr2bl w:val="nil"/>
                  </w:tcBorders>
                  <w:vAlign w:val="center"/>
                </w:tcPr>
                <w:p w14:paraId="0DFB25C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29</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0C63059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55.75 </w:t>
                  </w:r>
                </w:p>
              </w:tc>
              <w:tc>
                <w:tcPr>
                  <w:tcW w:w="0" w:type="auto"/>
                  <w:vMerge w:val="continue"/>
                  <w:tcBorders>
                    <w:tl2br w:val="nil"/>
                    <w:tr2bl w:val="nil"/>
                  </w:tcBorders>
                  <w:vAlign w:val="center"/>
                </w:tcPr>
                <w:p w14:paraId="0FFB1D4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5828CBA">
                  <w:pPr>
                    <w:pStyle w:val="3"/>
                    <w:bidi w:val="0"/>
                    <w:rPr>
                      <w:rFonts w:hint="default" w:ascii="Times New Roman" w:hAnsi="Times New Roman" w:cs="Times New Roman"/>
                      <w:color w:val="auto"/>
                    </w:rPr>
                  </w:pPr>
                </w:p>
              </w:tc>
              <w:tc>
                <w:tcPr>
                  <w:tcW w:w="1045" w:type="dxa"/>
                  <w:tcBorders>
                    <w:tl2br w:val="nil"/>
                    <w:tr2bl w:val="nil"/>
                  </w:tcBorders>
                  <w:vAlign w:val="center"/>
                </w:tcPr>
                <w:p w14:paraId="757D56A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40.75 </w:t>
                  </w:r>
                </w:p>
              </w:tc>
            </w:tr>
            <w:tr w14:paraId="2915DE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0D98EA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F7C2B8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F8C6DF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E64FA2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E98C633">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1B7EC87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5F70FC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52E18A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DF5D9F3">
                  <w:pPr>
                    <w:pStyle w:val="3"/>
                    <w:bidi w:val="0"/>
                    <w:rPr>
                      <w:rFonts w:hint="default" w:ascii="Times New Roman" w:hAnsi="Times New Roman" w:cs="Times New Roman"/>
                      <w:color w:val="auto"/>
                    </w:rPr>
                  </w:pPr>
                </w:p>
              </w:tc>
              <w:tc>
                <w:tcPr>
                  <w:tcW w:w="1220" w:type="dxa"/>
                  <w:tcBorders>
                    <w:tl2br w:val="nil"/>
                    <w:tr2bl w:val="nil"/>
                  </w:tcBorders>
                  <w:vAlign w:val="center"/>
                </w:tcPr>
                <w:p w14:paraId="3B883C0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27</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57246AC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56.37 </w:t>
                  </w:r>
                </w:p>
              </w:tc>
              <w:tc>
                <w:tcPr>
                  <w:tcW w:w="0" w:type="auto"/>
                  <w:vMerge w:val="continue"/>
                  <w:tcBorders>
                    <w:tl2br w:val="nil"/>
                    <w:tr2bl w:val="nil"/>
                  </w:tcBorders>
                  <w:vAlign w:val="center"/>
                </w:tcPr>
                <w:p w14:paraId="7AF5A9A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5EAB3F9">
                  <w:pPr>
                    <w:pStyle w:val="3"/>
                    <w:bidi w:val="0"/>
                    <w:rPr>
                      <w:rFonts w:hint="default" w:ascii="Times New Roman" w:hAnsi="Times New Roman" w:cs="Times New Roman"/>
                      <w:color w:val="auto"/>
                    </w:rPr>
                  </w:pPr>
                </w:p>
              </w:tc>
              <w:tc>
                <w:tcPr>
                  <w:tcW w:w="1045" w:type="dxa"/>
                  <w:tcBorders>
                    <w:tl2br w:val="nil"/>
                    <w:tr2bl w:val="nil"/>
                  </w:tcBorders>
                  <w:vAlign w:val="center"/>
                </w:tcPr>
                <w:p w14:paraId="4CF2305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41.37 </w:t>
                  </w:r>
                </w:p>
              </w:tc>
            </w:tr>
            <w:tr w14:paraId="28276C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0B373BA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CBE315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73F4E7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F5A22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27C68E3">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6FD02D2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86D217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5E9366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0CBA90E">
                  <w:pPr>
                    <w:pStyle w:val="3"/>
                    <w:bidi w:val="0"/>
                    <w:rPr>
                      <w:rFonts w:hint="default" w:ascii="Times New Roman" w:hAnsi="Times New Roman" w:cs="Times New Roman"/>
                      <w:color w:val="auto"/>
                    </w:rPr>
                  </w:pPr>
                </w:p>
              </w:tc>
              <w:tc>
                <w:tcPr>
                  <w:tcW w:w="1220" w:type="dxa"/>
                  <w:tcBorders>
                    <w:tl2br w:val="nil"/>
                    <w:tr2bl w:val="nil"/>
                  </w:tcBorders>
                  <w:vAlign w:val="center"/>
                </w:tcPr>
                <w:p w14:paraId="7A7A1F0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w:t>
                  </w:r>
                  <w:r>
                    <w:rPr>
                      <w:rFonts w:hint="default" w:ascii="Times New Roman" w:hAnsi="Times New Roman" w:cs="Times New Roman"/>
                      <w:color w:val="auto"/>
                    </w:rPr>
                    <w:t>（北）</w:t>
                  </w:r>
                </w:p>
              </w:tc>
              <w:tc>
                <w:tcPr>
                  <w:tcW w:w="1255" w:type="dxa"/>
                  <w:tcBorders>
                    <w:tl2br w:val="nil"/>
                    <w:tr2bl w:val="nil"/>
                  </w:tcBorders>
                  <w:vAlign w:val="bottom"/>
                </w:tcPr>
                <w:p w14:paraId="731C83C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57.77 </w:t>
                  </w:r>
                </w:p>
              </w:tc>
              <w:tc>
                <w:tcPr>
                  <w:tcW w:w="0" w:type="auto"/>
                  <w:vMerge w:val="continue"/>
                  <w:tcBorders>
                    <w:tl2br w:val="nil"/>
                    <w:tr2bl w:val="nil"/>
                  </w:tcBorders>
                  <w:vAlign w:val="center"/>
                </w:tcPr>
                <w:p w14:paraId="49B342C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20E5B25">
                  <w:pPr>
                    <w:pStyle w:val="3"/>
                    <w:bidi w:val="0"/>
                    <w:rPr>
                      <w:rFonts w:hint="default" w:ascii="Times New Roman" w:hAnsi="Times New Roman" w:cs="Times New Roman"/>
                      <w:color w:val="auto"/>
                    </w:rPr>
                  </w:pPr>
                </w:p>
              </w:tc>
              <w:tc>
                <w:tcPr>
                  <w:tcW w:w="1045" w:type="dxa"/>
                  <w:tcBorders>
                    <w:tl2br w:val="nil"/>
                    <w:tr2bl w:val="nil"/>
                  </w:tcBorders>
                  <w:vAlign w:val="center"/>
                </w:tcPr>
                <w:p w14:paraId="2D002A2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42.77 </w:t>
                  </w:r>
                </w:p>
              </w:tc>
            </w:tr>
            <w:tr w14:paraId="187F2E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14CD09D4">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6</w:t>
                  </w:r>
                </w:p>
              </w:tc>
              <w:tc>
                <w:tcPr>
                  <w:tcW w:w="0" w:type="auto"/>
                  <w:vMerge w:val="continue"/>
                  <w:tcBorders>
                    <w:tl2br w:val="nil"/>
                    <w:tr2bl w:val="nil"/>
                  </w:tcBorders>
                  <w:vAlign w:val="center"/>
                </w:tcPr>
                <w:p w14:paraId="7D45BDC6">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991F463">
                  <w:pPr>
                    <w:pStyle w:val="3"/>
                    <w:bidi w:val="0"/>
                    <w:rPr>
                      <w:rFonts w:hint="default" w:ascii="Times New Roman" w:hAnsi="Times New Roman" w:cs="Times New Roman"/>
                      <w:color w:val="auto"/>
                    </w:rPr>
                  </w:pPr>
                  <w:r>
                    <w:rPr>
                      <w:rFonts w:hint="default" w:ascii="Times New Roman" w:hAnsi="Times New Roman" w:cs="Times New Roman"/>
                      <w:color w:val="auto"/>
                    </w:rPr>
                    <w:t>斗式提升机</w:t>
                  </w:r>
                </w:p>
              </w:tc>
              <w:tc>
                <w:tcPr>
                  <w:tcW w:w="0" w:type="auto"/>
                  <w:vMerge w:val="restart"/>
                  <w:tcBorders>
                    <w:tl2br w:val="nil"/>
                    <w:tr2bl w:val="nil"/>
                  </w:tcBorders>
                  <w:vAlign w:val="center"/>
                </w:tcPr>
                <w:p w14:paraId="141FCC88">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6136029B">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75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restart"/>
                  <w:tcBorders>
                    <w:tl2br w:val="nil"/>
                    <w:tr2bl w:val="nil"/>
                  </w:tcBorders>
                  <w:vAlign w:val="center"/>
                </w:tcPr>
                <w:p w14:paraId="1D200316">
                  <w:pPr>
                    <w:pStyle w:val="3"/>
                    <w:bidi w:val="0"/>
                    <w:rPr>
                      <w:rFonts w:hint="default" w:ascii="Times New Roman" w:hAnsi="Times New Roman" w:cs="Times New Roman"/>
                      <w:color w:val="auto"/>
                    </w:rPr>
                  </w:pPr>
                  <w:r>
                    <w:rPr>
                      <w:rFonts w:hint="default" w:ascii="Times New Roman" w:hAnsi="Times New Roman" w:cs="Times New Roman"/>
                      <w:color w:val="auto"/>
                    </w:rPr>
                    <w:t>建筑隔声</w:t>
                  </w:r>
                </w:p>
              </w:tc>
              <w:tc>
                <w:tcPr>
                  <w:tcW w:w="0" w:type="auto"/>
                  <w:vMerge w:val="restart"/>
                  <w:tcBorders>
                    <w:tl2br w:val="nil"/>
                    <w:tr2bl w:val="nil"/>
                  </w:tcBorders>
                  <w:vAlign w:val="center"/>
                </w:tcPr>
                <w:p w14:paraId="2E8FE621">
                  <w:pPr>
                    <w:pStyle w:val="3"/>
                    <w:bidi w:val="0"/>
                    <w:ind w:firstLine="0" w:firstLineChars="0"/>
                    <w:rPr>
                      <w:rFonts w:hint="default" w:ascii="Times New Roman" w:hAnsi="Times New Roman" w:cs="Times New Roman"/>
                      <w:color w:val="auto"/>
                      <w:lang w:val="en-US"/>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21</w:t>
                  </w:r>
                </w:p>
              </w:tc>
              <w:tc>
                <w:tcPr>
                  <w:tcW w:w="0" w:type="auto"/>
                  <w:vMerge w:val="restart"/>
                  <w:tcBorders>
                    <w:tl2br w:val="nil"/>
                    <w:tr2bl w:val="nil"/>
                  </w:tcBorders>
                  <w:vAlign w:val="center"/>
                </w:tcPr>
                <w:p w14:paraId="35DFAB9A">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18BC5CC5">
                  <w:pPr>
                    <w:pStyle w:val="3"/>
                    <w:bidi w:val="0"/>
                    <w:ind w:firstLine="0" w:firstLineChars="0"/>
                    <w:rPr>
                      <w:rFonts w:hint="default" w:ascii="Times New Roman" w:hAnsi="Times New Roman" w:cs="Times New Roman"/>
                      <w:color w:val="auto"/>
                      <w:lang w:val="en-US"/>
                    </w:rPr>
                  </w:pPr>
                  <w:r>
                    <w:rPr>
                      <w:rFonts w:hint="eastAsia" w:ascii="Times New Roman" w:hAnsi="Times New Roman" w:eastAsia="宋体" w:cs="Times New Roman"/>
                      <w:color w:val="auto"/>
                      <w:lang w:val="en-US" w:eastAsia="zh-CN"/>
                    </w:rPr>
                    <w:t>3.0</w:t>
                  </w:r>
                </w:p>
              </w:tc>
              <w:tc>
                <w:tcPr>
                  <w:tcW w:w="0" w:type="auto"/>
                  <w:tcBorders>
                    <w:tl2br w:val="nil"/>
                    <w:tr2bl w:val="nil"/>
                  </w:tcBorders>
                  <w:vAlign w:val="center"/>
                </w:tcPr>
                <w:p w14:paraId="4CCF7FCC">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75</w:t>
                  </w:r>
                  <w:r>
                    <w:rPr>
                      <w:rFonts w:hint="default" w:ascii="Times New Roman" w:hAnsi="Times New Roman" w:cs="Times New Roman"/>
                      <w:color w:val="auto"/>
                    </w:rPr>
                    <w:t>（东）</w:t>
                  </w:r>
                </w:p>
              </w:tc>
              <w:tc>
                <w:tcPr>
                  <w:tcW w:w="1255" w:type="dxa"/>
                  <w:tcBorders>
                    <w:tl2br w:val="nil"/>
                    <w:tr2bl w:val="nil"/>
                  </w:tcBorders>
                  <w:vAlign w:val="bottom"/>
                </w:tcPr>
                <w:p w14:paraId="2817F29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37.50 </w:t>
                  </w:r>
                </w:p>
              </w:tc>
              <w:tc>
                <w:tcPr>
                  <w:tcW w:w="0" w:type="auto"/>
                  <w:vMerge w:val="restart"/>
                  <w:tcBorders>
                    <w:tl2br w:val="nil"/>
                    <w:tr2bl w:val="nil"/>
                  </w:tcBorders>
                  <w:vAlign w:val="center"/>
                </w:tcPr>
                <w:p w14:paraId="39073896">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0D85F895">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5F7F8DE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22.50 </w:t>
                  </w:r>
                </w:p>
              </w:tc>
            </w:tr>
            <w:tr w14:paraId="2CED44D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221B4DF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D7C1CF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4ACC8F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06FCAE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75DEE35">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5F5AB32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6D31F21">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6D0868F6">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2724AF8B">
                  <w:pPr>
                    <w:pStyle w:val="3"/>
                    <w:bidi w:val="0"/>
                    <w:ind w:firstLine="0" w:firstLineChars="0"/>
                    <w:rPr>
                      <w:rFonts w:hint="default" w:ascii="Times New Roman" w:hAnsi="Times New Roman" w:cs="Times New Roman"/>
                      <w:color w:val="auto"/>
                    </w:rPr>
                  </w:pPr>
                </w:p>
              </w:tc>
              <w:tc>
                <w:tcPr>
                  <w:tcW w:w="0" w:type="auto"/>
                  <w:tcBorders>
                    <w:tl2br w:val="nil"/>
                    <w:tr2bl w:val="nil"/>
                  </w:tcBorders>
                  <w:vAlign w:val="center"/>
                </w:tcPr>
                <w:p w14:paraId="64D31916">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33</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5E17A63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44.63 </w:t>
                  </w:r>
                </w:p>
              </w:tc>
              <w:tc>
                <w:tcPr>
                  <w:tcW w:w="0" w:type="auto"/>
                  <w:vMerge w:val="continue"/>
                  <w:tcBorders>
                    <w:tl2br w:val="nil"/>
                    <w:tr2bl w:val="nil"/>
                  </w:tcBorders>
                  <w:vAlign w:val="center"/>
                </w:tcPr>
                <w:p w14:paraId="78817E35">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1F3C3B99">
                  <w:pPr>
                    <w:pStyle w:val="3"/>
                    <w:bidi w:val="0"/>
                    <w:ind w:firstLine="0" w:firstLineChars="0"/>
                    <w:rPr>
                      <w:rFonts w:hint="default" w:ascii="Times New Roman" w:hAnsi="Times New Roman" w:cs="Times New Roman"/>
                      <w:color w:val="auto"/>
                    </w:rPr>
                  </w:pPr>
                </w:p>
              </w:tc>
              <w:tc>
                <w:tcPr>
                  <w:tcW w:w="1045" w:type="dxa"/>
                  <w:tcBorders>
                    <w:tl2br w:val="nil"/>
                    <w:tr2bl w:val="nil"/>
                  </w:tcBorders>
                  <w:vAlign w:val="center"/>
                </w:tcPr>
                <w:p w14:paraId="328952D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29.63 </w:t>
                  </w:r>
                </w:p>
              </w:tc>
            </w:tr>
            <w:tr w14:paraId="62596E5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04A5E94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CA167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23BAF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C53F92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648C38B">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0865E63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7F7D77">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1B4680F0">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3B5EA306">
                  <w:pPr>
                    <w:pStyle w:val="3"/>
                    <w:bidi w:val="0"/>
                    <w:ind w:firstLine="0" w:firstLineChars="0"/>
                    <w:rPr>
                      <w:rFonts w:hint="default" w:ascii="Times New Roman" w:hAnsi="Times New Roman" w:cs="Times New Roman"/>
                      <w:color w:val="auto"/>
                    </w:rPr>
                  </w:pPr>
                </w:p>
              </w:tc>
              <w:tc>
                <w:tcPr>
                  <w:tcW w:w="1220" w:type="dxa"/>
                  <w:tcBorders>
                    <w:tl2br w:val="nil"/>
                    <w:tr2bl w:val="nil"/>
                  </w:tcBorders>
                  <w:vAlign w:val="center"/>
                </w:tcPr>
                <w:p w14:paraId="45F4EB2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30</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6A1D71B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45.46 </w:t>
                  </w:r>
                </w:p>
              </w:tc>
              <w:tc>
                <w:tcPr>
                  <w:tcW w:w="0" w:type="auto"/>
                  <w:vMerge w:val="continue"/>
                  <w:tcBorders>
                    <w:tl2br w:val="nil"/>
                    <w:tr2bl w:val="nil"/>
                  </w:tcBorders>
                  <w:vAlign w:val="center"/>
                </w:tcPr>
                <w:p w14:paraId="00910FB8">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0CD2626D">
                  <w:pPr>
                    <w:pStyle w:val="3"/>
                    <w:bidi w:val="0"/>
                    <w:ind w:firstLine="0" w:firstLineChars="0"/>
                    <w:rPr>
                      <w:rFonts w:hint="default" w:ascii="Times New Roman" w:hAnsi="Times New Roman" w:cs="Times New Roman"/>
                      <w:color w:val="auto"/>
                    </w:rPr>
                  </w:pPr>
                </w:p>
              </w:tc>
              <w:tc>
                <w:tcPr>
                  <w:tcW w:w="1045" w:type="dxa"/>
                  <w:tcBorders>
                    <w:tl2br w:val="nil"/>
                    <w:tr2bl w:val="nil"/>
                  </w:tcBorders>
                  <w:vAlign w:val="center"/>
                </w:tcPr>
                <w:p w14:paraId="4B4BDEE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30.46 </w:t>
                  </w:r>
                </w:p>
              </w:tc>
            </w:tr>
            <w:tr w14:paraId="29B36A1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18B95AA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E1F84B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67EF5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9F3F38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22F7252">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3B0C16B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EB8B4D4">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333D5FD7">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0CFE6CBA">
                  <w:pPr>
                    <w:pStyle w:val="3"/>
                    <w:bidi w:val="0"/>
                    <w:ind w:firstLine="0" w:firstLineChars="0"/>
                    <w:rPr>
                      <w:rFonts w:hint="default" w:ascii="Times New Roman" w:hAnsi="Times New Roman" w:cs="Times New Roman"/>
                      <w:color w:val="auto"/>
                    </w:rPr>
                  </w:pPr>
                </w:p>
              </w:tc>
              <w:tc>
                <w:tcPr>
                  <w:tcW w:w="1220" w:type="dxa"/>
                  <w:tcBorders>
                    <w:tl2br w:val="nil"/>
                    <w:tr2bl w:val="nil"/>
                  </w:tcBorders>
                  <w:vAlign w:val="center"/>
                </w:tcPr>
                <w:p w14:paraId="5886536A">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r>
                    <w:rPr>
                      <w:rFonts w:hint="default" w:ascii="Times New Roman" w:hAnsi="Times New Roman" w:cs="Times New Roman"/>
                      <w:color w:val="auto"/>
                    </w:rPr>
                    <w:t>（北）</w:t>
                  </w:r>
                </w:p>
              </w:tc>
              <w:tc>
                <w:tcPr>
                  <w:tcW w:w="1255" w:type="dxa"/>
                  <w:tcBorders>
                    <w:tl2br w:val="nil"/>
                    <w:tr2bl w:val="nil"/>
                  </w:tcBorders>
                  <w:vAlign w:val="bottom"/>
                </w:tcPr>
                <w:p w14:paraId="4681430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48.98 </w:t>
                  </w:r>
                </w:p>
              </w:tc>
              <w:tc>
                <w:tcPr>
                  <w:tcW w:w="0" w:type="auto"/>
                  <w:vMerge w:val="continue"/>
                  <w:tcBorders>
                    <w:tl2br w:val="nil"/>
                    <w:tr2bl w:val="nil"/>
                  </w:tcBorders>
                  <w:vAlign w:val="center"/>
                </w:tcPr>
                <w:p w14:paraId="50C818BA">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0E86DA95">
                  <w:pPr>
                    <w:pStyle w:val="3"/>
                    <w:bidi w:val="0"/>
                    <w:ind w:firstLine="0" w:firstLineChars="0"/>
                    <w:rPr>
                      <w:rFonts w:hint="default" w:ascii="Times New Roman" w:hAnsi="Times New Roman" w:cs="Times New Roman"/>
                      <w:color w:val="auto"/>
                    </w:rPr>
                  </w:pPr>
                </w:p>
              </w:tc>
              <w:tc>
                <w:tcPr>
                  <w:tcW w:w="1045" w:type="dxa"/>
                  <w:tcBorders>
                    <w:tl2br w:val="nil"/>
                    <w:tr2bl w:val="nil"/>
                  </w:tcBorders>
                  <w:vAlign w:val="center"/>
                </w:tcPr>
                <w:p w14:paraId="6906E3F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33.98 </w:t>
                  </w:r>
                </w:p>
              </w:tc>
            </w:tr>
            <w:tr w14:paraId="7750D9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12CCDC7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7</w:t>
                  </w:r>
                </w:p>
              </w:tc>
              <w:tc>
                <w:tcPr>
                  <w:tcW w:w="0" w:type="auto"/>
                  <w:vMerge w:val="continue"/>
                  <w:tcBorders>
                    <w:tl2br w:val="nil"/>
                    <w:tr2bl w:val="nil"/>
                  </w:tcBorders>
                  <w:vAlign w:val="center"/>
                </w:tcPr>
                <w:p w14:paraId="5DA11205">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103DD1D1">
                  <w:pPr>
                    <w:pStyle w:val="3"/>
                    <w:bidi w:val="0"/>
                    <w:rPr>
                      <w:rFonts w:hint="default" w:ascii="Times New Roman" w:hAnsi="Times New Roman" w:cs="Times New Roman"/>
                      <w:color w:val="auto"/>
                    </w:rPr>
                  </w:pPr>
                  <w:r>
                    <w:rPr>
                      <w:rFonts w:hint="default" w:ascii="Times New Roman" w:hAnsi="Times New Roman" w:cs="Times New Roman"/>
                      <w:color w:val="auto"/>
                    </w:rPr>
                    <w:t>皮带输送机</w:t>
                  </w:r>
                </w:p>
              </w:tc>
              <w:tc>
                <w:tcPr>
                  <w:tcW w:w="0" w:type="auto"/>
                  <w:vMerge w:val="restart"/>
                  <w:tcBorders>
                    <w:tl2br w:val="nil"/>
                    <w:tr2bl w:val="nil"/>
                  </w:tcBorders>
                  <w:vAlign w:val="center"/>
                </w:tcPr>
                <w:p w14:paraId="218E9A31">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2000C980">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70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1080" w:type="dxa"/>
                  <w:vMerge w:val="continue"/>
                  <w:tcBorders>
                    <w:tl2br w:val="nil"/>
                    <w:tr2bl w:val="nil"/>
                  </w:tcBorders>
                  <w:vAlign w:val="center"/>
                </w:tcPr>
                <w:p w14:paraId="26F882E8">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6C1F7DC6">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41D20D1D">
                  <w:pPr>
                    <w:pStyle w:val="3"/>
                    <w:bidi w:val="0"/>
                    <w:ind w:firstLine="0" w:firstLineChars="0"/>
                    <w:rPr>
                      <w:rFonts w:hint="default" w:ascii="Times New Roman" w:hAnsi="Times New Roman" w:cs="Times New Roman"/>
                      <w:color w:val="auto"/>
                    </w:rPr>
                  </w:pPr>
                  <w:r>
                    <w:rPr>
                      <w:rFonts w:hint="eastAsia" w:ascii="Times New Roman" w:hAnsi="Times New Roman" w:eastAsia="宋体" w:cs="Times New Roman"/>
                      <w:color w:val="auto"/>
                      <w:lang w:val="en-US" w:eastAsia="zh-CN"/>
                    </w:rPr>
                    <w:t>3</w:t>
                  </w:r>
                </w:p>
              </w:tc>
              <w:tc>
                <w:tcPr>
                  <w:tcW w:w="0" w:type="auto"/>
                  <w:vMerge w:val="restart"/>
                  <w:tcBorders>
                    <w:tl2br w:val="nil"/>
                    <w:tr2bl w:val="nil"/>
                  </w:tcBorders>
                  <w:vAlign w:val="center"/>
                </w:tcPr>
                <w:p w14:paraId="33941B02">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5</w:t>
                  </w:r>
                </w:p>
              </w:tc>
              <w:tc>
                <w:tcPr>
                  <w:tcW w:w="0" w:type="auto"/>
                  <w:tcBorders>
                    <w:tl2br w:val="nil"/>
                    <w:tr2bl w:val="nil"/>
                  </w:tcBorders>
                  <w:vAlign w:val="center"/>
                </w:tcPr>
                <w:p w14:paraId="6D389BF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69</w:t>
                  </w:r>
                  <w:r>
                    <w:rPr>
                      <w:rFonts w:hint="default" w:ascii="Times New Roman" w:hAnsi="Times New Roman" w:cs="Times New Roman"/>
                      <w:color w:val="auto"/>
                    </w:rPr>
                    <w:t>（东）</w:t>
                  </w:r>
                </w:p>
              </w:tc>
              <w:tc>
                <w:tcPr>
                  <w:tcW w:w="1255" w:type="dxa"/>
                  <w:tcBorders>
                    <w:tl2br w:val="nil"/>
                    <w:tr2bl w:val="nil"/>
                  </w:tcBorders>
                  <w:vAlign w:val="bottom"/>
                </w:tcPr>
                <w:p w14:paraId="0CB4121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33.22 </w:t>
                  </w:r>
                </w:p>
              </w:tc>
              <w:tc>
                <w:tcPr>
                  <w:tcW w:w="0" w:type="auto"/>
                  <w:vMerge w:val="restart"/>
                  <w:tcBorders>
                    <w:tl2br w:val="nil"/>
                    <w:tr2bl w:val="nil"/>
                  </w:tcBorders>
                  <w:vAlign w:val="center"/>
                </w:tcPr>
                <w:p w14:paraId="673F3F7A">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30F11646">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4D211C8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18.22 </w:t>
                  </w:r>
                </w:p>
              </w:tc>
            </w:tr>
            <w:tr w14:paraId="2521B6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41D6348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CC6493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5CF00C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8C02A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1685713">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5AEEE04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CA8EB56">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4BE28DED">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7EB78D5C">
                  <w:pPr>
                    <w:pStyle w:val="3"/>
                    <w:bidi w:val="0"/>
                    <w:ind w:firstLine="0" w:firstLineChars="0"/>
                    <w:rPr>
                      <w:rFonts w:hint="default" w:ascii="Times New Roman" w:hAnsi="Times New Roman" w:cs="Times New Roman"/>
                      <w:color w:val="auto"/>
                    </w:rPr>
                  </w:pPr>
                </w:p>
              </w:tc>
              <w:tc>
                <w:tcPr>
                  <w:tcW w:w="0" w:type="auto"/>
                  <w:tcBorders>
                    <w:tl2br w:val="nil"/>
                    <w:tr2bl w:val="nil"/>
                  </w:tcBorders>
                  <w:vAlign w:val="center"/>
                </w:tcPr>
                <w:p w14:paraId="06E8A391">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39</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335D6AD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38.18 </w:t>
                  </w:r>
                </w:p>
              </w:tc>
              <w:tc>
                <w:tcPr>
                  <w:tcW w:w="0" w:type="auto"/>
                  <w:vMerge w:val="continue"/>
                  <w:tcBorders>
                    <w:tl2br w:val="nil"/>
                    <w:tr2bl w:val="nil"/>
                  </w:tcBorders>
                  <w:vAlign w:val="center"/>
                </w:tcPr>
                <w:p w14:paraId="3093023D">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673FC41D">
                  <w:pPr>
                    <w:pStyle w:val="3"/>
                    <w:bidi w:val="0"/>
                    <w:ind w:firstLine="0" w:firstLineChars="0"/>
                    <w:rPr>
                      <w:rFonts w:hint="default" w:ascii="Times New Roman" w:hAnsi="Times New Roman" w:cs="Times New Roman"/>
                      <w:color w:val="auto"/>
                    </w:rPr>
                  </w:pPr>
                </w:p>
              </w:tc>
              <w:tc>
                <w:tcPr>
                  <w:tcW w:w="1045" w:type="dxa"/>
                  <w:tcBorders>
                    <w:tl2br w:val="nil"/>
                    <w:tr2bl w:val="nil"/>
                  </w:tcBorders>
                  <w:vAlign w:val="center"/>
                </w:tcPr>
                <w:p w14:paraId="5300861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23.18 </w:t>
                  </w:r>
                </w:p>
              </w:tc>
            </w:tr>
            <w:tr w14:paraId="34ACFF9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14ED768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A7E2D9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A714AC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802C01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D9111A4">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0EFB016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4CD5ACA">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2B8809F4">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10B5B13F">
                  <w:pPr>
                    <w:pStyle w:val="3"/>
                    <w:bidi w:val="0"/>
                    <w:ind w:firstLine="0" w:firstLineChars="0"/>
                    <w:rPr>
                      <w:rFonts w:hint="default" w:ascii="Times New Roman" w:hAnsi="Times New Roman" w:cs="Times New Roman"/>
                      <w:color w:val="auto"/>
                    </w:rPr>
                  </w:pPr>
                </w:p>
              </w:tc>
              <w:tc>
                <w:tcPr>
                  <w:tcW w:w="0" w:type="auto"/>
                  <w:tcBorders>
                    <w:tl2br w:val="nil"/>
                    <w:tr2bl w:val="nil"/>
                  </w:tcBorders>
                  <w:vAlign w:val="center"/>
                </w:tcPr>
                <w:p w14:paraId="63594D4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28</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2FAD6EA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41.06 </w:t>
                  </w:r>
                </w:p>
              </w:tc>
              <w:tc>
                <w:tcPr>
                  <w:tcW w:w="0" w:type="auto"/>
                  <w:vMerge w:val="continue"/>
                  <w:tcBorders>
                    <w:tl2br w:val="nil"/>
                    <w:tr2bl w:val="nil"/>
                  </w:tcBorders>
                  <w:vAlign w:val="center"/>
                </w:tcPr>
                <w:p w14:paraId="74CDF036">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7BFE36CD">
                  <w:pPr>
                    <w:pStyle w:val="3"/>
                    <w:bidi w:val="0"/>
                    <w:ind w:firstLine="0" w:firstLineChars="0"/>
                    <w:rPr>
                      <w:rFonts w:hint="default" w:ascii="Times New Roman" w:hAnsi="Times New Roman" w:cs="Times New Roman"/>
                      <w:color w:val="auto"/>
                    </w:rPr>
                  </w:pPr>
                </w:p>
              </w:tc>
              <w:tc>
                <w:tcPr>
                  <w:tcW w:w="1045" w:type="dxa"/>
                  <w:tcBorders>
                    <w:tl2br w:val="nil"/>
                    <w:tr2bl w:val="nil"/>
                  </w:tcBorders>
                  <w:vAlign w:val="center"/>
                </w:tcPr>
                <w:p w14:paraId="6174DC2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26.06 </w:t>
                  </w:r>
                </w:p>
              </w:tc>
            </w:tr>
            <w:tr w14:paraId="161863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D33148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B266F8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A3B07E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326C34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D2EA10C">
                  <w:pPr>
                    <w:pStyle w:val="3"/>
                    <w:bidi w:val="0"/>
                    <w:rPr>
                      <w:rFonts w:hint="default" w:ascii="Times New Roman" w:hAnsi="Times New Roman" w:cs="Times New Roman"/>
                      <w:color w:val="auto"/>
                    </w:rPr>
                  </w:pPr>
                </w:p>
              </w:tc>
              <w:tc>
                <w:tcPr>
                  <w:tcW w:w="1080" w:type="dxa"/>
                  <w:vMerge w:val="continue"/>
                  <w:tcBorders>
                    <w:tl2br w:val="nil"/>
                    <w:tr2bl w:val="nil"/>
                  </w:tcBorders>
                  <w:vAlign w:val="center"/>
                </w:tcPr>
                <w:p w14:paraId="23F1324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86B6E9D">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6781F0EF">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5F2FA28B">
                  <w:pPr>
                    <w:pStyle w:val="3"/>
                    <w:bidi w:val="0"/>
                    <w:ind w:firstLine="0" w:firstLineChars="0"/>
                    <w:rPr>
                      <w:rFonts w:hint="default" w:ascii="Times New Roman" w:hAnsi="Times New Roman" w:cs="Times New Roman"/>
                      <w:color w:val="auto"/>
                    </w:rPr>
                  </w:pPr>
                </w:p>
              </w:tc>
              <w:tc>
                <w:tcPr>
                  <w:tcW w:w="0" w:type="auto"/>
                  <w:tcBorders>
                    <w:tl2br w:val="nil"/>
                    <w:tr2bl w:val="nil"/>
                  </w:tcBorders>
                  <w:vAlign w:val="center"/>
                </w:tcPr>
                <w:p w14:paraId="665E12AE">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22</w:t>
                  </w:r>
                  <w:r>
                    <w:rPr>
                      <w:rFonts w:hint="default" w:ascii="Times New Roman" w:hAnsi="Times New Roman" w:cs="Times New Roman"/>
                      <w:color w:val="auto"/>
                    </w:rPr>
                    <w:t>（北）</w:t>
                  </w:r>
                </w:p>
              </w:tc>
              <w:tc>
                <w:tcPr>
                  <w:tcW w:w="1255" w:type="dxa"/>
                  <w:tcBorders>
                    <w:tl2br w:val="nil"/>
                    <w:tr2bl w:val="nil"/>
                  </w:tcBorders>
                  <w:vAlign w:val="bottom"/>
                </w:tcPr>
                <w:p w14:paraId="307AE15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43.15 </w:t>
                  </w:r>
                </w:p>
              </w:tc>
              <w:tc>
                <w:tcPr>
                  <w:tcW w:w="0" w:type="auto"/>
                  <w:vMerge w:val="continue"/>
                  <w:tcBorders>
                    <w:tl2br w:val="nil"/>
                    <w:tr2bl w:val="nil"/>
                  </w:tcBorders>
                  <w:vAlign w:val="center"/>
                </w:tcPr>
                <w:p w14:paraId="06B12448">
                  <w:pPr>
                    <w:pStyle w:val="3"/>
                    <w:bidi w:val="0"/>
                    <w:ind w:firstLine="0" w:firstLineChars="0"/>
                    <w:rPr>
                      <w:rFonts w:hint="default" w:ascii="Times New Roman" w:hAnsi="Times New Roman" w:cs="Times New Roman"/>
                      <w:color w:val="auto"/>
                    </w:rPr>
                  </w:pPr>
                </w:p>
              </w:tc>
              <w:tc>
                <w:tcPr>
                  <w:tcW w:w="0" w:type="auto"/>
                  <w:vMerge w:val="continue"/>
                  <w:tcBorders>
                    <w:tl2br w:val="nil"/>
                    <w:tr2bl w:val="nil"/>
                  </w:tcBorders>
                  <w:vAlign w:val="center"/>
                </w:tcPr>
                <w:p w14:paraId="48216FB2">
                  <w:pPr>
                    <w:pStyle w:val="3"/>
                    <w:bidi w:val="0"/>
                    <w:ind w:firstLine="0" w:firstLineChars="0"/>
                    <w:rPr>
                      <w:rFonts w:hint="default" w:ascii="Times New Roman" w:hAnsi="Times New Roman" w:cs="Times New Roman"/>
                      <w:color w:val="auto"/>
                    </w:rPr>
                  </w:pPr>
                </w:p>
              </w:tc>
              <w:tc>
                <w:tcPr>
                  <w:tcW w:w="1045" w:type="dxa"/>
                  <w:tcBorders>
                    <w:tl2br w:val="nil"/>
                    <w:tr2bl w:val="nil"/>
                  </w:tcBorders>
                  <w:vAlign w:val="center"/>
                </w:tcPr>
                <w:p w14:paraId="3E99B4C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28.15 </w:t>
                  </w:r>
                </w:p>
              </w:tc>
            </w:tr>
            <w:tr w14:paraId="72AA1D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0" w:type="auto"/>
                  <w:vMerge w:val="restart"/>
                  <w:tcBorders>
                    <w:tl2br w:val="nil"/>
                    <w:tr2bl w:val="nil"/>
                  </w:tcBorders>
                  <w:vAlign w:val="center"/>
                </w:tcPr>
                <w:p w14:paraId="1DF7999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8</w:t>
                  </w:r>
                </w:p>
              </w:tc>
              <w:tc>
                <w:tcPr>
                  <w:tcW w:w="793" w:type="dxa"/>
                  <w:vMerge w:val="restart"/>
                  <w:tcBorders>
                    <w:tl2br w:val="nil"/>
                    <w:tr2bl w:val="nil"/>
                  </w:tcBorders>
                  <w:vAlign w:val="center"/>
                </w:tcPr>
                <w:p w14:paraId="328A7981">
                  <w:pPr>
                    <w:pStyle w:val="3"/>
                    <w:bidi w:val="0"/>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精炼车间</w:t>
                  </w:r>
                </w:p>
              </w:tc>
              <w:tc>
                <w:tcPr>
                  <w:tcW w:w="0" w:type="auto"/>
                  <w:vMerge w:val="restart"/>
                  <w:tcBorders>
                    <w:tl2br w:val="nil"/>
                    <w:tr2bl w:val="nil"/>
                  </w:tcBorders>
                  <w:vAlign w:val="center"/>
                </w:tcPr>
                <w:p w14:paraId="05092C3C">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离心机</w:t>
                  </w:r>
                </w:p>
              </w:tc>
              <w:tc>
                <w:tcPr>
                  <w:tcW w:w="0" w:type="auto"/>
                  <w:vMerge w:val="restart"/>
                  <w:tcBorders>
                    <w:tl2br w:val="nil"/>
                    <w:tr2bl w:val="nil"/>
                  </w:tcBorders>
                  <w:vAlign w:val="center"/>
                </w:tcPr>
                <w:p w14:paraId="4032D32F">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74FAB5E6">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75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restart"/>
                  <w:tcBorders>
                    <w:tl2br w:val="nil"/>
                    <w:tr2bl w:val="nil"/>
                  </w:tcBorders>
                  <w:vAlign w:val="center"/>
                </w:tcPr>
                <w:p w14:paraId="49F541B8">
                  <w:pPr>
                    <w:pStyle w:val="3"/>
                    <w:bidi w:val="0"/>
                    <w:rPr>
                      <w:rFonts w:hint="default" w:ascii="Times New Roman" w:hAnsi="Times New Roman" w:cs="Times New Roman"/>
                      <w:color w:val="auto"/>
                    </w:rPr>
                  </w:pPr>
                  <w:r>
                    <w:rPr>
                      <w:rFonts w:hint="default" w:ascii="Times New Roman" w:hAnsi="Times New Roman" w:cs="Times New Roman"/>
                      <w:color w:val="auto"/>
                    </w:rPr>
                    <w:t>建筑隔声</w:t>
                  </w:r>
                </w:p>
              </w:tc>
              <w:tc>
                <w:tcPr>
                  <w:tcW w:w="0" w:type="auto"/>
                  <w:vMerge w:val="restart"/>
                  <w:tcBorders>
                    <w:tl2br w:val="nil"/>
                    <w:tr2bl w:val="nil"/>
                  </w:tcBorders>
                  <w:vAlign w:val="center"/>
                </w:tcPr>
                <w:p w14:paraId="36E2B692">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0" w:type="auto"/>
                  <w:vMerge w:val="restart"/>
                  <w:tcBorders>
                    <w:tl2br w:val="nil"/>
                    <w:tr2bl w:val="nil"/>
                  </w:tcBorders>
                  <w:vAlign w:val="center"/>
                </w:tcPr>
                <w:p w14:paraId="26199F43">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0" w:type="auto"/>
                  <w:vMerge w:val="restart"/>
                  <w:tcBorders>
                    <w:tl2br w:val="nil"/>
                    <w:tr2bl w:val="nil"/>
                  </w:tcBorders>
                  <w:vAlign w:val="center"/>
                </w:tcPr>
                <w:p w14:paraId="641F15BA">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0" w:type="auto"/>
                  <w:tcBorders>
                    <w:tl2br w:val="nil"/>
                    <w:tr2bl w:val="nil"/>
                  </w:tcBorders>
                  <w:vAlign w:val="center"/>
                </w:tcPr>
                <w:p w14:paraId="4EA868D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（东）</w:t>
                  </w:r>
                </w:p>
              </w:tc>
              <w:tc>
                <w:tcPr>
                  <w:tcW w:w="1255" w:type="dxa"/>
                  <w:tcBorders>
                    <w:tl2br w:val="nil"/>
                    <w:tr2bl w:val="nil"/>
                  </w:tcBorders>
                  <w:vAlign w:val="bottom"/>
                </w:tcPr>
                <w:p w14:paraId="347282C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61.02 </w:t>
                  </w:r>
                </w:p>
              </w:tc>
              <w:tc>
                <w:tcPr>
                  <w:tcW w:w="0" w:type="auto"/>
                  <w:vMerge w:val="restart"/>
                  <w:tcBorders>
                    <w:tl2br w:val="nil"/>
                    <w:tr2bl w:val="nil"/>
                  </w:tcBorders>
                  <w:vAlign w:val="center"/>
                </w:tcPr>
                <w:p w14:paraId="656C73E1">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0A66D632">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151B971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46.02 </w:t>
                  </w:r>
                </w:p>
              </w:tc>
            </w:tr>
            <w:tr w14:paraId="6A0ECA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69F7060D">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506FF4D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F677C0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BE496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FEB698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58DF64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C12EA9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2D3FEE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B77CA3E">
                  <w:pPr>
                    <w:pStyle w:val="3"/>
                    <w:bidi w:val="0"/>
                    <w:rPr>
                      <w:rFonts w:hint="default" w:ascii="Times New Roman" w:hAnsi="Times New Roman" w:cs="Times New Roman"/>
                      <w:color w:val="auto"/>
                    </w:rPr>
                  </w:pPr>
                </w:p>
              </w:tc>
              <w:tc>
                <w:tcPr>
                  <w:tcW w:w="0" w:type="auto"/>
                  <w:tcBorders>
                    <w:tl2br w:val="nil"/>
                    <w:tr2bl w:val="nil"/>
                  </w:tcBorders>
                  <w:vAlign w:val="center"/>
                </w:tcPr>
                <w:p w14:paraId="38FBDA4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51EEC7B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49.42 </w:t>
                  </w:r>
                </w:p>
              </w:tc>
              <w:tc>
                <w:tcPr>
                  <w:tcW w:w="0" w:type="auto"/>
                  <w:vMerge w:val="continue"/>
                  <w:tcBorders>
                    <w:tl2br w:val="nil"/>
                    <w:tr2bl w:val="nil"/>
                  </w:tcBorders>
                  <w:vAlign w:val="center"/>
                </w:tcPr>
                <w:p w14:paraId="71545FF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B27BEEA">
                  <w:pPr>
                    <w:pStyle w:val="3"/>
                    <w:bidi w:val="0"/>
                    <w:rPr>
                      <w:rFonts w:hint="default" w:ascii="Times New Roman" w:hAnsi="Times New Roman" w:cs="Times New Roman"/>
                      <w:color w:val="auto"/>
                    </w:rPr>
                  </w:pPr>
                </w:p>
              </w:tc>
              <w:tc>
                <w:tcPr>
                  <w:tcW w:w="1045" w:type="dxa"/>
                  <w:tcBorders>
                    <w:tl2br w:val="nil"/>
                    <w:tr2bl w:val="nil"/>
                  </w:tcBorders>
                  <w:vAlign w:val="center"/>
                </w:tcPr>
                <w:p w14:paraId="703EACD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34.42 </w:t>
                  </w:r>
                </w:p>
              </w:tc>
            </w:tr>
            <w:tr w14:paraId="68956A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8DA2ABD">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676A374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D98895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62D46F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F87E7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B242F1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3608CB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5740E9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C27434A">
                  <w:pPr>
                    <w:pStyle w:val="3"/>
                    <w:bidi w:val="0"/>
                    <w:rPr>
                      <w:rFonts w:hint="default" w:ascii="Times New Roman" w:hAnsi="Times New Roman" w:cs="Times New Roman"/>
                      <w:color w:val="auto"/>
                    </w:rPr>
                  </w:pPr>
                </w:p>
              </w:tc>
              <w:tc>
                <w:tcPr>
                  <w:tcW w:w="0" w:type="auto"/>
                  <w:tcBorders>
                    <w:tl2br w:val="nil"/>
                    <w:tr2bl w:val="nil"/>
                  </w:tcBorders>
                  <w:vAlign w:val="center"/>
                </w:tcPr>
                <w:p w14:paraId="097E90E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1723711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48.98 </w:t>
                  </w:r>
                </w:p>
              </w:tc>
              <w:tc>
                <w:tcPr>
                  <w:tcW w:w="0" w:type="auto"/>
                  <w:vMerge w:val="continue"/>
                  <w:tcBorders>
                    <w:tl2br w:val="nil"/>
                    <w:tr2bl w:val="nil"/>
                  </w:tcBorders>
                  <w:vAlign w:val="center"/>
                </w:tcPr>
                <w:p w14:paraId="6649DE0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2EF4864">
                  <w:pPr>
                    <w:pStyle w:val="3"/>
                    <w:bidi w:val="0"/>
                    <w:rPr>
                      <w:rFonts w:hint="default" w:ascii="Times New Roman" w:hAnsi="Times New Roman" w:cs="Times New Roman"/>
                      <w:color w:val="auto"/>
                    </w:rPr>
                  </w:pPr>
                </w:p>
              </w:tc>
              <w:tc>
                <w:tcPr>
                  <w:tcW w:w="1045" w:type="dxa"/>
                  <w:tcBorders>
                    <w:tl2br w:val="nil"/>
                    <w:tr2bl w:val="nil"/>
                  </w:tcBorders>
                  <w:vAlign w:val="center"/>
                </w:tcPr>
                <w:p w14:paraId="49D8404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33.98 </w:t>
                  </w:r>
                </w:p>
              </w:tc>
            </w:tr>
            <w:tr w14:paraId="5B086BB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C52601F">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6EDD4BC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1CDBF7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692F22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5EB39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71C67E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407268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B24985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96372A4">
                  <w:pPr>
                    <w:pStyle w:val="3"/>
                    <w:bidi w:val="0"/>
                    <w:rPr>
                      <w:rFonts w:hint="default" w:ascii="Times New Roman" w:hAnsi="Times New Roman" w:cs="Times New Roman"/>
                      <w:color w:val="auto"/>
                    </w:rPr>
                  </w:pPr>
                </w:p>
              </w:tc>
              <w:tc>
                <w:tcPr>
                  <w:tcW w:w="0" w:type="auto"/>
                  <w:tcBorders>
                    <w:tl2br w:val="nil"/>
                    <w:tr2bl w:val="nil"/>
                  </w:tcBorders>
                  <w:vAlign w:val="center"/>
                </w:tcPr>
                <w:p w14:paraId="21CDEBC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w:t>
                  </w:r>
                  <w:r>
                    <w:rPr>
                      <w:rFonts w:hint="default" w:ascii="Times New Roman" w:hAnsi="Times New Roman" w:cs="Times New Roman"/>
                      <w:color w:val="auto"/>
                    </w:rPr>
                    <w:t>（北）</w:t>
                  </w:r>
                </w:p>
              </w:tc>
              <w:tc>
                <w:tcPr>
                  <w:tcW w:w="1255" w:type="dxa"/>
                  <w:tcBorders>
                    <w:tl2br w:val="nil"/>
                    <w:tr2bl w:val="nil"/>
                  </w:tcBorders>
                  <w:vAlign w:val="bottom"/>
                </w:tcPr>
                <w:p w14:paraId="63886EB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52.08 </w:t>
                  </w:r>
                </w:p>
              </w:tc>
              <w:tc>
                <w:tcPr>
                  <w:tcW w:w="0" w:type="auto"/>
                  <w:vMerge w:val="continue"/>
                  <w:tcBorders>
                    <w:tl2br w:val="nil"/>
                    <w:tr2bl w:val="nil"/>
                  </w:tcBorders>
                  <w:vAlign w:val="center"/>
                </w:tcPr>
                <w:p w14:paraId="397E958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FA38A2D">
                  <w:pPr>
                    <w:pStyle w:val="3"/>
                    <w:bidi w:val="0"/>
                    <w:rPr>
                      <w:rFonts w:hint="default" w:ascii="Times New Roman" w:hAnsi="Times New Roman" w:cs="Times New Roman"/>
                      <w:color w:val="auto"/>
                    </w:rPr>
                  </w:pPr>
                </w:p>
              </w:tc>
              <w:tc>
                <w:tcPr>
                  <w:tcW w:w="1045" w:type="dxa"/>
                  <w:tcBorders>
                    <w:tl2br w:val="nil"/>
                    <w:tr2bl w:val="nil"/>
                  </w:tcBorders>
                  <w:vAlign w:val="center"/>
                </w:tcPr>
                <w:p w14:paraId="56BB766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37.08 </w:t>
                  </w:r>
                </w:p>
              </w:tc>
            </w:tr>
            <w:tr w14:paraId="703DB2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0D5FA911">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9</w:t>
                  </w:r>
                </w:p>
              </w:tc>
              <w:tc>
                <w:tcPr>
                  <w:tcW w:w="793" w:type="dxa"/>
                  <w:vMerge w:val="continue"/>
                  <w:tcBorders>
                    <w:tl2br w:val="nil"/>
                    <w:tr2bl w:val="nil"/>
                  </w:tcBorders>
                  <w:vAlign w:val="center"/>
                </w:tcPr>
                <w:p w14:paraId="76FD949E">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41DC9AF">
                  <w:pPr>
                    <w:pStyle w:val="3"/>
                    <w:bidi w:val="0"/>
                    <w:rPr>
                      <w:rFonts w:hint="default" w:ascii="Times New Roman" w:hAnsi="Times New Roman" w:cs="Times New Roman"/>
                      <w:color w:val="auto"/>
                    </w:rPr>
                  </w:pPr>
                  <w:r>
                    <w:rPr>
                      <w:rFonts w:hint="default" w:ascii="Times New Roman" w:hAnsi="Times New Roman" w:cs="Times New Roman"/>
                      <w:color w:val="auto"/>
                    </w:rPr>
                    <w:t>磷脂调质泵</w:t>
                  </w:r>
                </w:p>
              </w:tc>
              <w:tc>
                <w:tcPr>
                  <w:tcW w:w="0" w:type="auto"/>
                  <w:vMerge w:val="restart"/>
                  <w:tcBorders>
                    <w:tl2br w:val="nil"/>
                    <w:tr2bl w:val="nil"/>
                  </w:tcBorders>
                  <w:vAlign w:val="center"/>
                </w:tcPr>
                <w:p w14:paraId="1C69A835">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286E4CE0">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7B9C6E25">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4DDFB88">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0" w:type="auto"/>
                  <w:vMerge w:val="restart"/>
                  <w:tcBorders>
                    <w:tl2br w:val="nil"/>
                    <w:tr2bl w:val="nil"/>
                  </w:tcBorders>
                  <w:vAlign w:val="center"/>
                </w:tcPr>
                <w:p w14:paraId="3A1CA568">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p>
              </w:tc>
              <w:tc>
                <w:tcPr>
                  <w:tcW w:w="0" w:type="auto"/>
                  <w:vMerge w:val="restart"/>
                  <w:tcBorders>
                    <w:tl2br w:val="nil"/>
                    <w:tr2bl w:val="nil"/>
                  </w:tcBorders>
                  <w:vAlign w:val="center"/>
                </w:tcPr>
                <w:p w14:paraId="357BF7CF">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0.5</w:t>
                  </w:r>
                </w:p>
              </w:tc>
              <w:tc>
                <w:tcPr>
                  <w:tcW w:w="0" w:type="auto"/>
                  <w:tcBorders>
                    <w:tl2br w:val="nil"/>
                    <w:tr2bl w:val="nil"/>
                  </w:tcBorders>
                  <w:vAlign w:val="center"/>
                </w:tcPr>
                <w:p w14:paraId="7139ECF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r>
                    <w:rPr>
                      <w:rFonts w:hint="default" w:ascii="Times New Roman" w:hAnsi="Times New Roman" w:cs="Times New Roman"/>
                      <w:color w:val="auto"/>
                    </w:rPr>
                    <w:t>（东）</w:t>
                  </w:r>
                </w:p>
              </w:tc>
              <w:tc>
                <w:tcPr>
                  <w:tcW w:w="1255" w:type="dxa"/>
                  <w:tcBorders>
                    <w:tl2br w:val="nil"/>
                    <w:tr2bl w:val="nil"/>
                  </w:tcBorders>
                  <w:vAlign w:val="bottom"/>
                </w:tcPr>
                <w:p w14:paraId="4A47837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57.96 </w:t>
                  </w:r>
                </w:p>
              </w:tc>
              <w:tc>
                <w:tcPr>
                  <w:tcW w:w="0" w:type="auto"/>
                  <w:vMerge w:val="restart"/>
                  <w:tcBorders>
                    <w:tl2br w:val="nil"/>
                    <w:tr2bl w:val="nil"/>
                  </w:tcBorders>
                  <w:vAlign w:val="center"/>
                </w:tcPr>
                <w:p w14:paraId="1960C479">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5E3BC330">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228CFF7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42.96 </w:t>
                  </w:r>
                </w:p>
              </w:tc>
            </w:tr>
            <w:tr w14:paraId="42907E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10D87731">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50F5836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792BF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000528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8D8BF9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469BBC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E9C820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F00768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5D269FA">
                  <w:pPr>
                    <w:pStyle w:val="3"/>
                    <w:bidi w:val="0"/>
                    <w:rPr>
                      <w:rFonts w:hint="default" w:ascii="Times New Roman" w:hAnsi="Times New Roman" w:cs="Times New Roman"/>
                      <w:color w:val="auto"/>
                    </w:rPr>
                  </w:pPr>
                </w:p>
              </w:tc>
              <w:tc>
                <w:tcPr>
                  <w:tcW w:w="0" w:type="auto"/>
                  <w:tcBorders>
                    <w:tl2br w:val="nil"/>
                    <w:tr2bl w:val="nil"/>
                  </w:tcBorders>
                  <w:vAlign w:val="center"/>
                </w:tcPr>
                <w:p w14:paraId="37503E05">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04E2005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43.98 </w:t>
                  </w:r>
                </w:p>
              </w:tc>
              <w:tc>
                <w:tcPr>
                  <w:tcW w:w="0" w:type="auto"/>
                  <w:vMerge w:val="continue"/>
                  <w:tcBorders>
                    <w:tl2br w:val="nil"/>
                    <w:tr2bl w:val="nil"/>
                  </w:tcBorders>
                  <w:vAlign w:val="center"/>
                </w:tcPr>
                <w:p w14:paraId="64E3007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F03CC41">
                  <w:pPr>
                    <w:pStyle w:val="3"/>
                    <w:bidi w:val="0"/>
                    <w:rPr>
                      <w:rFonts w:hint="default" w:ascii="Times New Roman" w:hAnsi="Times New Roman" w:cs="Times New Roman"/>
                      <w:color w:val="auto"/>
                    </w:rPr>
                  </w:pPr>
                </w:p>
              </w:tc>
              <w:tc>
                <w:tcPr>
                  <w:tcW w:w="1045" w:type="dxa"/>
                  <w:tcBorders>
                    <w:tl2br w:val="nil"/>
                    <w:tr2bl w:val="nil"/>
                  </w:tcBorders>
                  <w:vAlign w:val="center"/>
                </w:tcPr>
                <w:p w14:paraId="1607DF6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28.98 </w:t>
                  </w:r>
                </w:p>
              </w:tc>
            </w:tr>
            <w:tr w14:paraId="1BF009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6A8C6953">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7D03B0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E253C6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5D67A2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C6040F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6053F1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F97379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8C42EE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43293A4">
                  <w:pPr>
                    <w:pStyle w:val="3"/>
                    <w:bidi w:val="0"/>
                    <w:rPr>
                      <w:rFonts w:hint="default" w:ascii="Times New Roman" w:hAnsi="Times New Roman" w:cs="Times New Roman"/>
                      <w:color w:val="auto"/>
                    </w:rPr>
                  </w:pPr>
                </w:p>
              </w:tc>
              <w:tc>
                <w:tcPr>
                  <w:tcW w:w="0" w:type="auto"/>
                  <w:tcBorders>
                    <w:tl2br w:val="nil"/>
                    <w:tr2bl w:val="nil"/>
                  </w:tcBorders>
                  <w:vAlign w:val="center"/>
                </w:tcPr>
                <w:p w14:paraId="03A9DD6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21</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3570784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43.56 </w:t>
                  </w:r>
                </w:p>
              </w:tc>
              <w:tc>
                <w:tcPr>
                  <w:tcW w:w="0" w:type="auto"/>
                  <w:vMerge w:val="continue"/>
                  <w:tcBorders>
                    <w:tl2br w:val="nil"/>
                    <w:tr2bl w:val="nil"/>
                  </w:tcBorders>
                  <w:vAlign w:val="center"/>
                </w:tcPr>
                <w:p w14:paraId="67E4630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2B49B08">
                  <w:pPr>
                    <w:pStyle w:val="3"/>
                    <w:bidi w:val="0"/>
                    <w:rPr>
                      <w:rFonts w:hint="default" w:ascii="Times New Roman" w:hAnsi="Times New Roman" w:cs="Times New Roman"/>
                      <w:color w:val="auto"/>
                    </w:rPr>
                  </w:pPr>
                </w:p>
              </w:tc>
              <w:tc>
                <w:tcPr>
                  <w:tcW w:w="1045" w:type="dxa"/>
                  <w:tcBorders>
                    <w:tl2br w:val="nil"/>
                    <w:tr2bl w:val="nil"/>
                  </w:tcBorders>
                  <w:vAlign w:val="center"/>
                </w:tcPr>
                <w:p w14:paraId="272ED83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28.56 </w:t>
                  </w:r>
                </w:p>
              </w:tc>
            </w:tr>
            <w:tr w14:paraId="6C9FA37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6E0A699">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32BD08A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872E6B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465DD6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A0EF74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471B5F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A8A6B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385E72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EC5235E">
                  <w:pPr>
                    <w:pStyle w:val="3"/>
                    <w:bidi w:val="0"/>
                    <w:rPr>
                      <w:rFonts w:hint="default" w:ascii="Times New Roman" w:hAnsi="Times New Roman" w:cs="Times New Roman"/>
                      <w:color w:val="auto"/>
                    </w:rPr>
                  </w:pPr>
                </w:p>
              </w:tc>
              <w:tc>
                <w:tcPr>
                  <w:tcW w:w="0" w:type="auto"/>
                  <w:tcBorders>
                    <w:tl2br w:val="nil"/>
                    <w:tr2bl w:val="nil"/>
                  </w:tcBorders>
                  <w:vAlign w:val="center"/>
                </w:tcPr>
                <w:p w14:paraId="2C8EE267">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w:t>
                  </w:r>
                  <w:r>
                    <w:rPr>
                      <w:rFonts w:hint="default" w:ascii="Times New Roman" w:hAnsi="Times New Roman" w:cs="Times New Roman"/>
                      <w:color w:val="auto"/>
                    </w:rPr>
                    <w:t>（北）</w:t>
                  </w:r>
                </w:p>
              </w:tc>
              <w:tc>
                <w:tcPr>
                  <w:tcW w:w="1255" w:type="dxa"/>
                  <w:tcBorders>
                    <w:tl2br w:val="nil"/>
                    <w:tr2bl w:val="nil"/>
                  </w:tcBorders>
                  <w:vAlign w:val="bottom"/>
                </w:tcPr>
                <w:p w14:paraId="660F203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47.72 </w:t>
                  </w:r>
                </w:p>
              </w:tc>
              <w:tc>
                <w:tcPr>
                  <w:tcW w:w="0" w:type="auto"/>
                  <w:vMerge w:val="continue"/>
                  <w:tcBorders>
                    <w:tl2br w:val="nil"/>
                    <w:tr2bl w:val="nil"/>
                  </w:tcBorders>
                  <w:vAlign w:val="center"/>
                </w:tcPr>
                <w:p w14:paraId="3F5071D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B1A2959">
                  <w:pPr>
                    <w:pStyle w:val="3"/>
                    <w:bidi w:val="0"/>
                    <w:rPr>
                      <w:rFonts w:hint="default" w:ascii="Times New Roman" w:hAnsi="Times New Roman" w:cs="Times New Roman"/>
                      <w:color w:val="auto"/>
                    </w:rPr>
                  </w:pPr>
                </w:p>
              </w:tc>
              <w:tc>
                <w:tcPr>
                  <w:tcW w:w="1045" w:type="dxa"/>
                  <w:tcBorders>
                    <w:tl2br w:val="nil"/>
                    <w:tr2bl w:val="nil"/>
                  </w:tcBorders>
                  <w:vAlign w:val="center"/>
                </w:tcPr>
                <w:p w14:paraId="5D83B8F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32.72 </w:t>
                  </w:r>
                </w:p>
              </w:tc>
            </w:tr>
            <w:tr w14:paraId="1A8305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66F55A48">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10</w:t>
                  </w:r>
                </w:p>
              </w:tc>
              <w:tc>
                <w:tcPr>
                  <w:tcW w:w="793" w:type="dxa"/>
                  <w:vMerge w:val="continue"/>
                  <w:tcBorders>
                    <w:tl2br w:val="nil"/>
                    <w:tr2bl w:val="nil"/>
                  </w:tcBorders>
                  <w:vAlign w:val="center"/>
                </w:tcPr>
                <w:p w14:paraId="0AFD7F10">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BAFF81E">
                  <w:pPr>
                    <w:pStyle w:val="3"/>
                    <w:bidi w:val="0"/>
                    <w:rPr>
                      <w:rFonts w:hint="default" w:ascii="Times New Roman" w:hAnsi="Times New Roman" w:cs="Times New Roman"/>
                      <w:color w:val="auto"/>
                    </w:rPr>
                  </w:pPr>
                  <w:r>
                    <w:rPr>
                      <w:rFonts w:hint="default" w:ascii="Times New Roman" w:hAnsi="Times New Roman" w:cs="Times New Roman"/>
                      <w:color w:val="auto"/>
                    </w:rPr>
                    <w:t>薄膜蒸发器</w:t>
                  </w:r>
                </w:p>
              </w:tc>
              <w:tc>
                <w:tcPr>
                  <w:tcW w:w="0" w:type="auto"/>
                  <w:vMerge w:val="restart"/>
                  <w:tcBorders>
                    <w:tl2br w:val="nil"/>
                    <w:tr2bl w:val="nil"/>
                  </w:tcBorders>
                  <w:vAlign w:val="center"/>
                </w:tcPr>
                <w:p w14:paraId="7FA1F993">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7D6CF4F9">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65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02950005">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10FB6719">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3AF43CC8">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5A96D0EE">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3.5</w:t>
                  </w:r>
                </w:p>
              </w:tc>
              <w:tc>
                <w:tcPr>
                  <w:tcW w:w="0" w:type="auto"/>
                  <w:tcBorders>
                    <w:tl2br w:val="nil"/>
                    <w:tr2bl w:val="nil"/>
                  </w:tcBorders>
                  <w:vAlign w:val="center"/>
                </w:tcPr>
                <w:p w14:paraId="611325E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（东）</w:t>
                  </w:r>
                </w:p>
              </w:tc>
              <w:tc>
                <w:tcPr>
                  <w:tcW w:w="1255" w:type="dxa"/>
                  <w:tcBorders>
                    <w:tl2br w:val="nil"/>
                    <w:tr2bl w:val="nil"/>
                  </w:tcBorders>
                  <w:vAlign w:val="bottom"/>
                </w:tcPr>
                <w:p w14:paraId="5FEF3CE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49.44 </w:t>
                  </w:r>
                </w:p>
              </w:tc>
              <w:tc>
                <w:tcPr>
                  <w:tcW w:w="0" w:type="auto"/>
                  <w:vMerge w:val="restart"/>
                  <w:tcBorders>
                    <w:tl2br w:val="nil"/>
                    <w:tr2bl w:val="nil"/>
                  </w:tcBorders>
                  <w:vAlign w:val="center"/>
                </w:tcPr>
                <w:p w14:paraId="7DCFBEE1">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4E2792EA">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0D69A9D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34.44 </w:t>
                  </w:r>
                </w:p>
              </w:tc>
            </w:tr>
            <w:tr w14:paraId="523945D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8933049">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6F2B2D4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0369E5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E2062E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BE7B2B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E54C70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3382C2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9BF5C7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38322B7">
                  <w:pPr>
                    <w:pStyle w:val="3"/>
                    <w:bidi w:val="0"/>
                    <w:rPr>
                      <w:rFonts w:hint="default" w:ascii="Times New Roman" w:hAnsi="Times New Roman" w:cs="Times New Roman"/>
                      <w:color w:val="auto"/>
                    </w:rPr>
                  </w:pPr>
                </w:p>
              </w:tc>
              <w:tc>
                <w:tcPr>
                  <w:tcW w:w="0" w:type="auto"/>
                  <w:tcBorders>
                    <w:tl2br w:val="nil"/>
                    <w:tr2bl w:val="nil"/>
                  </w:tcBorders>
                  <w:vAlign w:val="center"/>
                </w:tcPr>
                <w:p w14:paraId="7C467B9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0661A05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39.89 </w:t>
                  </w:r>
                </w:p>
              </w:tc>
              <w:tc>
                <w:tcPr>
                  <w:tcW w:w="0" w:type="auto"/>
                  <w:vMerge w:val="continue"/>
                  <w:tcBorders>
                    <w:tl2br w:val="nil"/>
                    <w:tr2bl w:val="nil"/>
                  </w:tcBorders>
                  <w:vAlign w:val="center"/>
                </w:tcPr>
                <w:p w14:paraId="46C377D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16DCBA6">
                  <w:pPr>
                    <w:pStyle w:val="3"/>
                    <w:bidi w:val="0"/>
                    <w:rPr>
                      <w:rFonts w:hint="default" w:ascii="Times New Roman" w:hAnsi="Times New Roman" w:cs="Times New Roman"/>
                      <w:color w:val="auto"/>
                    </w:rPr>
                  </w:pPr>
                </w:p>
              </w:tc>
              <w:tc>
                <w:tcPr>
                  <w:tcW w:w="1045" w:type="dxa"/>
                  <w:tcBorders>
                    <w:tl2br w:val="nil"/>
                    <w:tr2bl w:val="nil"/>
                  </w:tcBorders>
                  <w:vAlign w:val="center"/>
                </w:tcPr>
                <w:p w14:paraId="284D41B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24.89 </w:t>
                  </w:r>
                </w:p>
              </w:tc>
            </w:tr>
            <w:tr w14:paraId="0E7B867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0A83B87">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804DA0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888D3D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771125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7EBBF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1CCE8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46C537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0E7E54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F98FD70">
                  <w:pPr>
                    <w:pStyle w:val="3"/>
                    <w:bidi w:val="0"/>
                    <w:rPr>
                      <w:rFonts w:hint="default" w:ascii="Times New Roman" w:hAnsi="Times New Roman" w:cs="Times New Roman"/>
                      <w:color w:val="auto"/>
                    </w:rPr>
                  </w:pPr>
                </w:p>
              </w:tc>
              <w:tc>
                <w:tcPr>
                  <w:tcW w:w="1220" w:type="dxa"/>
                  <w:tcBorders>
                    <w:tl2br w:val="nil"/>
                    <w:tr2bl w:val="nil"/>
                  </w:tcBorders>
                  <w:vAlign w:val="center"/>
                </w:tcPr>
                <w:p w14:paraId="032AD65E">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22</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6FF0F53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52.13 </w:t>
                  </w:r>
                </w:p>
              </w:tc>
              <w:tc>
                <w:tcPr>
                  <w:tcW w:w="0" w:type="auto"/>
                  <w:vMerge w:val="continue"/>
                  <w:tcBorders>
                    <w:tl2br w:val="nil"/>
                    <w:tr2bl w:val="nil"/>
                  </w:tcBorders>
                  <w:vAlign w:val="center"/>
                </w:tcPr>
                <w:p w14:paraId="114CE3E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3148980">
                  <w:pPr>
                    <w:pStyle w:val="3"/>
                    <w:bidi w:val="0"/>
                    <w:rPr>
                      <w:rFonts w:hint="default" w:ascii="Times New Roman" w:hAnsi="Times New Roman" w:cs="Times New Roman"/>
                      <w:color w:val="auto"/>
                    </w:rPr>
                  </w:pPr>
                </w:p>
              </w:tc>
              <w:tc>
                <w:tcPr>
                  <w:tcW w:w="1045" w:type="dxa"/>
                  <w:tcBorders>
                    <w:tl2br w:val="nil"/>
                    <w:tr2bl w:val="nil"/>
                  </w:tcBorders>
                  <w:vAlign w:val="center"/>
                </w:tcPr>
                <w:p w14:paraId="048C899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37.13 </w:t>
                  </w:r>
                </w:p>
              </w:tc>
            </w:tr>
            <w:tr w14:paraId="7A222C5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Merge w:val="continue"/>
                  <w:tcBorders>
                    <w:tl2br w:val="nil"/>
                    <w:tr2bl w:val="nil"/>
                  </w:tcBorders>
                  <w:vAlign w:val="center"/>
                </w:tcPr>
                <w:p w14:paraId="4A6A268B">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7517767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198821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AF5B31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92D1F8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DFC7E7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CE949D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F6EEA5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368A6E6">
                  <w:pPr>
                    <w:pStyle w:val="3"/>
                    <w:bidi w:val="0"/>
                    <w:rPr>
                      <w:rFonts w:hint="default" w:ascii="Times New Roman" w:hAnsi="Times New Roman" w:cs="Times New Roman"/>
                      <w:color w:val="auto"/>
                    </w:rPr>
                  </w:pPr>
                </w:p>
              </w:tc>
              <w:tc>
                <w:tcPr>
                  <w:tcW w:w="1220" w:type="dxa"/>
                  <w:tcBorders>
                    <w:tl2br w:val="nil"/>
                    <w:tr2bl w:val="nil"/>
                  </w:tcBorders>
                  <w:vAlign w:val="center"/>
                </w:tcPr>
                <w:p w14:paraId="07BB5DE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r>
                    <w:rPr>
                      <w:rFonts w:hint="default" w:ascii="Times New Roman" w:hAnsi="Times New Roman" w:cs="Times New Roman"/>
                      <w:color w:val="auto"/>
                    </w:rPr>
                    <w:t>（北）</w:t>
                  </w:r>
                </w:p>
              </w:tc>
              <w:tc>
                <w:tcPr>
                  <w:tcW w:w="1255" w:type="dxa"/>
                  <w:tcBorders>
                    <w:tl2br w:val="nil"/>
                    <w:tr2bl w:val="nil"/>
                  </w:tcBorders>
                  <w:vAlign w:val="bottom"/>
                </w:tcPr>
                <w:p w14:paraId="6E0B613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43.42 </w:t>
                  </w:r>
                </w:p>
              </w:tc>
              <w:tc>
                <w:tcPr>
                  <w:tcW w:w="0" w:type="auto"/>
                  <w:vMerge w:val="continue"/>
                  <w:tcBorders>
                    <w:tl2br w:val="nil"/>
                    <w:tr2bl w:val="nil"/>
                  </w:tcBorders>
                  <w:vAlign w:val="center"/>
                </w:tcPr>
                <w:p w14:paraId="1D95438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BEE16D3">
                  <w:pPr>
                    <w:pStyle w:val="3"/>
                    <w:bidi w:val="0"/>
                    <w:rPr>
                      <w:rFonts w:hint="default" w:ascii="Times New Roman" w:hAnsi="Times New Roman" w:cs="Times New Roman"/>
                      <w:color w:val="auto"/>
                    </w:rPr>
                  </w:pPr>
                </w:p>
              </w:tc>
              <w:tc>
                <w:tcPr>
                  <w:tcW w:w="1045" w:type="dxa"/>
                  <w:tcBorders>
                    <w:tl2br w:val="nil"/>
                    <w:tr2bl w:val="nil"/>
                  </w:tcBorders>
                  <w:vAlign w:val="center"/>
                </w:tcPr>
                <w:p w14:paraId="23AB4C2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28.42 </w:t>
                  </w:r>
                </w:p>
              </w:tc>
            </w:tr>
            <w:tr w14:paraId="591BE6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1E69BE98">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11</w:t>
                  </w:r>
                </w:p>
              </w:tc>
              <w:tc>
                <w:tcPr>
                  <w:tcW w:w="793" w:type="dxa"/>
                  <w:vMerge w:val="continue"/>
                  <w:tcBorders>
                    <w:tl2br w:val="nil"/>
                    <w:tr2bl w:val="nil"/>
                  </w:tcBorders>
                  <w:vAlign w:val="center"/>
                </w:tcPr>
                <w:p w14:paraId="2BB29D26">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AACE652">
                  <w:pPr>
                    <w:pStyle w:val="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磷脂收集泵</w:t>
                  </w:r>
                  <w:r>
                    <w:rPr>
                      <w:rFonts w:hint="default" w:ascii="Times New Roman" w:hAnsi="Times New Roman" w:eastAsia="宋体" w:cs="Times New Roman"/>
                      <w:color w:val="auto"/>
                      <w:highlight w:val="none"/>
                      <w:lang w:val="en-US" w:eastAsia="zh-CN"/>
                    </w:rPr>
                    <w:t>1#</w:t>
                  </w:r>
                </w:p>
              </w:tc>
              <w:tc>
                <w:tcPr>
                  <w:tcW w:w="0" w:type="auto"/>
                  <w:vMerge w:val="restart"/>
                  <w:tcBorders>
                    <w:tl2br w:val="nil"/>
                    <w:tr2bl w:val="nil"/>
                  </w:tcBorders>
                  <w:vAlign w:val="center"/>
                </w:tcPr>
                <w:p w14:paraId="40A50337">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13C9C422">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41AF081D">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0E26E0A3">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1FD8E5A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388C97F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0.5</w:t>
                  </w:r>
                </w:p>
              </w:tc>
              <w:tc>
                <w:tcPr>
                  <w:tcW w:w="1220" w:type="dxa"/>
                  <w:tcBorders>
                    <w:tl2br w:val="nil"/>
                    <w:tr2bl w:val="nil"/>
                  </w:tcBorders>
                  <w:vAlign w:val="center"/>
                </w:tcPr>
                <w:p w14:paraId="29B5910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（东）</w:t>
                  </w:r>
                </w:p>
              </w:tc>
              <w:tc>
                <w:tcPr>
                  <w:tcW w:w="1255" w:type="dxa"/>
                  <w:tcBorders>
                    <w:tl2br w:val="nil"/>
                    <w:tr2bl w:val="nil"/>
                  </w:tcBorders>
                  <w:vAlign w:val="bottom"/>
                </w:tcPr>
                <w:p w14:paraId="05DE631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54.44 </w:t>
                  </w:r>
                </w:p>
              </w:tc>
              <w:tc>
                <w:tcPr>
                  <w:tcW w:w="0" w:type="auto"/>
                  <w:vMerge w:val="restart"/>
                  <w:tcBorders>
                    <w:tl2br w:val="nil"/>
                    <w:tr2bl w:val="nil"/>
                  </w:tcBorders>
                  <w:vAlign w:val="center"/>
                </w:tcPr>
                <w:p w14:paraId="3D02EB5E">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73E70F8D">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6A1A272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39.44 </w:t>
                  </w:r>
                </w:p>
              </w:tc>
            </w:tr>
            <w:tr w14:paraId="19F12CA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189B7DE3">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43D3D8D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D4F263">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3B85789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0EF034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07EF6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C94784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D45B8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8665B3F">
                  <w:pPr>
                    <w:pStyle w:val="3"/>
                    <w:bidi w:val="0"/>
                    <w:rPr>
                      <w:rFonts w:hint="default" w:ascii="Times New Roman" w:hAnsi="Times New Roman" w:cs="Times New Roman"/>
                      <w:color w:val="auto"/>
                    </w:rPr>
                  </w:pPr>
                </w:p>
              </w:tc>
              <w:tc>
                <w:tcPr>
                  <w:tcW w:w="1220" w:type="dxa"/>
                  <w:tcBorders>
                    <w:tl2br w:val="nil"/>
                    <w:tr2bl w:val="nil"/>
                  </w:tcBorders>
                  <w:vAlign w:val="center"/>
                </w:tcPr>
                <w:p w14:paraId="62E29208">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6116B5E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44.89 </w:t>
                  </w:r>
                </w:p>
              </w:tc>
              <w:tc>
                <w:tcPr>
                  <w:tcW w:w="0" w:type="auto"/>
                  <w:vMerge w:val="continue"/>
                  <w:tcBorders>
                    <w:tl2br w:val="nil"/>
                    <w:tr2bl w:val="nil"/>
                  </w:tcBorders>
                  <w:vAlign w:val="center"/>
                </w:tcPr>
                <w:p w14:paraId="27B4D8C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2C1D087">
                  <w:pPr>
                    <w:pStyle w:val="3"/>
                    <w:bidi w:val="0"/>
                    <w:rPr>
                      <w:rFonts w:hint="default" w:ascii="Times New Roman" w:hAnsi="Times New Roman" w:cs="Times New Roman"/>
                      <w:color w:val="auto"/>
                    </w:rPr>
                  </w:pPr>
                </w:p>
              </w:tc>
              <w:tc>
                <w:tcPr>
                  <w:tcW w:w="1045" w:type="dxa"/>
                  <w:tcBorders>
                    <w:tl2br w:val="nil"/>
                    <w:tr2bl w:val="nil"/>
                  </w:tcBorders>
                  <w:vAlign w:val="center"/>
                </w:tcPr>
                <w:p w14:paraId="15C714A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29.89 </w:t>
                  </w:r>
                </w:p>
              </w:tc>
            </w:tr>
            <w:tr w14:paraId="09FADA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5EF103ED">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B3AFE6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F9130FE">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6C2499B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C676E3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75A746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BBF92D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661870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31CD179">
                  <w:pPr>
                    <w:pStyle w:val="3"/>
                    <w:bidi w:val="0"/>
                    <w:rPr>
                      <w:rFonts w:hint="default" w:ascii="Times New Roman" w:hAnsi="Times New Roman" w:cs="Times New Roman"/>
                      <w:color w:val="auto"/>
                    </w:rPr>
                  </w:pPr>
                </w:p>
              </w:tc>
              <w:tc>
                <w:tcPr>
                  <w:tcW w:w="0" w:type="auto"/>
                  <w:tcBorders>
                    <w:tl2br w:val="nil"/>
                    <w:tr2bl w:val="nil"/>
                  </w:tcBorders>
                  <w:vAlign w:val="center"/>
                </w:tcPr>
                <w:p w14:paraId="58030281">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0F726E3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42.77 </w:t>
                  </w:r>
                </w:p>
              </w:tc>
              <w:tc>
                <w:tcPr>
                  <w:tcW w:w="0" w:type="auto"/>
                  <w:vMerge w:val="continue"/>
                  <w:tcBorders>
                    <w:tl2br w:val="nil"/>
                    <w:tr2bl w:val="nil"/>
                  </w:tcBorders>
                  <w:vAlign w:val="center"/>
                </w:tcPr>
                <w:p w14:paraId="53704A7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9EB0EF5">
                  <w:pPr>
                    <w:pStyle w:val="3"/>
                    <w:bidi w:val="0"/>
                    <w:rPr>
                      <w:rFonts w:hint="default" w:ascii="Times New Roman" w:hAnsi="Times New Roman" w:cs="Times New Roman"/>
                      <w:color w:val="auto"/>
                    </w:rPr>
                  </w:pPr>
                </w:p>
              </w:tc>
              <w:tc>
                <w:tcPr>
                  <w:tcW w:w="1045" w:type="dxa"/>
                  <w:tcBorders>
                    <w:tl2br w:val="nil"/>
                    <w:tr2bl w:val="nil"/>
                  </w:tcBorders>
                  <w:vAlign w:val="center"/>
                </w:tcPr>
                <w:p w14:paraId="251D65B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27.77 </w:t>
                  </w:r>
                </w:p>
              </w:tc>
            </w:tr>
            <w:tr w14:paraId="4BCD672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65DE8C1F">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6890BAF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261250B">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39DBB25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AE7F00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FCCA86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2AD365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E55DD8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33BBBCD">
                  <w:pPr>
                    <w:pStyle w:val="3"/>
                    <w:bidi w:val="0"/>
                    <w:rPr>
                      <w:rFonts w:hint="default" w:ascii="Times New Roman" w:hAnsi="Times New Roman" w:cs="Times New Roman"/>
                      <w:color w:val="auto"/>
                    </w:rPr>
                  </w:pPr>
                </w:p>
              </w:tc>
              <w:tc>
                <w:tcPr>
                  <w:tcW w:w="0" w:type="auto"/>
                  <w:tcBorders>
                    <w:tl2br w:val="nil"/>
                    <w:tr2bl w:val="nil"/>
                  </w:tcBorders>
                  <w:vAlign w:val="center"/>
                </w:tcPr>
                <w:p w14:paraId="0D435FC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w:t>
                  </w:r>
                  <w:r>
                    <w:rPr>
                      <w:rFonts w:hint="default" w:ascii="Times New Roman" w:hAnsi="Times New Roman" w:cs="Times New Roman"/>
                      <w:color w:val="auto"/>
                    </w:rPr>
                    <w:t>（北）</w:t>
                  </w:r>
                </w:p>
              </w:tc>
              <w:tc>
                <w:tcPr>
                  <w:tcW w:w="1255" w:type="dxa"/>
                  <w:tcBorders>
                    <w:tl2br w:val="nil"/>
                    <w:tr2bl w:val="nil"/>
                  </w:tcBorders>
                  <w:vAlign w:val="bottom"/>
                </w:tcPr>
                <w:p w14:paraId="504BDF8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49.17 </w:t>
                  </w:r>
                </w:p>
              </w:tc>
              <w:tc>
                <w:tcPr>
                  <w:tcW w:w="0" w:type="auto"/>
                  <w:vMerge w:val="continue"/>
                  <w:tcBorders>
                    <w:tl2br w:val="nil"/>
                    <w:tr2bl w:val="nil"/>
                  </w:tcBorders>
                  <w:vAlign w:val="center"/>
                </w:tcPr>
                <w:p w14:paraId="6B1EF3F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1F4CE2">
                  <w:pPr>
                    <w:pStyle w:val="3"/>
                    <w:bidi w:val="0"/>
                    <w:rPr>
                      <w:rFonts w:hint="default" w:ascii="Times New Roman" w:hAnsi="Times New Roman" w:cs="Times New Roman"/>
                      <w:color w:val="auto"/>
                    </w:rPr>
                  </w:pPr>
                </w:p>
              </w:tc>
              <w:tc>
                <w:tcPr>
                  <w:tcW w:w="1045" w:type="dxa"/>
                  <w:tcBorders>
                    <w:tl2br w:val="nil"/>
                    <w:tr2bl w:val="nil"/>
                  </w:tcBorders>
                  <w:vAlign w:val="center"/>
                </w:tcPr>
                <w:p w14:paraId="5EAD1E4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34.17 </w:t>
                  </w:r>
                </w:p>
              </w:tc>
            </w:tr>
            <w:tr w14:paraId="6D71EA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1BC259A6">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p>
              </w:tc>
              <w:tc>
                <w:tcPr>
                  <w:tcW w:w="793" w:type="dxa"/>
                  <w:vMerge w:val="continue"/>
                  <w:tcBorders>
                    <w:tl2br w:val="nil"/>
                    <w:tr2bl w:val="nil"/>
                  </w:tcBorders>
                  <w:vAlign w:val="center"/>
                </w:tcPr>
                <w:p w14:paraId="23A892C0">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0B26913">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磷脂收集泵</w:t>
                  </w:r>
                  <w:r>
                    <w:rPr>
                      <w:rFonts w:hint="default" w:ascii="Times New Roman" w:hAnsi="Times New Roman" w:eastAsia="宋体" w:cs="Times New Roman"/>
                      <w:color w:val="auto"/>
                      <w:highlight w:val="none"/>
                      <w:lang w:val="en-US" w:eastAsia="zh-CN"/>
                    </w:rPr>
                    <w:t>2#</w:t>
                  </w:r>
                </w:p>
              </w:tc>
              <w:tc>
                <w:tcPr>
                  <w:tcW w:w="0" w:type="auto"/>
                  <w:vMerge w:val="restart"/>
                  <w:tcBorders>
                    <w:tl2br w:val="nil"/>
                    <w:tr2bl w:val="nil"/>
                  </w:tcBorders>
                  <w:vAlign w:val="center"/>
                </w:tcPr>
                <w:p w14:paraId="003CF369">
                  <w:pPr>
                    <w:pStyle w:val="3"/>
                    <w:bidi w:val="0"/>
                    <w:rPr>
                      <w:rFonts w:hint="default" w:ascii="Times New Roman" w:hAnsi="Times New Roman" w:cs="Times New Roman"/>
                      <w:color w:val="auto"/>
                    </w:rPr>
                  </w:pPr>
                </w:p>
              </w:tc>
              <w:tc>
                <w:tcPr>
                  <w:tcW w:w="2003" w:type="dxa"/>
                  <w:vMerge w:val="restart"/>
                  <w:tcBorders>
                    <w:tl2br w:val="nil"/>
                    <w:tr2bl w:val="nil"/>
                  </w:tcBorders>
                  <w:vAlign w:val="center"/>
                </w:tcPr>
                <w:p w14:paraId="12F7519C">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2DFDCF39">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EBC7AE4">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10F57E2A">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0" w:type="auto"/>
                  <w:vMerge w:val="restart"/>
                  <w:tcBorders>
                    <w:tl2br w:val="nil"/>
                    <w:tr2bl w:val="nil"/>
                  </w:tcBorders>
                  <w:vAlign w:val="center"/>
                </w:tcPr>
                <w:p w14:paraId="354FDA22">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0.5</w:t>
                  </w:r>
                </w:p>
              </w:tc>
              <w:tc>
                <w:tcPr>
                  <w:tcW w:w="1220" w:type="dxa"/>
                  <w:tcBorders>
                    <w:tl2br w:val="nil"/>
                    <w:tr2bl w:val="nil"/>
                  </w:tcBorders>
                  <w:vAlign w:val="center"/>
                </w:tcPr>
                <w:p w14:paraId="3518F9B7">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（东）</w:t>
                  </w:r>
                </w:p>
              </w:tc>
              <w:tc>
                <w:tcPr>
                  <w:tcW w:w="1255" w:type="dxa"/>
                  <w:tcBorders>
                    <w:tl2br w:val="nil"/>
                    <w:tr2bl w:val="nil"/>
                  </w:tcBorders>
                  <w:vAlign w:val="bottom"/>
                </w:tcPr>
                <w:p w14:paraId="4A808DD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54.44 </w:t>
                  </w:r>
                </w:p>
              </w:tc>
              <w:tc>
                <w:tcPr>
                  <w:tcW w:w="0" w:type="auto"/>
                  <w:vMerge w:val="restart"/>
                  <w:tcBorders>
                    <w:tl2br w:val="nil"/>
                    <w:tr2bl w:val="nil"/>
                  </w:tcBorders>
                  <w:vAlign w:val="center"/>
                </w:tcPr>
                <w:p w14:paraId="6F3E8920">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620E085C">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666D319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39.44 </w:t>
                  </w:r>
                </w:p>
              </w:tc>
            </w:tr>
            <w:tr w14:paraId="4E1A47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4BA1BC69">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9F767E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168975">
                  <w:pPr>
                    <w:pStyle w:val="3"/>
                    <w:bidi w:val="0"/>
                    <w:rPr>
                      <w:rFonts w:hint="default" w:ascii="Times New Roman" w:hAnsi="Times New Roman" w:cs="Times New Roman"/>
                      <w:color w:val="auto"/>
                      <w:highlight w:val="yellow"/>
                    </w:rPr>
                  </w:pPr>
                </w:p>
              </w:tc>
              <w:tc>
                <w:tcPr>
                  <w:tcW w:w="0" w:type="auto"/>
                  <w:vMerge w:val="continue"/>
                  <w:tcBorders>
                    <w:tl2br w:val="nil"/>
                    <w:tr2bl w:val="nil"/>
                  </w:tcBorders>
                  <w:vAlign w:val="center"/>
                </w:tcPr>
                <w:p w14:paraId="08672934">
                  <w:pPr>
                    <w:pStyle w:val="3"/>
                    <w:bidi w:val="0"/>
                    <w:rPr>
                      <w:rFonts w:hint="default" w:ascii="Times New Roman" w:hAnsi="Times New Roman" w:cs="Times New Roman"/>
                      <w:color w:val="auto"/>
                    </w:rPr>
                  </w:pPr>
                </w:p>
              </w:tc>
              <w:tc>
                <w:tcPr>
                  <w:tcW w:w="2003" w:type="dxa"/>
                  <w:vMerge w:val="continue"/>
                  <w:tcBorders>
                    <w:tl2br w:val="nil"/>
                    <w:tr2bl w:val="nil"/>
                  </w:tcBorders>
                  <w:vAlign w:val="center"/>
                </w:tcPr>
                <w:p w14:paraId="22E7229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ECD1CB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0A8C5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F843B5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D5A2838">
                  <w:pPr>
                    <w:pStyle w:val="3"/>
                    <w:bidi w:val="0"/>
                    <w:rPr>
                      <w:rFonts w:hint="default" w:ascii="Times New Roman" w:hAnsi="Times New Roman" w:cs="Times New Roman"/>
                      <w:color w:val="auto"/>
                    </w:rPr>
                  </w:pPr>
                </w:p>
              </w:tc>
              <w:tc>
                <w:tcPr>
                  <w:tcW w:w="1220" w:type="dxa"/>
                  <w:tcBorders>
                    <w:tl2br w:val="nil"/>
                    <w:tr2bl w:val="nil"/>
                  </w:tcBorders>
                  <w:vAlign w:val="center"/>
                </w:tcPr>
                <w:p w14:paraId="647097D7">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6968634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44.89 </w:t>
                  </w:r>
                </w:p>
              </w:tc>
              <w:tc>
                <w:tcPr>
                  <w:tcW w:w="0" w:type="auto"/>
                  <w:vMerge w:val="continue"/>
                  <w:tcBorders>
                    <w:tl2br w:val="nil"/>
                    <w:tr2bl w:val="nil"/>
                  </w:tcBorders>
                  <w:vAlign w:val="center"/>
                </w:tcPr>
                <w:p w14:paraId="166DC83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56FA40">
                  <w:pPr>
                    <w:pStyle w:val="3"/>
                    <w:bidi w:val="0"/>
                    <w:rPr>
                      <w:rFonts w:hint="default" w:ascii="Times New Roman" w:hAnsi="Times New Roman" w:cs="Times New Roman"/>
                      <w:color w:val="auto"/>
                    </w:rPr>
                  </w:pPr>
                </w:p>
              </w:tc>
              <w:tc>
                <w:tcPr>
                  <w:tcW w:w="1045" w:type="dxa"/>
                  <w:tcBorders>
                    <w:tl2br w:val="nil"/>
                    <w:tr2bl w:val="nil"/>
                  </w:tcBorders>
                  <w:vAlign w:val="center"/>
                </w:tcPr>
                <w:p w14:paraId="6ACF654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29.89 </w:t>
                  </w:r>
                </w:p>
              </w:tc>
            </w:tr>
            <w:tr w14:paraId="4957A0F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02500A78">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7574F36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5EB121D">
                  <w:pPr>
                    <w:pStyle w:val="3"/>
                    <w:bidi w:val="0"/>
                    <w:rPr>
                      <w:rFonts w:hint="default" w:ascii="Times New Roman" w:hAnsi="Times New Roman" w:cs="Times New Roman"/>
                      <w:color w:val="auto"/>
                      <w:highlight w:val="yellow"/>
                    </w:rPr>
                  </w:pPr>
                </w:p>
              </w:tc>
              <w:tc>
                <w:tcPr>
                  <w:tcW w:w="0" w:type="auto"/>
                  <w:vMerge w:val="continue"/>
                  <w:tcBorders>
                    <w:tl2br w:val="nil"/>
                    <w:tr2bl w:val="nil"/>
                  </w:tcBorders>
                  <w:vAlign w:val="center"/>
                </w:tcPr>
                <w:p w14:paraId="7FBABCE9">
                  <w:pPr>
                    <w:pStyle w:val="3"/>
                    <w:bidi w:val="0"/>
                    <w:rPr>
                      <w:rFonts w:hint="default" w:ascii="Times New Roman" w:hAnsi="Times New Roman" w:cs="Times New Roman"/>
                      <w:color w:val="auto"/>
                    </w:rPr>
                  </w:pPr>
                </w:p>
              </w:tc>
              <w:tc>
                <w:tcPr>
                  <w:tcW w:w="2003" w:type="dxa"/>
                  <w:vMerge w:val="continue"/>
                  <w:tcBorders>
                    <w:tl2br w:val="nil"/>
                    <w:tr2bl w:val="nil"/>
                  </w:tcBorders>
                  <w:vAlign w:val="center"/>
                </w:tcPr>
                <w:p w14:paraId="2F6178E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6BB1BB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7B6B42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F91917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89057D2">
                  <w:pPr>
                    <w:pStyle w:val="3"/>
                    <w:bidi w:val="0"/>
                    <w:rPr>
                      <w:rFonts w:hint="default" w:ascii="Times New Roman" w:hAnsi="Times New Roman" w:cs="Times New Roman"/>
                      <w:color w:val="auto"/>
                    </w:rPr>
                  </w:pPr>
                </w:p>
              </w:tc>
              <w:tc>
                <w:tcPr>
                  <w:tcW w:w="0" w:type="auto"/>
                  <w:tcBorders>
                    <w:tl2br w:val="nil"/>
                    <w:tr2bl w:val="nil"/>
                  </w:tcBorders>
                  <w:vAlign w:val="center"/>
                </w:tcPr>
                <w:p w14:paraId="08D2D85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608C8D4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42.40 </w:t>
                  </w:r>
                </w:p>
              </w:tc>
              <w:tc>
                <w:tcPr>
                  <w:tcW w:w="0" w:type="auto"/>
                  <w:vMerge w:val="continue"/>
                  <w:tcBorders>
                    <w:tl2br w:val="nil"/>
                    <w:tr2bl w:val="nil"/>
                  </w:tcBorders>
                  <w:vAlign w:val="center"/>
                </w:tcPr>
                <w:p w14:paraId="628AE8D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B892710">
                  <w:pPr>
                    <w:pStyle w:val="3"/>
                    <w:bidi w:val="0"/>
                    <w:rPr>
                      <w:rFonts w:hint="default" w:ascii="Times New Roman" w:hAnsi="Times New Roman" w:cs="Times New Roman"/>
                      <w:color w:val="auto"/>
                    </w:rPr>
                  </w:pPr>
                </w:p>
              </w:tc>
              <w:tc>
                <w:tcPr>
                  <w:tcW w:w="1045" w:type="dxa"/>
                  <w:tcBorders>
                    <w:tl2br w:val="nil"/>
                    <w:tr2bl w:val="nil"/>
                  </w:tcBorders>
                  <w:vAlign w:val="center"/>
                </w:tcPr>
                <w:p w14:paraId="698350B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27.40 </w:t>
                  </w:r>
                </w:p>
              </w:tc>
            </w:tr>
            <w:tr w14:paraId="27ACBB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44A8F5D">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58FBAE7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0670226">
                  <w:pPr>
                    <w:pStyle w:val="3"/>
                    <w:bidi w:val="0"/>
                    <w:rPr>
                      <w:rFonts w:hint="default" w:ascii="Times New Roman" w:hAnsi="Times New Roman" w:cs="Times New Roman"/>
                      <w:color w:val="auto"/>
                      <w:highlight w:val="yellow"/>
                    </w:rPr>
                  </w:pPr>
                </w:p>
              </w:tc>
              <w:tc>
                <w:tcPr>
                  <w:tcW w:w="0" w:type="auto"/>
                  <w:vMerge w:val="continue"/>
                  <w:tcBorders>
                    <w:tl2br w:val="nil"/>
                    <w:tr2bl w:val="nil"/>
                  </w:tcBorders>
                  <w:vAlign w:val="center"/>
                </w:tcPr>
                <w:p w14:paraId="03A84A46">
                  <w:pPr>
                    <w:pStyle w:val="3"/>
                    <w:bidi w:val="0"/>
                    <w:rPr>
                      <w:rFonts w:hint="default" w:ascii="Times New Roman" w:hAnsi="Times New Roman" w:cs="Times New Roman"/>
                      <w:color w:val="auto"/>
                    </w:rPr>
                  </w:pPr>
                </w:p>
              </w:tc>
              <w:tc>
                <w:tcPr>
                  <w:tcW w:w="2003" w:type="dxa"/>
                  <w:vMerge w:val="continue"/>
                  <w:tcBorders>
                    <w:tl2br w:val="nil"/>
                    <w:tr2bl w:val="nil"/>
                  </w:tcBorders>
                  <w:vAlign w:val="center"/>
                </w:tcPr>
                <w:p w14:paraId="0F8A057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551BF8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F8EE73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248849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D77768D">
                  <w:pPr>
                    <w:pStyle w:val="3"/>
                    <w:bidi w:val="0"/>
                    <w:rPr>
                      <w:rFonts w:hint="default" w:ascii="Times New Roman" w:hAnsi="Times New Roman" w:cs="Times New Roman"/>
                      <w:color w:val="auto"/>
                    </w:rPr>
                  </w:pPr>
                </w:p>
              </w:tc>
              <w:tc>
                <w:tcPr>
                  <w:tcW w:w="0" w:type="auto"/>
                  <w:tcBorders>
                    <w:tl2br w:val="nil"/>
                    <w:tr2bl w:val="nil"/>
                  </w:tcBorders>
                  <w:vAlign w:val="center"/>
                </w:tcPr>
                <w:p w14:paraId="6955472A">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default" w:ascii="Times New Roman" w:hAnsi="Times New Roman" w:cs="Times New Roman"/>
                      <w:color w:val="auto"/>
                    </w:rPr>
                    <w:t>（北）</w:t>
                  </w:r>
                </w:p>
              </w:tc>
              <w:tc>
                <w:tcPr>
                  <w:tcW w:w="1255" w:type="dxa"/>
                  <w:tcBorders>
                    <w:tl2br w:val="nil"/>
                    <w:tr2bl w:val="nil"/>
                  </w:tcBorders>
                  <w:vAlign w:val="bottom"/>
                </w:tcPr>
                <w:p w14:paraId="145A8D9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50.00 </w:t>
                  </w:r>
                </w:p>
              </w:tc>
              <w:tc>
                <w:tcPr>
                  <w:tcW w:w="0" w:type="auto"/>
                  <w:vMerge w:val="continue"/>
                  <w:tcBorders>
                    <w:tl2br w:val="nil"/>
                    <w:tr2bl w:val="nil"/>
                  </w:tcBorders>
                  <w:vAlign w:val="center"/>
                </w:tcPr>
                <w:p w14:paraId="198B2A0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915FF48">
                  <w:pPr>
                    <w:pStyle w:val="3"/>
                    <w:bidi w:val="0"/>
                    <w:rPr>
                      <w:rFonts w:hint="default" w:ascii="Times New Roman" w:hAnsi="Times New Roman" w:cs="Times New Roman"/>
                      <w:color w:val="auto"/>
                    </w:rPr>
                  </w:pPr>
                </w:p>
              </w:tc>
              <w:tc>
                <w:tcPr>
                  <w:tcW w:w="1045" w:type="dxa"/>
                  <w:tcBorders>
                    <w:tl2br w:val="nil"/>
                    <w:tr2bl w:val="nil"/>
                  </w:tcBorders>
                  <w:vAlign w:val="center"/>
                </w:tcPr>
                <w:p w14:paraId="395C4A7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35.00 </w:t>
                  </w:r>
                </w:p>
              </w:tc>
            </w:tr>
            <w:tr w14:paraId="5344929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7FA098E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13</w:t>
                  </w:r>
                </w:p>
              </w:tc>
              <w:tc>
                <w:tcPr>
                  <w:tcW w:w="793" w:type="dxa"/>
                  <w:vMerge w:val="continue"/>
                  <w:tcBorders>
                    <w:tl2br w:val="nil"/>
                    <w:tr2bl w:val="nil"/>
                  </w:tcBorders>
                  <w:vAlign w:val="center"/>
                </w:tcPr>
                <w:p w14:paraId="65AEEB9D">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1E7FA7B9">
                  <w:pPr>
                    <w:pStyle w:val="3"/>
                    <w:bidi w:val="0"/>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磷脂冷却器</w:t>
                  </w:r>
                  <w:r>
                    <w:rPr>
                      <w:rFonts w:hint="default" w:ascii="Times New Roman" w:hAnsi="Times New Roman" w:eastAsia="宋体" w:cs="Times New Roman"/>
                      <w:color w:val="auto"/>
                      <w:highlight w:val="none"/>
                      <w:lang w:val="en-US" w:eastAsia="zh-CN"/>
                    </w:rPr>
                    <w:t>1#</w:t>
                  </w:r>
                </w:p>
              </w:tc>
              <w:tc>
                <w:tcPr>
                  <w:tcW w:w="0" w:type="auto"/>
                  <w:vMerge w:val="restart"/>
                  <w:tcBorders>
                    <w:tl2br w:val="nil"/>
                    <w:tr2bl w:val="nil"/>
                  </w:tcBorders>
                  <w:vAlign w:val="center"/>
                </w:tcPr>
                <w:p w14:paraId="67F9521A">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05E3C7E6">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11A17DA3">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C738543">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p>
              </w:tc>
              <w:tc>
                <w:tcPr>
                  <w:tcW w:w="0" w:type="auto"/>
                  <w:vMerge w:val="restart"/>
                  <w:tcBorders>
                    <w:tl2br w:val="nil"/>
                    <w:tr2bl w:val="nil"/>
                  </w:tcBorders>
                  <w:vAlign w:val="center"/>
                </w:tcPr>
                <w:p w14:paraId="19AE110A">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6C446773">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1.5</w:t>
                  </w:r>
                </w:p>
              </w:tc>
              <w:tc>
                <w:tcPr>
                  <w:tcW w:w="0" w:type="auto"/>
                  <w:tcBorders>
                    <w:tl2br w:val="nil"/>
                    <w:tr2bl w:val="nil"/>
                  </w:tcBorders>
                  <w:vAlign w:val="center"/>
                </w:tcPr>
                <w:p w14:paraId="0DB8336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r>
                    <w:rPr>
                      <w:rFonts w:hint="default" w:ascii="Times New Roman" w:hAnsi="Times New Roman" w:cs="Times New Roman"/>
                      <w:color w:val="auto"/>
                    </w:rPr>
                    <w:t>（东）</w:t>
                  </w:r>
                </w:p>
              </w:tc>
              <w:tc>
                <w:tcPr>
                  <w:tcW w:w="1255" w:type="dxa"/>
                  <w:tcBorders>
                    <w:tl2br w:val="nil"/>
                    <w:tr2bl w:val="nil"/>
                  </w:tcBorders>
                  <w:vAlign w:val="bottom"/>
                </w:tcPr>
                <w:p w14:paraId="62F0C94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60.46 </w:t>
                  </w:r>
                </w:p>
              </w:tc>
              <w:tc>
                <w:tcPr>
                  <w:tcW w:w="0" w:type="auto"/>
                  <w:vMerge w:val="restart"/>
                  <w:tcBorders>
                    <w:tl2br w:val="nil"/>
                    <w:tr2bl w:val="nil"/>
                  </w:tcBorders>
                  <w:vAlign w:val="center"/>
                </w:tcPr>
                <w:p w14:paraId="2915810D">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6E9032C6">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697599B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45.46 </w:t>
                  </w:r>
                </w:p>
              </w:tc>
            </w:tr>
            <w:tr w14:paraId="081B220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4C10F9F2">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39E2E6F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E54ED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A8BA5A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3B7DE9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80C26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238942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38BCBA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77B688F">
                  <w:pPr>
                    <w:pStyle w:val="3"/>
                    <w:bidi w:val="0"/>
                    <w:rPr>
                      <w:rFonts w:hint="default" w:ascii="Times New Roman" w:hAnsi="Times New Roman" w:cs="Times New Roman"/>
                      <w:color w:val="auto"/>
                    </w:rPr>
                  </w:pPr>
                </w:p>
              </w:tc>
              <w:tc>
                <w:tcPr>
                  <w:tcW w:w="0" w:type="auto"/>
                  <w:tcBorders>
                    <w:tl2br w:val="nil"/>
                    <w:tr2bl w:val="nil"/>
                  </w:tcBorders>
                  <w:vAlign w:val="center"/>
                </w:tcPr>
                <w:p w14:paraId="1F89512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21</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3CE9A8E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43.56 </w:t>
                  </w:r>
                </w:p>
              </w:tc>
              <w:tc>
                <w:tcPr>
                  <w:tcW w:w="0" w:type="auto"/>
                  <w:vMerge w:val="continue"/>
                  <w:tcBorders>
                    <w:tl2br w:val="nil"/>
                    <w:tr2bl w:val="nil"/>
                  </w:tcBorders>
                  <w:vAlign w:val="center"/>
                </w:tcPr>
                <w:p w14:paraId="1298DE7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AD4BEAA">
                  <w:pPr>
                    <w:pStyle w:val="3"/>
                    <w:bidi w:val="0"/>
                    <w:rPr>
                      <w:rFonts w:hint="default" w:ascii="Times New Roman" w:hAnsi="Times New Roman" w:cs="Times New Roman"/>
                      <w:color w:val="auto"/>
                    </w:rPr>
                  </w:pPr>
                </w:p>
              </w:tc>
              <w:tc>
                <w:tcPr>
                  <w:tcW w:w="1045" w:type="dxa"/>
                  <w:tcBorders>
                    <w:tl2br w:val="nil"/>
                    <w:tr2bl w:val="nil"/>
                  </w:tcBorders>
                  <w:vAlign w:val="center"/>
                </w:tcPr>
                <w:p w14:paraId="32DB58A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28.56 </w:t>
                  </w:r>
                </w:p>
              </w:tc>
            </w:tr>
            <w:tr w14:paraId="0CB8A7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007AA590">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4270C63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F5565F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929248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8B74FF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345ED1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83D194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E37752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8CAB484">
                  <w:pPr>
                    <w:pStyle w:val="3"/>
                    <w:bidi w:val="0"/>
                    <w:rPr>
                      <w:rFonts w:hint="default" w:ascii="Times New Roman" w:hAnsi="Times New Roman" w:cs="Times New Roman"/>
                      <w:color w:val="auto"/>
                    </w:rPr>
                  </w:pPr>
                </w:p>
              </w:tc>
              <w:tc>
                <w:tcPr>
                  <w:tcW w:w="0" w:type="auto"/>
                  <w:tcBorders>
                    <w:tl2br w:val="nil"/>
                    <w:tr2bl w:val="nil"/>
                  </w:tcBorders>
                  <w:vAlign w:val="center"/>
                </w:tcPr>
                <w:p w14:paraId="0034CAA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22</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49A0F72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43.15 </w:t>
                  </w:r>
                </w:p>
              </w:tc>
              <w:tc>
                <w:tcPr>
                  <w:tcW w:w="0" w:type="auto"/>
                  <w:vMerge w:val="continue"/>
                  <w:tcBorders>
                    <w:tl2br w:val="nil"/>
                    <w:tr2bl w:val="nil"/>
                  </w:tcBorders>
                  <w:vAlign w:val="center"/>
                </w:tcPr>
                <w:p w14:paraId="7FE2325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C7BE1EA">
                  <w:pPr>
                    <w:pStyle w:val="3"/>
                    <w:bidi w:val="0"/>
                    <w:rPr>
                      <w:rFonts w:hint="default" w:ascii="Times New Roman" w:hAnsi="Times New Roman" w:cs="Times New Roman"/>
                      <w:color w:val="auto"/>
                    </w:rPr>
                  </w:pPr>
                </w:p>
              </w:tc>
              <w:tc>
                <w:tcPr>
                  <w:tcW w:w="1045" w:type="dxa"/>
                  <w:tcBorders>
                    <w:tl2br w:val="nil"/>
                    <w:tr2bl w:val="nil"/>
                  </w:tcBorders>
                  <w:vAlign w:val="center"/>
                </w:tcPr>
                <w:p w14:paraId="28DD742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28.15 </w:t>
                  </w:r>
                </w:p>
              </w:tc>
            </w:tr>
            <w:tr w14:paraId="7AEBA5D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B948AC4">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D02674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98AEF1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51EFC7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CF201C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57B83D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F6BE78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882E5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7F67B0A">
                  <w:pPr>
                    <w:pStyle w:val="3"/>
                    <w:bidi w:val="0"/>
                    <w:rPr>
                      <w:rFonts w:hint="default" w:ascii="Times New Roman" w:hAnsi="Times New Roman" w:cs="Times New Roman"/>
                      <w:color w:val="auto"/>
                    </w:rPr>
                  </w:pPr>
                </w:p>
              </w:tc>
              <w:tc>
                <w:tcPr>
                  <w:tcW w:w="0" w:type="auto"/>
                  <w:tcBorders>
                    <w:tl2br w:val="nil"/>
                    <w:tr2bl w:val="nil"/>
                  </w:tcBorders>
                  <w:vAlign w:val="center"/>
                </w:tcPr>
                <w:p w14:paraId="14818C2F">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r>
                    <w:rPr>
                      <w:rFonts w:hint="default" w:ascii="Times New Roman" w:hAnsi="Times New Roman" w:cs="Times New Roman"/>
                      <w:color w:val="auto"/>
                    </w:rPr>
                    <w:t>（北）</w:t>
                  </w:r>
                </w:p>
              </w:tc>
              <w:tc>
                <w:tcPr>
                  <w:tcW w:w="1255" w:type="dxa"/>
                  <w:tcBorders>
                    <w:tl2br w:val="nil"/>
                    <w:tr2bl w:val="nil"/>
                  </w:tcBorders>
                  <w:vAlign w:val="bottom"/>
                </w:tcPr>
                <w:p w14:paraId="6D0AA16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48.42 </w:t>
                  </w:r>
                </w:p>
              </w:tc>
              <w:tc>
                <w:tcPr>
                  <w:tcW w:w="0" w:type="auto"/>
                  <w:vMerge w:val="continue"/>
                  <w:tcBorders>
                    <w:tl2br w:val="nil"/>
                    <w:tr2bl w:val="nil"/>
                  </w:tcBorders>
                  <w:vAlign w:val="center"/>
                </w:tcPr>
                <w:p w14:paraId="3C898EF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782B0E8">
                  <w:pPr>
                    <w:pStyle w:val="3"/>
                    <w:bidi w:val="0"/>
                    <w:rPr>
                      <w:rFonts w:hint="default" w:ascii="Times New Roman" w:hAnsi="Times New Roman" w:cs="Times New Roman"/>
                      <w:color w:val="auto"/>
                    </w:rPr>
                  </w:pPr>
                </w:p>
              </w:tc>
              <w:tc>
                <w:tcPr>
                  <w:tcW w:w="1045" w:type="dxa"/>
                  <w:tcBorders>
                    <w:tl2br w:val="nil"/>
                    <w:tr2bl w:val="nil"/>
                  </w:tcBorders>
                  <w:vAlign w:val="center"/>
                </w:tcPr>
                <w:p w14:paraId="0D0E046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33.42 </w:t>
                  </w:r>
                </w:p>
              </w:tc>
            </w:tr>
            <w:tr w14:paraId="3FCFB0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restart"/>
                  <w:tcBorders>
                    <w:tl2br w:val="nil"/>
                    <w:tr2bl w:val="nil"/>
                  </w:tcBorders>
                  <w:vAlign w:val="center"/>
                </w:tcPr>
                <w:p w14:paraId="6260EF2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14</w:t>
                  </w:r>
                </w:p>
              </w:tc>
              <w:tc>
                <w:tcPr>
                  <w:tcW w:w="793" w:type="dxa"/>
                  <w:vMerge w:val="continue"/>
                  <w:tcBorders>
                    <w:tl2br w:val="nil"/>
                    <w:tr2bl w:val="nil"/>
                  </w:tcBorders>
                  <w:vAlign w:val="center"/>
                </w:tcPr>
                <w:p w14:paraId="76E95048">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6A3DE402">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磷脂冷却器</w:t>
                  </w:r>
                  <w:r>
                    <w:rPr>
                      <w:rFonts w:hint="default" w:ascii="Times New Roman" w:hAnsi="Times New Roman" w:eastAsia="宋体" w:cs="Times New Roman"/>
                      <w:color w:val="auto"/>
                      <w:highlight w:val="none"/>
                      <w:lang w:val="en-US" w:eastAsia="zh-CN"/>
                    </w:rPr>
                    <w:t>2#</w:t>
                  </w:r>
                </w:p>
              </w:tc>
              <w:tc>
                <w:tcPr>
                  <w:tcW w:w="0" w:type="auto"/>
                  <w:vMerge w:val="restart"/>
                  <w:tcBorders>
                    <w:tl2br w:val="nil"/>
                    <w:tr2bl w:val="nil"/>
                  </w:tcBorders>
                  <w:vAlign w:val="center"/>
                </w:tcPr>
                <w:p w14:paraId="299927F9">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54E8C2BB">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4B48D53E">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B76327A">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0" w:type="auto"/>
                  <w:vMerge w:val="restart"/>
                  <w:tcBorders>
                    <w:tl2br w:val="nil"/>
                    <w:tr2bl w:val="nil"/>
                  </w:tcBorders>
                  <w:vAlign w:val="center"/>
                </w:tcPr>
                <w:p w14:paraId="5D3B57E2">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39502843">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1.5</w:t>
                  </w:r>
                </w:p>
              </w:tc>
              <w:tc>
                <w:tcPr>
                  <w:tcW w:w="0" w:type="auto"/>
                  <w:tcBorders>
                    <w:tl2br w:val="nil"/>
                    <w:tr2bl w:val="nil"/>
                  </w:tcBorders>
                  <w:vAlign w:val="center"/>
                </w:tcPr>
                <w:p w14:paraId="506D432A">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4</w:t>
                  </w:r>
                  <w:r>
                    <w:rPr>
                      <w:rFonts w:hint="default" w:ascii="Times New Roman" w:hAnsi="Times New Roman" w:cs="Times New Roman"/>
                      <w:color w:val="auto"/>
                    </w:rPr>
                    <w:t>（东）</w:t>
                  </w:r>
                </w:p>
              </w:tc>
              <w:tc>
                <w:tcPr>
                  <w:tcW w:w="1255" w:type="dxa"/>
                  <w:tcBorders>
                    <w:tl2br w:val="nil"/>
                    <w:tr2bl w:val="nil"/>
                  </w:tcBorders>
                  <w:vAlign w:val="bottom"/>
                </w:tcPr>
                <w:p w14:paraId="267F739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57.96 </w:t>
                  </w:r>
                </w:p>
              </w:tc>
              <w:tc>
                <w:tcPr>
                  <w:tcW w:w="0" w:type="auto"/>
                  <w:vMerge w:val="restart"/>
                  <w:tcBorders>
                    <w:tl2br w:val="nil"/>
                    <w:tr2bl w:val="nil"/>
                  </w:tcBorders>
                  <w:vAlign w:val="center"/>
                </w:tcPr>
                <w:p w14:paraId="2596CA1D">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058B582E">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3A38772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42.96 </w:t>
                  </w:r>
                </w:p>
              </w:tc>
            </w:tr>
            <w:tr w14:paraId="6F65AC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0CF2C87C">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0B2FACC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DE962A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ABAD2F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6BF60C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CBE9AD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B8BD6B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2AEB16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FF04A37">
                  <w:pPr>
                    <w:pStyle w:val="3"/>
                    <w:bidi w:val="0"/>
                    <w:rPr>
                      <w:rFonts w:hint="default" w:ascii="Times New Roman" w:hAnsi="Times New Roman" w:cs="Times New Roman"/>
                      <w:color w:val="auto"/>
                    </w:rPr>
                  </w:pPr>
                </w:p>
              </w:tc>
              <w:tc>
                <w:tcPr>
                  <w:tcW w:w="0" w:type="auto"/>
                  <w:tcBorders>
                    <w:tl2br w:val="nil"/>
                    <w:tr2bl w:val="nil"/>
                  </w:tcBorders>
                  <w:vAlign w:val="center"/>
                </w:tcPr>
                <w:p w14:paraId="30C55AAE">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7483F74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43.98 </w:t>
                  </w:r>
                </w:p>
              </w:tc>
              <w:tc>
                <w:tcPr>
                  <w:tcW w:w="0" w:type="auto"/>
                  <w:vMerge w:val="continue"/>
                  <w:tcBorders>
                    <w:tl2br w:val="nil"/>
                    <w:tr2bl w:val="nil"/>
                  </w:tcBorders>
                  <w:vAlign w:val="center"/>
                </w:tcPr>
                <w:p w14:paraId="407E32E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0A3EA48">
                  <w:pPr>
                    <w:pStyle w:val="3"/>
                    <w:bidi w:val="0"/>
                    <w:rPr>
                      <w:rFonts w:hint="default" w:ascii="Times New Roman" w:hAnsi="Times New Roman" w:cs="Times New Roman"/>
                      <w:color w:val="auto"/>
                    </w:rPr>
                  </w:pPr>
                </w:p>
              </w:tc>
              <w:tc>
                <w:tcPr>
                  <w:tcW w:w="1045" w:type="dxa"/>
                  <w:tcBorders>
                    <w:tl2br w:val="nil"/>
                    <w:tr2bl w:val="nil"/>
                  </w:tcBorders>
                  <w:vAlign w:val="center"/>
                </w:tcPr>
                <w:p w14:paraId="2BA9D1B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28.98 </w:t>
                  </w:r>
                </w:p>
              </w:tc>
            </w:tr>
            <w:tr w14:paraId="6A698C7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3AAFC3D2">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1308F27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2BD89A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1FB47F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0A1A38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2E0D9C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9A861D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686AC6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1F88B74">
                  <w:pPr>
                    <w:pStyle w:val="3"/>
                    <w:bidi w:val="0"/>
                    <w:rPr>
                      <w:rFonts w:hint="default" w:ascii="Times New Roman" w:hAnsi="Times New Roman" w:cs="Times New Roman"/>
                      <w:color w:val="auto"/>
                    </w:rPr>
                  </w:pPr>
                </w:p>
              </w:tc>
              <w:tc>
                <w:tcPr>
                  <w:tcW w:w="1220" w:type="dxa"/>
                  <w:tcBorders>
                    <w:tl2br w:val="nil"/>
                    <w:tr2bl w:val="nil"/>
                  </w:tcBorders>
                  <w:vAlign w:val="center"/>
                </w:tcPr>
                <w:p w14:paraId="5EE15FE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22</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32FDF38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43.15 </w:t>
                  </w:r>
                </w:p>
              </w:tc>
              <w:tc>
                <w:tcPr>
                  <w:tcW w:w="0" w:type="auto"/>
                  <w:vMerge w:val="continue"/>
                  <w:tcBorders>
                    <w:tl2br w:val="nil"/>
                    <w:tr2bl w:val="nil"/>
                  </w:tcBorders>
                  <w:vAlign w:val="center"/>
                </w:tcPr>
                <w:p w14:paraId="4D6738B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A8A51C0">
                  <w:pPr>
                    <w:pStyle w:val="3"/>
                    <w:bidi w:val="0"/>
                    <w:rPr>
                      <w:rFonts w:hint="default" w:ascii="Times New Roman" w:hAnsi="Times New Roman" w:cs="Times New Roman"/>
                      <w:color w:val="auto"/>
                    </w:rPr>
                  </w:pPr>
                </w:p>
              </w:tc>
              <w:tc>
                <w:tcPr>
                  <w:tcW w:w="1045" w:type="dxa"/>
                  <w:tcBorders>
                    <w:tl2br w:val="nil"/>
                    <w:tr2bl w:val="nil"/>
                  </w:tcBorders>
                  <w:vAlign w:val="center"/>
                </w:tcPr>
                <w:p w14:paraId="56F13D8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28.15 </w:t>
                  </w:r>
                </w:p>
              </w:tc>
            </w:tr>
            <w:tr w14:paraId="177A337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3945A135">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0EA0AA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318E64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7C705F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3E0A9D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D11C78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B2D7D2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5997FE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7753AA1">
                  <w:pPr>
                    <w:pStyle w:val="3"/>
                    <w:bidi w:val="0"/>
                    <w:rPr>
                      <w:rFonts w:hint="default" w:ascii="Times New Roman" w:hAnsi="Times New Roman" w:cs="Times New Roman"/>
                      <w:color w:val="auto"/>
                    </w:rPr>
                  </w:pPr>
                </w:p>
              </w:tc>
              <w:tc>
                <w:tcPr>
                  <w:tcW w:w="1220" w:type="dxa"/>
                  <w:tcBorders>
                    <w:tl2br w:val="nil"/>
                    <w:tr2bl w:val="nil"/>
                  </w:tcBorders>
                  <w:vAlign w:val="center"/>
                </w:tcPr>
                <w:p w14:paraId="340A22C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w:t>
                  </w:r>
                  <w:r>
                    <w:rPr>
                      <w:rFonts w:hint="default" w:ascii="Times New Roman" w:hAnsi="Times New Roman" w:cs="Times New Roman"/>
                      <w:color w:val="auto"/>
                    </w:rPr>
                    <w:t>（北）</w:t>
                  </w:r>
                </w:p>
              </w:tc>
              <w:tc>
                <w:tcPr>
                  <w:tcW w:w="1255" w:type="dxa"/>
                  <w:tcBorders>
                    <w:tl2br w:val="nil"/>
                    <w:tr2bl w:val="nil"/>
                  </w:tcBorders>
                  <w:vAlign w:val="bottom"/>
                </w:tcPr>
                <w:p w14:paraId="14AEBDD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48.42 </w:t>
                  </w:r>
                </w:p>
              </w:tc>
              <w:tc>
                <w:tcPr>
                  <w:tcW w:w="0" w:type="auto"/>
                  <w:vMerge w:val="continue"/>
                  <w:tcBorders>
                    <w:tl2br w:val="nil"/>
                    <w:tr2bl w:val="nil"/>
                  </w:tcBorders>
                  <w:vAlign w:val="center"/>
                </w:tcPr>
                <w:p w14:paraId="2964F0F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EF85BE8">
                  <w:pPr>
                    <w:pStyle w:val="3"/>
                    <w:bidi w:val="0"/>
                    <w:rPr>
                      <w:rFonts w:hint="default" w:ascii="Times New Roman" w:hAnsi="Times New Roman" w:cs="Times New Roman"/>
                      <w:color w:val="auto"/>
                    </w:rPr>
                  </w:pPr>
                </w:p>
              </w:tc>
              <w:tc>
                <w:tcPr>
                  <w:tcW w:w="1045" w:type="dxa"/>
                  <w:tcBorders>
                    <w:tl2br w:val="nil"/>
                    <w:tr2bl w:val="nil"/>
                  </w:tcBorders>
                  <w:vAlign w:val="center"/>
                </w:tcPr>
                <w:p w14:paraId="72ECD2E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33.42 </w:t>
                  </w:r>
                </w:p>
              </w:tc>
            </w:tr>
            <w:tr w14:paraId="71F833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5AFA5498">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5</w:t>
                  </w:r>
                </w:p>
              </w:tc>
              <w:tc>
                <w:tcPr>
                  <w:tcW w:w="793" w:type="dxa"/>
                  <w:vMerge w:val="continue"/>
                  <w:tcBorders>
                    <w:tl2br w:val="nil"/>
                    <w:tr2bl w:val="nil"/>
                  </w:tcBorders>
                  <w:vAlign w:val="center"/>
                </w:tcPr>
                <w:p w14:paraId="3B38BF86">
                  <w:pPr>
                    <w:pStyle w:val="3"/>
                    <w:bidi w:val="0"/>
                    <w:rPr>
                      <w:rFonts w:hint="default" w:ascii="Times New Roman" w:hAnsi="Times New Roman" w:cs="Times New Roman"/>
                      <w:color w:val="auto"/>
                    </w:rPr>
                  </w:pPr>
                </w:p>
              </w:tc>
              <w:tc>
                <w:tcPr>
                  <w:tcW w:w="0" w:type="auto"/>
                  <w:vMerge w:val="restart"/>
                  <w:tcBorders>
                    <w:tl2br w:val="nil"/>
                    <w:tr2bl w:val="nil"/>
                  </w:tcBorders>
                  <w:shd w:val="clear" w:color="auto" w:fill="auto"/>
                  <w:vAlign w:val="center"/>
                </w:tcPr>
                <w:p w14:paraId="680E6019">
                  <w:pPr>
                    <w:pStyle w:val="3"/>
                    <w:bidi w:val="0"/>
                    <w:ind w:firstLine="0" w:firstLineChars="0"/>
                    <w:rPr>
                      <w:rFonts w:hint="default" w:ascii="Times New Roman" w:hAnsi="Times New Roman" w:eastAsia="宋体" w:cs="Times New Roman"/>
                      <w:bCs/>
                      <w:color w:val="auto"/>
                      <w:kern w:val="44"/>
                      <w:sz w:val="21"/>
                      <w:szCs w:val="48"/>
                      <w:highlight w:val="none"/>
                      <w:lang w:val="en-US" w:eastAsia="zh-CN" w:bidi="ar-SA"/>
                    </w:rPr>
                  </w:pPr>
                  <w:r>
                    <w:rPr>
                      <w:rFonts w:hint="default" w:ascii="Times New Roman" w:hAnsi="Times New Roman" w:cs="Times New Roman"/>
                      <w:color w:val="auto"/>
                      <w:highlight w:val="none"/>
                    </w:rPr>
                    <w:t>真空冷凝器</w:t>
                  </w:r>
                  <w:r>
                    <w:rPr>
                      <w:rFonts w:hint="default" w:ascii="Times New Roman" w:hAnsi="Times New Roman" w:eastAsia="宋体" w:cs="Times New Roman"/>
                      <w:color w:val="auto"/>
                      <w:highlight w:val="none"/>
                      <w:lang w:val="en-US" w:eastAsia="zh-CN"/>
                    </w:rPr>
                    <w:t>1#</w:t>
                  </w:r>
                </w:p>
              </w:tc>
              <w:tc>
                <w:tcPr>
                  <w:tcW w:w="0" w:type="auto"/>
                  <w:vMerge w:val="restart"/>
                  <w:tcBorders>
                    <w:tl2br w:val="nil"/>
                    <w:tr2bl w:val="nil"/>
                  </w:tcBorders>
                  <w:vAlign w:val="center"/>
                </w:tcPr>
                <w:p w14:paraId="2EFAEA11">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46A55733">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65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07C01910">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446D6698">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4274D851">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0" w:type="auto"/>
                  <w:vMerge w:val="restart"/>
                  <w:tcBorders>
                    <w:tl2br w:val="nil"/>
                    <w:tr2bl w:val="nil"/>
                  </w:tcBorders>
                  <w:vAlign w:val="center"/>
                </w:tcPr>
                <w:p w14:paraId="2B983FDD">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p>
              </w:tc>
              <w:tc>
                <w:tcPr>
                  <w:tcW w:w="1220" w:type="dxa"/>
                  <w:tcBorders>
                    <w:tl2br w:val="nil"/>
                    <w:tr2bl w:val="nil"/>
                  </w:tcBorders>
                  <w:vAlign w:val="center"/>
                </w:tcPr>
                <w:p w14:paraId="062FDEA5">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（东）</w:t>
                  </w:r>
                </w:p>
              </w:tc>
              <w:tc>
                <w:tcPr>
                  <w:tcW w:w="1255" w:type="dxa"/>
                  <w:tcBorders>
                    <w:tl2br w:val="nil"/>
                    <w:tr2bl w:val="nil"/>
                  </w:tcBorders>
                  <w:vAlign w:val="bottom"/>
                </w:tcPr>
                <w:p w14:paraId="69568EF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49.44 </w:t>
                  </w:r>
                </w:p>
              </w:tc>
              <w:tc>
                <w:tcPr>
                  <w:tcW w:w="0" w:type="auto"/>
                  <w:vMerge w:val="restart"/>
                  <w:tcBorders>
                    <w:tl2br w:val="nil"/>
                    <w:tr2bl w:val="nil"/>
                  </w:tcBorders>
                  <w:vAlign w:val="center"/>
                </w:tcPr>
                <w:p w14:paraId="49406654">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5400945A">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3E894DF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34.44 </w:t>
                  </w:r>
                </w:p>
              </w:tc>
            </w:tr>
            <w:tr w14:paraId="4F0876E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B062F05">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606DFF8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0D2788F">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217B372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C08D2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D05E66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0430E2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8BA29B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D58590C">
                  <w:pPr>
                    <w:pStyle w:val="3"/>
                    <w:bidi w:val="0"/>
                    <w:rPr>
                      <w:rFonts w:hint="default" w:ascii="Times New Roman" w:hAnsi="Times New Roman" w:cs="Times New Roman"/>
                      <w:color w:val="auto"/>
                    </w:rPr>
                  </w:pPr>
                </w:p>
              </w:tc>
              <w:tc>
                <w:tcPr>
                  <w:tcW w:w="1220" w:type="dxa"/>
                  <w:tcBorders>
                    <w:tl2br w:val="nil"/>
                    <w:tr2bl w:val="nil"/>
                  </w:tcBorders>
                  <w:vAlign w:val="center"/>
                </w:tcPr>
                <w:p w14:paraId="64E7793A">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017DB3B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39.89 </w:t>
                  </w:r>
                </w:p>
              </w:tc>
              <w:tc>
                <w:tcPr>
                  <w:tcW w:w="0" w:type="auto"/>
                  <w:vMerge w:val="continue"/>
                  <w:tcBorders>
                    <w:tl2br w:val="nil"/>
                    <w:tr2bl w:val="nil"/>
                  </w:tcBorders>
                  <w:vAlign w:val="center"/>
                </w:tcPr>
                <w:p w14:paraId="3F77CF2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D0E5454">
                  <w:pPr>
                    <w:pStyle w:val="3"/>
                    <w:bidi w:val="0"/>
                    <w:rPr>
                      <w:rFonts w:hint="default" w:ascii="Times New Roman" w:hAnsi="Times New Roman" w:cs="Times New Roman"/>
                      <w:color w:val="auto"/>
                    </w:rPr>
                  </w:pPr>
                </w:p>
              </w:tc>
              <w:tc>
                <w:tcPr>
                  <w:tcW w:w="1045" w:type="dxa"/>
                  <w:tcBorders>
                    <w:tl2br w:val="nil"/>
                    <w:tr2bl w:val="nil"/>
                  </w:tcBorders>
                  <w:vAlign w:val="center"/>
                </w:tcPr>
                <w:p w14:paraId="03B36E6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24.89 </w:t>
                  </w:r>
                </w:p>
              </w:tc>
            </w:tr>
            <w:tr w14:paraId="79267B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0301851">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03BAAE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4888431">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70B7E33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D1C789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D9C818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50CB22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ADBB07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356399F">
                  <w:pPr>
                    <w:pStyle w:val="3"/>
                    <w:bidi w:val="0"/>
                    <w:rPr>
                      <w:rFonts w:hint="default" w:ascii="Times New Roman" w:hAnsi="Times New Roman" w:cs="Times New Roman"/>
                      <w:color w:val="auto"/>
                    </w:rPr>
                  </w:pPr>
                </w:p>
              </w:tc>
              <w:tc>
                <w:tcPr>
                  <w:tcW w:w="0" w:type="auto"/>
                  <w:tcBorders>
                    <w:tl2br w:val="nil"/>
                    <w:tr2bl w:val="nil"/>
                  </w:tcBorders>
                  <w:vAlign w:val="center"/>
                </w:tcPr>
                <w:p w14:paraId="42046538">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3CD3EE9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37.40 </w:t>
                  </w:r>
                </w:p>
              </w:tc>
              <w:tc>
                <w:tcPr>
                  <w:tcW w:w="0" w:type="auto"/>
                  <w:vMerge w:val="continue"/>
                  <w:tcBorders>
                    <w:tl2br w:val="nil"/>
                    <w:tr2bl w:val="nil"/>
                  </w:tcBorders>
                  <w:vAlign w:val="center"/>
                </w:tcPr>
                <w:p w14:paraId="555843E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5782D0D">
                  <w:pPr>
                    <w:pStyle w:val="3"/>
                    <w:bidi w:val="0"/>
                    <w:rPr>
                      <w:rFonts w:hint="default" w:ascii="Times New Roman" w:hAnsi="Times New Roman" w:cs="Times New Roman"/>
                      <w:color w:val="auto"/>
                    </w:rPr>
                  </w:pPr>
                </w:p>
              </w:tc>
              <w:tc>
                <w:tcPr>
                  <w:tcW w:w="1045" w:type="dxa"/>
                  <w:tcBorders>
                    <w:tl2br w:val="nil"/>
                    <w:tr2bl w:val="nil"/>
                  </w:tcBorders>
                  <w:vAlign w:val="center"/>
                </w:tcPr>
                <w:p w14:paraId="39EF703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22.40 </w:t>
                  </w:r>
                </w:p>
              </w:tc>
            </w:tr>
            <w:tr w14:paraId="167AFB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0F244487">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5F98BA4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B64F176">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2CAFC44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290866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F8D203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3F1090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2A2C58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DC28067">
                  <w:pPr>
                    <w:pStyle w:val="3"/>
                    <w:bidi w:val="0"/>
                    <w:rPr>
                      <w:rFonts w:hint="default" w:ascii="Times New Roman" w:hAnsi="Times New Roman" w:cs="Times New Roman"/>
                      <w:color w:val="auto"/>
                    </w:rPr>
                  </w:pPr>
                </w:p>
              </w:tc>
              <w:tc>
                <w:tcPr>
                  <w:tcW w:w="0" w:type="auto"/>
                  <w:tcBorders>
                    <w:tl2br w:val="nil"/>
                    <w:tr2bl w:val="nil"/>
                  </w:tcBorders>
                  <w:vAlign w:val="center"/>
                </w:tcPr>
                <w:p w14:paraId="08C2078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default" w:ascii="Times New Roman" w:hAnsi="Times New Roman" w:cs="Times New Roman"/>
                      <w:color w:val="auto"/>
                    </w:rPr>
                    <w:t>（北）</w:t>
                  </w:r>
                </w:p>
              </w:tc>
              <w:tc>
                <w:tcPr>
                  <w:tcW w:w="1255" w:type="dxa"/>
                  <w:tcBorders>
                    <w:tl2br w:val="nil"/>
                    <w:tr2bl w:val="nil"/>
                  </w:tcBorders>
                  <w:vAlign w:val="bottom"/>
                </w:tcPr>
                <w:p w14:paraId="786AE48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45.00 </w:t>
                  </w:r>
                </w:p>
              </w:tc>
              <w:tc>
                <w:tcPr>
                  <w:tcW w:w="0" w:type="auto"/>
                  <w:vMerge w:val="continue"/>
                  <w:tcBorders>
                    <w:tl2br w:val="nil"/>
                    <w:tr2bl w:val="nil"/>
                  </w:tcBorders>
                  <w:vAlign w:val="center"/>
                </w:tcPr>
                <w:p w14:paraId="19FAE37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177A817">
                  <w:pPr>
                    <w:pStyle w:val="3"/>
                    <w:bidi w:val="0"/>
                    <w:rPr>
                      <w:rFonts w:hint="default" w:ascii="Times New Roman" w:hAnsi="Times New Roman" w:cs="Times New Roman"/>
                      <w:color w:val="auto"/>
                    </w:rPr>
                  </w:pPr>
                </w:p>
              </w:tc>
              <w:tc>
                <w:tcPr>
                  <w:tcW w:w="1045" w:type="dxa"/>
                  <w:tcBorders>
                    <w:tl2br w:val="nil"/>
                    <w:tr2bl w:val="nil"/>
                  </w:tcBorders>
                  <w:vAlign w:val="center"/>
                </w:tcPr>
                <w:p w14:paraId="6489A7B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30.00 </w:t>
                  </w:r>
                </w:p>
              </w:tc>
            </w:tr>
            <w:tr w14:paraId="38BBEB5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restart"/>
                  <w:tcBorders>
                    <w:tl2br w:val="nil"/>
                    <w:tr2bl w:val="nil"/>
                  </w:tcBorders>
                  <w:vAlign w:val="center"/>
                </w:tcPr>
                <w:p w14:paraId="38AA3A8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16</w:t>
                  </w:r>
                </w:p>
              </w:tc>
              <w:tc>
                <w:tcPr>
                  <w:tcW w:w="793" w:type="dxa"/>
                  <w:vMerge w:val="continue"/>
                  <w:tcBorders>
                    <w:tl2br w:val="nil"/>
                    <w:tr2bl w:val="nil"/>
                  </w:tcBorders>
                  <w:vAlign w:val="center"/>
                </w:tcPr>
                <w:p w14:paraId="0C96C3A2">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1B0E20D0">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真空冷凝器</w:t>
                  </w:r>
                  <w:r>
                    <w:rPr>
                      <w:rFonts w:hint="default" w:ascii="Times New Roman" w:hAnsi="Times New Roman" w:eastAsia="宋体" w:cs="Times New Roman"/>
                      <w:color w:val="auto"/>
                      <w:highlight w:val="none"/>
                      <w:lang w:val="en-US" w:eastAsia="zh-CN"/>
                    </w:rPr>
                    <w:t>2#</w:t>
                  </w:r>
                </w:p>
              </w:tc>
              <w:tc>
                <w:tcPr>
                  <w:tcW w:w="0" w:type="auto"/>
                  <w:vMerge w:val="restart"/>
                  <w:tcBorders>
                    <w:tl2br w:val="nil"/>
                    <w:tr2bl w:val="nil"/>
                  </w:tcBorders>
                  <w:vAlign w:val="center"/>
                </w:tcPr>
                <w:p w14:paraId="0C56933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35411089">
                  <w:pPr>
                    <w:pStyle w:val="3"/>
                    <w:bidi w:val="0"/>
                    <w:rPr>
                      <w:rFonts w:hint="default" w:ascii="Times New Roman" w:hAnsi="Times New Roman" w:cs="Times New Roman"/>
                      <w:color w:val="auto"/>
                    </w:rPr>
                  </w:pPr>
                  <w:r>
                    <w:rPr>
                      <w:rFonts w:hint="eastAsia" w:ascii="Times New Roman" w:hAnsi="Times New Roman" w:eastAsia="宋体" w:cs="Times New Roman"/>
                      <w:color w:val="auto"/>
                      <w:lang w:val="en-US" w:eastAsia="zh-CN"/>
                    </w:rPr>
                    <w:t>65</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0CA610CD">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752DD823">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0" w:type="auto"/>
                  <w:vMerge w:val="restart"/>
                  <w:tcBorders>
                    <w:tl2br w:val="nil"/>
                    <w:tr2bl w:val="nil"/>
                  </w:tcBorders>
                  <w:vAlign w:val="center"/>
                </w:tcPr>
                <w:p w14:paraId="190257FB">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w:t>
                  </w:r>
                </w:p>
              </w:tc>
              <w:tc>
                <w:tcPr>
                  <w:tcW w:w="0" w:type="auto"/>
                  <w:vMerge w:val="restart"/>
                  <w:tcBorders>
                    <w:tl2br w:val="nil"/>
                    <w:tr2bl w:val="nil"/>
                  </w:tcBorders>
                  <w:vAlign w:val="center"/>
                </w:tcPr>
                <w:p w14:paraId="752C2AA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p>
              </w:tc>
              <w:tc>
                <w:tcPr>
                  <w:tcW w:w="1220" w:type="dxa"/>
                  <w:tcBorders>
                    <w:tl2br w:val="nil"/>
                    <w:tr2bl w:val="nil"/>
                  </w:tcBorders>
                  <w:vAlign w:val="center"/>
                </w:tcPr>
                <w:p w14:paraId="1AD9B36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r>
                    <w:rPr>
                      <w:rFonts w:hint="default" w:ascii="Times New Roman" w:hAnsi="Times New Roman" w:cs="Times New Roman"/>
                      <w:color w:val="auto"/>
                    </w:rPr>
                    <w:t>（东）</w:t>
                  </w:r>
                </w:p>
              </w:tc>
              <w:tc>
                <w:tcPr>
                  <w:tcW w:w="1255" w:type="dxa"/>
                  <w:tcBorders>
                    <w:tl2br w:val="nil"/>
                    <w:tr2bl w:val="nil"/>
                  </w:tcBorders>
                  <w:vAlign w:val="bottom"/>
                </w:tcPr>
                <w:p w14:paraId="567434C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51.02 </w:t>
                  </w:r>
                </w:p>
              </w:tc>
              <w:tc>
                <w:tcPr>
                  <w:tcW w:w="566" w:type="dxa"/>
                  <w:vMerge w:val="restart"/>
                  <w:tcBorders>
                    <w:tl2br w:val="nil"/>
                    <w:tr2bl w:val="nil"/>
                  </w:tcBorders>
                  <w:vAlign w:val="center"/>
                </w:tcPr>
                <w:p w14:paraId="428F483E">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1339" w:type="dxa"/>
                  <w:vMerge w:val="restart"/>
                  <w:tcBorders>
                    <w:tl2br w:val="nil"/>
                    <w:tr2bl w:val="nil"/>
                  </w:tcBorders>
                  <w:vAlign w:val="center"/>
                </w:tcPr>
                <w:p w14:paraId="26FE911F">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3BDA261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36.02 </w:t>
                  </w:r>
                </w:p>
              </w:tc>
            </w:tr>
            <w:tr w14:paraId="3F82B88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237C7E54">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17C5C7C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D0214A2">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0075CFC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56D247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1C0071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C69807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355E43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4F05A90">
                  <w:pPr>
                    <w:pStyle w:val="3"/>
                    <w:bidi w:val="0"/>
                    <w:rPr>
                      <w:rFonts w:hint="default" w:ascii="Times New Roman" w:hAnsi="Times New Roman" w:cs="Times New Roman"/>
                      <w:color w:val="auto"/>
                    </w:rPr>
                  </w:pPr>
                </w:p>
              </w:tc>
              <w:tc>
                <w:tcPr>
                  <w:tcW w:w="1220" w:type="dxa"/>
                  <w:tcBorders>
                    <w:tl2br w:val="nil"/>
                    <w:tr2bl w:val="nil"/>
                  </w:tcBorders>
                  <w:vAlign w:val="center"/>
                </w:tcPr>
                <w:p w14:paraId="429746ED">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073736C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39.42 </w:t>
                  </w:r>
                </w:p>
              </w:tc>
              <w:tc>
                <w:tcPr>
                  <w:tcW w:w="0" w:type="auto"/>
                  <w:vMerge w:val="continue"/>
                  <w:tcBorders>
                    <w:tl2br w:val="nil"/>
                    <w:tr2bl w:val="nil"/>
                  </w:tcBorders>
                  <w:vAlign w:val="center"/>
                </w:tcPr>
                <w:p w14:paraId="591DAFD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648E571">
                  <w:pPr>
                    <w:pStyle w:val="3"/>
                    <w:bidi w:val="0"/>
                    <w:rPr>
                      <w:rFonts w:hint="default" w:ascii="Times New Roman" w:hAnsi="Times New Roman" w:cs="Times New Roman"/>
                      <w:color w:val="auto"/>
                    </w:rPr>
                  </w:pPr>
                </w:p>
              </w:tc>
              <w:tc>
                <w:tcPr>
                  <w:tcW w:w="1045" w:type="dxa"/>
                  <w:tcBorders>
                    <w:tl2br w:val="nil"/>
                    <w:tr2bl w:val="nil"/>
                  </w:tcBorders>
                  <w:vAlign w:val="center"/>
                </w:tcPr>
                <w:p w14:paraId="062F55E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24.42 </w:t>
                  </w:r>
                </w:p>
              </w:tc>
            </w:tr>
            <w:tr w14:paraId="585D748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180F37CC">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258951D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A39118C">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1F0845C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B86DC6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894E4F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9F4232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5FC3AB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0DC9DA2">
                  <w:pPr>
                    <w:pStyle w:val="3"/>
                    <w:bidi w:val="0"/>
                    <w:rPr>
                      <w:rFonts w:hint="default" w:ascii="Times New Roman" w:hAnsi="Times New Roman" w:cs="Times New Roman"/>
                      <w:color w:val="auto"/>
                    </w:rPr>
                  </w:pPr>
                </w:p>
              </w:tc>
              <w:tc>
                <w:tcPr>
                  <w:tcW w:w="0" w:type="auto"/>
                  <w:tcBorders>
                    <w:tl2br w:val="nil"/>
                    <w:tr2bl w:val="nil"/>
                  </w:tcBorders>
                  <w:vAlign w:val="center"/>
                </w:tcPr>
                <w:p w14:paraId="0C218085">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25</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1C2B624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51.02 </w:t>
                  </w:r>
                </w:p>
              </w:tc>
              <w:tc>
                <w:tcPr>
                  <w:tcW w:w="0" w:type="auto"/>
                  <w:vMerge w:val="continue"/>
                  <w:tcBorders>
                    <w:tl2br w:val="nil"/>
                    <w:tr2bl w:val="nil"/>
                  </w:tcBorders>
                  <w:vAlign w:val="center"/>
                </w:tcPr>
                <w:p w14:paraId="31A0AA6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9517669">
                  <w:pPr>
                    <w:pStyle w:val="3"/>
                    <w:bidi w:val="0"/>
                    <w:rPr>
                      <w:rFonts w:hint="default" w:ascii="Times New Roman" w:hAnsi="Times New Roman" w:cs="Times New Roman"/>
                      <w:color w:val="auto"/>
                    </w:rPr>
                  </w:pPr>
                </w:p>
              </w:tc>
              <w:tc>
                <w:tcPr>
                  <w:tcW w:w="1045" w:type="dxa"/>
                  <w:tcBorders>
                    <w:tl2br w:val="nil"/>
                    <w:tr2bl w:val="nil"/>
                  </w:tcBorders>
                  <w:vAlign w:val="center"/>
                </w:tcPr>
                <w:p w14:paraId="3BEEFCA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36.02 </w:t>
                  </w:r>
                </w:p>
              </w:tc>
            </w:tr>
            <w:tr w14:paraId="661625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2DA93252">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47A56CF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9D89E2C">
                  <w:pPr>
                    <w:pStyle w:val="3"/>
                    <w:bidi w:val="0"/>
                    <w:rPr>
                      <w:rFonts w:hint="default" w:ascii="Times New Roman" w:hAnsi="Times New Roman" w:cs="Times New Roman"/>
                      <w:color w:val="auto"/>
                      <w:highlight w:val="none"/>
                    </w:rPr>
                  </w:pPr>
                </w:p>
              </w:tc>
              <w:tc>
                <w:tcPr>
                  <w:tcW w:w="0" w:type="auto"/>
                  <w:vMerge w:val="continue"/>
                  <w:tcBorders>
                    <w:tl2br w:val="nil"/>
                    <w:tr2bl w:val="nil"/>
                  </w:tcBorders>
                  <w:vAlign w:val="center"/>
                </w:tcPr>
                <w:p w14:paraId="0804DE5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0ABF38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BA7775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53912F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127C27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2FF358E">
                  <w:pPr>
                    <w:pStyle w:val="3"/>
                    <w:bidi w:val="0"/>
                    <w:rPr>
                      <w:rFonts w:hint="default" w:ascii="Times New Roman" w:hAnsi="Times New Roman" w:cs="Times New Roman"/>
                      <w:color w:val="auto"/>
                    </w:rPr>
                  </w:pPr>
                </w:p>
              </w:tc>
              <w:tc>
                <w:tcPr>
                  <w:tcW w:w="0" w:type="auto"/>
                  <w:tcBorders>
                    <w:tl2br w:val="nil"/>
                    <w:tr2bl w:val="nil"/>
                  </w:tcBorders>
                  <w:vAlign w:val="center"/>
                </w:tcPr>
                <w:p w14:paraId="16867DB0">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9</w:t>
                  </w:r>
                  <w:r>
                    <w:rPr>
                      <w:rFonts w:hint="default" w:ascii="Times New Roman" w:hAnsi="Times New Roman" w:cs="Times New Roman"/>
                      <w:color w:val="auto"/>
                    </w:rPr>
                    <w:t>（北）</w:t>
                  </w:r>
                </w:p>
              </w:tc>
              <w:tc>
                <w:tcPr>
                  <w:tcW w:w="1255" w:type="dxa"/>
                  <w:tcBorders>
                    <w:tl2br w:val="nil"/>
                    <w:tr2bl w:val="nil"/>
                  </w:tcBorders>
                  <w:vAlign w:val="bottom"/>
                </w:tcPr>
                <w:p w14:paraId="129C87E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45.92 </w:t>
                  </w:r>
                </w:p>
              </w:tc>
              <w:tc>
                <w:tcPr>
                  <w:tcW w:w="0" w:type="auto"/>
                  <w:vMerge w:val="continue"/>
                  <w:tcBorders>
                    <w:tl2br w:val="nil"/>
                    <w:tr2bl w:val="nil"/>
                  </w:tcBorders>
                  <w:vAlign w:val="center"/>
                </w:tcPr>
                <w:p w14:paraId="09557F6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1EB60AB">
                  <w:pPr>
                    <w:pStyle w:val="3"/>
                    <w:bidi w:val="0"/>
                    <w:rPr>
                      <w:rFonts w:hint="default" w:ascii="Times New Roman" w:hAnsi="Times New Roman" w:cs="Times New Roman"/>
                      <w:color w:val="auto"/>
                    </w:rPr>
                  </w:pPr>
                </w:p>
              </w:tc>
              <w:tc>
                <w:tcPr>
                  <w:tcW w:w="1045" w:type="dxa"/>
                  <w:tcBorders>
                    <w:tl2br w:val="nil"/>
                    <w:tr2bl w:val="nil"/>
                  </w:tcBorders>
                  <w:vAlign w:val="center"/>
                </w:tcPr>
                <w:p w14:paraId="0592823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30.92 </w:t>
                  </w:r>
                </w:p>
              </w:tc>
            </w:tr>
            <w:tr w14:paraId="41A9A51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7B23402D">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w:t>
                  </w:r>
                  <w:r>
                    <w:rPr>
                      <w:rFonts w:hint="eastAsia" w:ascii="Times New Roman" w:hAnsi="Times New Roman" w:eastAsia="宋体" w:cs="Times New Roman"/>
                      <w:color w:val="auto"/>
                      <w:lang w:val="en-US" w:eastAsia="zh-CN"/>
                    </w:rPr>
                    <w:t>7</w:t>
                  </w:r>
                </w:p>
              </w:tc>
              <w:tc>
                <w:tcPr>
                  <w:tcW w:w="793" w:type="dxa"/>
                  <w:vMerge w:val="continue"/>
                  <w:tcBorders>
                    <w:tl2br w:val="nil"/>
                    <w:tr2bl w:val="nil"/>
                  </w:tcBorders>
                  <w:vAlign w:val="center"/>
                </w:tcPr>
                <w:p w14:paraId="209EB4D6">
                  <w:pPr>
                    <w:pStyle w:val="3"/>
                    <w:bidi w:val="0"/>
                    <w:rPr>
                      <w:rFonts w:hint="default" w:ascii="Times New Roman" w:hAnsi="Times New Roman" w:cs="Times New Roman"/>
                      <w:color w:val="auto"/>
                    </w:rPr>
                  </w:pPr>
                </w:p>
              </w:tc>
              <w:tc>
                <w:tcPr>
                  <w:tcW w:w="0" w:type="auto"/>
                  <w:vMerge w:val="restart"/>
                  <w:tcBorders>
                    <w:tl2br w:val="nil"/>
                    <w:tr2bl w:val="nil"/>
                  </w:tcBorders>
                  <w:shd w:val="clear" w:color="auto" w:fill="auto"/>
                  <w:vAlign w:val="center"/>
                </w:tcPr>
                <w:p w14:paraId="521862D7">
                  <w:pPr>
                    <w:pStyle w:val="3"/>
                    <w:bidi w:val="0"/>
                    <w:ind w:firstLine="0" w:firstLineChars="0"/>
                    <w:rPr>
                      <w:rFonts w:hint="default" w:ascii="Times New Roman" w:hAnsi="Times New Roman" w:eastAsia="宋体" w:cs="Times New Roman"/>
                      <w:bCs/>
                      <w:color w:val="auto"/>
                      <w:kern w:val="44"/>
                      <w:sz w:val="21"/>
                      <w:szCs w:val="48"/>
                      <w:highlight w:val="none"/>
                      <w:lang w:val="en-US" w:eastAsia="zh-CN" w:bidi="ar-SA"/>
                    </w:rPr>
                  </w:pPr>
                  <w:r>
                    <w:rPr>
                      <w:rFonts w:hint="default" w:ascii="Times New Roman" w:hAnsi="Times New Roman" w:cs="Times New Roman"/>
                      <w:color w:val="auto"/>
                      <w:highlight w:val="none"/>
                    </w:rPr>
                    <w:t>液环真空泵</w:t>
                  </w:r>
                  <w:r>
                    <w:rPr>
                      <w:rFonts w:hint="default" w:ascii="Times New Roman" w:hAnsi="Times New Roman" w:eastAsia="宋体" w:cs="Times New Roman"/>
                      <w:color w:val="auto"/>
                      <w:highlight w:val="none"/>
                      <w:lang w:val="en-US" w:eastAsia="zh-CN"/>
                    </w:rPr>
                    <w:t>1#</w:t>
                  </w:r>
                </w:p>
              </w:tc>
              <w:tc>
                <w:tcPr>
                  <w:tcW w:w="0" w:type="auto"/>
                  <w:vMerge w:val="restart"/>
                  <w:tcBorders>
                    <w:tl2br w:val="nil"/>
                    <w:tr2bl w:val="nil"/>
                  </w:tcBorders>
                  <w:vAlign w:val="center"/>
                </w:tcPr>
                <w:p w14:paraId="355203C9">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w:t>
                  </w:r>
                </w:p>
              </w:tc>
              <w:tc>
                <w:tcPr>
                  <w:tcW w:w="0" w:type="auto"/>
                  <w:vMerge w:val="restart"/>
                  <w:tcBorders>
                    <w:tl2br w:val="nil"/>
                    <w:tr2bl w:val="nil"/>
                  </w:tcBorders>
                  <w:vAlign w:val="center"/>
                </w:tcPr>
                <w:p w14:paraId="34C8A279">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0967F83E">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37527BDB">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0" w:type="auto"/>
                  <w:vMerge w:val="restart"/>
                  <w:tcBorders>
                    <w:tl2br w:val="nil"/>
                    <w:tr2bl w:val="nil"/>
                  </w:tcBorders>
                  <w:vAlign w:val="center"/>
                </w:tcPr>
                <w:p w14:paraId="1AD6EA30">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079AAA2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0" w:type="auto"/>
                  <w:tcBorders>
                    <w:tl2br w:val="nil"/>
                    <w:tr2bl w:val="nil"/>
                  </w:tcBorders>
                  <w:vAlign w:val="center"/>
                </w:tcPr>
                <w:p w14:paraId="5138081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r>
                    <w:rPr>
                      <w:rFonts w:hint="default" w:ascii="Times New Roman" w:hAnsi="Times New Roman" w:cs="Times New Roman"/>
                      <w:color w:val="auto"/>
                    </w:rPr>
                    <w:t>（东）</w:t>
                  </w:r>
                </w:p>
              </w:tc>
              <w:tc>
                <w:tcPr>
                  <w:tcW w:w="1255" w:type="dxa"/>
                  <w:tcBorders>
                    <w:tl2br w:val="nil"/>
                    <w:tr2bl w:val="nil"/>
                  </w:tcBorders>
                  <w:vAlign w:val="bottom"/>
                </w:tcPr>
                <w:p w14:paraId="6148962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53.10 </w:t>
                  </w:r>
                </w:p>
              </w:tc>
              <w:tc>
                <w:tcPr>
                  <w:tcW w:w="0" w:type="auto"/>
                  <w:vMerge w:val="restart"/>
                  <w:tcBorders>
                    <w:tl2br w:val="nil"/>
                    <w:tr2bl w:val="nil"/>
                  </w:tcBorders>
                  <w:vAlign w:val="center"/>
                </w:tcPr>
                <w:p w14:paraId="63B0B920">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1510F0D6">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54142A2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38.10 </w:t>
                  </w:r>
                </w:p>
              </w:tc>
            </w:tr>
            <w:tr w14:paraId="67D5693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4AC06C65">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4FE91C6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091D4F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B79E2C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CA8357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CECE67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50ECE8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CA6766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04EC145">
                  <w:pPr>
                    <w:pStyle w:val="3"/>
                    <w:bidi w:val="0"/>
                    <w:rPr>
                      <w:rFonts w:hint="default" w:ascii="Times New Roman" w:hAnsi="Times New Roman" w:cs="Times New Roman"/>
                      <w:color w:val="auto"/>
                    </w:rPr>
                  </w:pPr>
                </w:p>
              </w:tc>
              <w:tc>
                <w:tcPr>
                  <w:tcW w:w="0" w:type="auto"/>
                  <w:tcBorders>
                    <w:tl2br w:val="nil"/>
                    <w:tr2bl w:val="nil"/>
                  </w:tcBorders>
                  <w:vAlign w:val="center"/>
                </w:tcPr>
                <w:p w14:paraId="59B94582">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17</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0032087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45.39 </w:t>
                  </w:r>
                </w:p>
              </w:tc>
              <w:tc>
                <w:tcPr>
                  <w:tcW w:w="0" w:type="auto"/>
                  <w:vMerge w:val="continue"/>
                  <w:tcBorders>
                    <w:tl2br w:val="nil"/>
                    <w:tr2bl w:val="nil"/>
                  </w:tcBorders>
                  <w:vAlign w:val="center"/>
                </w:tcPr>
                <w:p w14:paraId="1238860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71B5024">
                  <w:pPr>
                    <w:pStyle w:val="3"/>
                    <w:bidi w:val="0"/>
                    <w:rPr>
                      <w:rFonts w:hint="default" w:ascii="Times New Roman" w:hAnsi="Times New Roman" w:cs="Times New Roman"/>
                      <w:color w:val="auto"/>
                    </w:rPr>
                  </w:pPr>
                </w:p>
              </w:tc>
              <w:tc>
                <w:tcPr>
                  <w:tcW w:w="1045" w:type="dxa"/>
                  <w:tcBorders>
                    <w:tl2br w:val="nil"/>
                    <w:tr2bl w:val="nil"/>
                  </w:tcBorders>
                  <w:vAlign w:val="center"/>
                </w:tcPr>
                <w:p w14:paraId="33E103A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30.39 </w:t>
                  </w:r>
                </w:p>
              </w:tc>
            </w:tr>
            <w:tr w14:paraId="53EF7C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AE86C0B">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7628326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747725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90266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9F23D1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E7BA72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BDA861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73179D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6CEC344">
                  <w:pPr>
                    <w:pStyle w:val="3"/>
                    <w:bidi w:val="0"/>
                    <w:rPr>
                      <w:rFonts w:hint="default" w:ascii="Times New Roman" w:hAnsi="Times New Roman" w:cs="Times New Roman"/>
                      <w:color w:val="auto"/>
                    </w:rPr>
                  </w:pPr>
                </w:p>
              </w:tc>
              <w:tc>
                <w:tcPr>
                  <w:tcW w:w="0" w:type="auto"/>
                  <w:tcBorders>
                    <w:tl2br w:val="nil"/>
                    <w:tr2bl w:val="nil"/>
                  </w:tcBorders>
                  <w:vAlign w:val="center"/>
                </w:tcPr>
                <w:p w14:paraId="7EB37C27">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23</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4400F28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42.77 </w:t>
                  </w:r>
                </w:p>
              </w:tc>
              <w:tc>
                <w:tcPr>
                  <w:tcW w:w="0" w:type="auto"/>
                  <w:vMerge w:val="continue"/>
                  <w:tcBorders>
                    <w:tl2br w:val="nil"/>
                    <w:tr2bl w:val="nil"/>
                  </w:tcBorders>
                  <w:vAlign w:val="center"/>
                </w:tcPr>
                <w:p w14:paraId="67E3BCC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7FD33F3">
                  <w:pPr>
                    <w:pStyle w:val="3"/>
                    <w:bidi w:val="0"/>
                    <w:rPr>
                      <w:rFonts w:hint="default" w:ascii="Times New Roman" w:hAnsi="Times New Roman" w:cs="Times New Roman"/>
                      <w:color w:val="auto"/>
                    </w:rPr>
                  </w:pPr>
                </w:p>
              </w:tc>
              <w:tc>
                <w:tcPr>
                  <w:tcW w:w="1045" w:type="dxa"/>
                  <w:tcBorders>
                    <w:tl2br w:val="nil"/>
                    <w:tr2bl w:val="nil"/>
                  </w:tcBorders>
                  <w:vAlign w:val="center"/>
                </w:tcPr>
                <w:p w14:paraId="7843B2D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27.77 </w:t>
                  </w:r>
                </w:p>
              </w:tc>
            </w:tr>
            <w:tr w14:paraId="55B6AD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626B584">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0AC1923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DA3354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444CBC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3A1A87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10CA19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36A486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1491AE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32487F7">
                  <w:pPr>
                    <w:pStyle w:val="3"/>
                    <w:bidi w:val="0"/>
                    <w:rPr>
                      <w:rFonts w:hint="default" w:ascii="Times New Roman" w:hAnsi="Times New Roman" w:cs="Times New Roman"/>
                      <w:color w:val="auto"/>
                    </w:rPr>
                  </w:pPr>
                </w:p>
              </w:tc>
              <w:tc>
                <w:tcPr>
                  <w:tcW w:w="0" w:type="auto"/>
                  <w:tcBorders>
                    <w:tl2br w:val="nil"/>
                    <w:tr2bl w:val="nil"/>
                  </w:tcBorders>
                  <w:vAlign w:val="center"/>
                </w:tcPr>
                <w:p w14:paraId="21FA22D8">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11</w:t>
                  </w:r>
                  <w:r>
                    <w:rPr>
                      <w:rFonts w:hint="default" w:ascii="Times New Roman" w:hAnsi="Times New Roman" w:cs="Times New Roman"/>
                      <w:color w:val="auto"/>
                    </w:rPr>
                    <w:t>（北）</w:t>
                  </w:r>
                </w:p>
              </w:tc>
              <w:tc>
                <w:tcPr>
                  <w:tcW w:w="1255" w:type="dxa"/>
                  <w:tcBorders>
                    <w:tl2br w:val="nil"/>
                    <w:tr2bl w:val="nil"/>
                  </w:tcBorders>
                  <w:vAlign w:val="bottom"/>
                </w:tcPr>
                <w:p w14:paraId="29D18E1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49.17 </w:t>
                  </w:r>
                </w:p>
              </w:tc>
              <w:tc>
                <w:tcPr>
                  <w:tcW w:w="0" w:type="auto"/>
                  <w:vMerge w:val="continue"/>
                  <w:tcBorders>
                    <w:tl2br w:val="nil"/>
                    <w:tr2bl w:val="nil"/>
                  </w:tcBorders>
                  <w:vAlign w:val="center"/>
                </w:tcPr>
                <w:p w14:paraId="433E3CB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C591954">
                  <w:pPr>
                    <w:pStyle w:val="3"/>
                    <w:bidi w:val="0"/>
                    <w:rPr>
                      <w:rFonts w:hint="default" w:ascii="Times New Roman" w:hAnsi="Times New Roman" w:cs="Times New Roman"/>
                      <w:color w:val="auto"/>
                    </w:rPr>
                  </w:pPr>
                </w:p>
              </w:tc>
              <w:tc>
                <w:tcPr>
                  <w:tcW w:w="1045" w:type="dxa"/>
                  <w:tcBorders>
                    <w:tl2br w:val="nil"/>
                    <w:tr2bl w:val="nil"/>
                  </w:tcBorders>
                  <w:vAlign w:val="center"/>
                </w:tcPr>
                <w:p w14:paraId="7DF9469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34.17 </w:t>
                  </w:r>
                </w:p>
              </w:tc>
            </w:tr>
            <w:tr w14:paraId="6C44F4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restart"/>
                  <w:tcBorders>
                    <w:tl2br w:val="nil"/>
                    <w:tr2bl w:val="nil"/>
                  </w:tcBorders>
                  <w:vAlign w:val="center"/>
                </w:tcPr>
                <w:p w14:paraId="3DC6B0C0">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p>
              </w:tc>
              <w:tc>
                <w:tcPr>
                  <w:tcW w:w="793" w:type="dxa"/>
                  <w:vMerge w:val="continue"/>
                  <w:tcBorders>
                    <w:tl2br w:val="nil"/>
                    <w:tr2bl w:val="nil"/>
                  </w:tcBorders>
                  <w:vAlign w:val="center"/>
                </w:tcPr>
                <w:p w14:paraId="36A8A9C8">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761B0BAE">
                  <w:pPr>
                    <w:pStyle w:val="3"/>
                    <w:bidi w:val="0"/>
                    <w:rPr>
                      <w:rFonts w:hint="default" w:ascii="Times New Roman" w:hAnsi="Times New Roman" w:cs="Times New Roman"/>
                      <w:color w:val="auto"/>
                      <w:highlight w:val="none"/>
                    </w:rPr>
                  </w:pPr>
                  <w:r>
                    <w:rPr>
                      <w:rFonts w:hint="default" w:ascii="Times New Roman" w:hAnsi="Times New Roman" w:cs="Times New Roman"/>
                      <w:color w:val="auto"/>
                      <w:highlight w:val="none"/>
                    </w:rPr>
                    <w:t>液环真空泵</w:t>
                  </w:r>
                  <w:r>
                    <w:rPr>
                      <w:rFonts w:hint="default" w:ascii="Times New Roman" w:hAnsi="Times New Roman" w:eastAsia="宋体" w:cs="Times New Roman"/>
                      <w:color w:val="auto"/>
                      <w:highlight w:val="none"/>
                      <w:lang w:val="en-US" w:eastAsia="zh-CN"/>
                    </w:rPr>
                    <w:t>2#</w:t>
                  </w:r>
                </w:p>
              </w:tc>
              <w:tc>
                <w:tcPr>
                  <w:tcW w:w="0" w:type="auto"/>
                  <w:vMerge w:val="restart"/>
                  <w:tcBorders>
                    <w:tl2br w:val="nil"/>
                    <w:tr2bl w:val="nil"/>
                  </w:tcBorders>
                  <w:vAlign w:val="center"/>
                </w:tcPr>
                <w:p w14:paraId="0A2BE38B">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47BF143A">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6DBB0B8C">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0321C008">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488013EC">
                  <w:pPr>
                    <w:pStyle w:val="3"/>
                    <w:bidi w:val="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0" w:type="auto"/>
                  <w:vMerge w:val="restart"/>
                  <w:tcBorders>
                    <w:tl2br w:val="nil"/>
                    <w:tr2bl w:val="nil"/>
                  </w:tcBorders>
                  <w:vAlign w:val="center"/>
                </w:tcPr>
                <w:p w14:paraId="430B922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p>
              </w:tc>
              <w:tc>
                <w:tcPr>
                  <w:tcW w:w="0" w:type="auto"/>
                  <w:tcBorders>
                    <w:tl2br w:val="nil"/>
                    <w:tr2bl w:val="nil"/>
                  </w:tcBorders>
                  <w:vAlign w:val="center"/>
                </w:tcPr>
                <w:p w14:paraId="461D5E81">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（东）</w:t>
                  </w:r>
                </w:p>
              </w:tc>
              <w:tc>
                <w:tcPr>
                  <w:tcW w:w="1255" w:type="dxa"/>
                  <w:tcBorders>
                    <w:tl2br w:val="nil"/>
                    <w:tr2bl w:val="nil"/>
                  </w:tcBorders>
                  <w:vAlign w:val="bottom"/>
                </w:tcPr>
                <w:p w14:paraId="5CB157E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54.44 </w:t>
                  </w:r>
                </w:p>
              </w:tc>
              <w:tc>
                <w:tcPr>
                  <w:tcW w:w="566" w:type="dxa"/>
                  <w:vMerge w:val="restart"/>
                  <w:tcBorders>
                    <w:tl2br w:val="nil"/>
                    <w:tr2bl w:val="nil"/>
                  </w:tcBorders>
                  <w:vAlign w:val="center"/>
                </w:tcPr>
                <w:p w14:paraId="6A1A0715">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1339" w:type="dxa"/>
                  <w:vMerge w:val="restart"/>
                  <w:tcBorders>
                    <w:tl2br w:val="nil"/>
                    <w:tr2bl w:val="nil"/>
                  </w:tcBorders>
                  <w:vAlign w:val="center"/>
                </w:tcPr>
                <w:p w14:paraId="0E9E8712">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3AFC986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39.44 </w:t>
                  </w:r>
                </w:p>
              </w:tc>
            </w:tr>
            <w:tr w14:paraId="6F5711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37E80405">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62084C9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FBE297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43DA99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72810C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4F2FF3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2BB544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C1E661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CADC5E3">
                  <w:pPr>
                    <w:pStyle w:val="3"/>
                    <w:bidi w:val="0"/>
                    <w:rPr>
                      <w:rFonts w:hint="default" w:ascii="Times New Roman" w:hAnsi="Times New Roman" w:cs="Times New Roman"/>
                      <w:color w:val="auto"/>
                    </w:rPr>
                  </w:pPr>
                </w:p>
              </w:tc>
              <w:tc>
                <w:tcPr>
                  <w:tcW w:w="0" w:type="auto"/>
                  <w:tcBorders>
                    <w:tl2br w:val="nil"/>
                    <w:tr2bl w:val="nil"/>
                  </w:tcBorders>
                  <w:vAlign w:val="center"/>
                </w:tcPr>
                <w:p w14:paraId="08F91479">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781910C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44.89 </w:t>
                  </w:r>
                </w:p>
              </w:tc>
              <w:tc>
                <w:tcPr>
                  <w:tcW w:w="0" w:type="auto"/>
                  <w:vMerge w:val="continue"/>
                  <w:tcBorders>
                    <w:tl2br w:val="nil"/>
                    <w:tr2bl w:val="nil"/>
                  </w:tcBorders>
                  <w:vAlign w:val="center"/>
                </w:tcPr>
                <w:p w14:paraId="01FD9AC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D539731">
                  <w:pPr>
                    <w:pStyle w:val="3"/>
                    <w:bidi w:val="0"/>
                    <w:rPr>
                      <w:rFonts w:hint="default" w:ascii="Times New Roman" w:hAnsi="Times New Roman" w:cs="Times New Roman"/>
                      <w:color w:val="auto"/>
                    </w:rPr>
                  </w:pPr>
                </w:p>
              </w:tc>
              <w:tc>
                <w:tcPr>
                  <w:tcW w:w="1045" w:type="dxa"/>
                  <w:tcBorders>
                    <w:tl2br w:val="nil"/>
                    <w:tr2bl w:val="nil"/>
                  </w:tcBorders>
                  <w:vAlign w:val="center"/>
                </w:tcPr>
                <w:p w14:paraId="63B443C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29.89 </w:t>
                  </w:r>
                </w:p>
              </w:tc>
            </w:tr>
            <w:tr w14:paraId="53ED2C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73C9424B">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55D14F4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464E11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7FD8D2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0EB669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40D3AD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61C266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AA3931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B85DB38">
                  <w:pPr>
                    <w:pStyle w:val="3"/>
                    <w:bidi w:val="0"/>
                    <w:rPr>
                      <w:rFonts w:hint="default" w:ascii="Times New Roman" w:hAnsi="Times New Roman" w:cs="Times New Roman"/>
                      <w:color w:val="auto"/>
                    </w:rPr>
                  </w:pPr>
                </w:p>
              </w:tc>
              <w:tc>
                <w:tcPr>
                  <w:tcW w:w="0" w:type="auto"/>
                  <w:tcBorders>
                    <w:tl2br w:val="nil"/>
                    <w:tr2bl w:val="nil"/>
                  </w:tcBorders>
                  <w:vAlign w:val="center"/>
                </w:tcPr>
                <w:p w14:paraId="2564A7D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1396DC02">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42.40 </w:t>
                  </w:r>
                </w:p>
              </w:tc>
              <w:tc>
                <w:tcPr>
                  <w:tcW w:w="0" w:type="auto"/>
                  <w:vMerge w:val="continue"/>
                  <w:tcBorders>
                    <w:tl2br w:val="nil"/>
                    <w:tr2bl w:val="nil"/>
                  </w:tcBorders>
                  <w:vAlign w:val="center"/>
                </w:tcPr>
                <w:p w14:paraId="21C2DAC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E79C010">
                  <w:pPr>
                    <w:pStyle w:val="3"/>
                    <w:bidi w:val="0"/>
                    <w:rPr>
                      <w:rFonts w:hint="default" w:ascii="Times New Roman" w:hAnsi="Times New Roman" w:cs="Times New Roman"/>
                      <w:color w:val="auto"/>
                    </w:rPr>
                  </w:pPr>
                </w:p>
              </w:tc>
              <w:tc>
                <w:tcPr>
                  <w:tcW w:w="1045" w:type="dxa"/>
                  <w:tcBorders>
                    <w:tl2br w:val="nil"/>
                    <w:tr2bl w:val="nil"/>
                  </w:tcBorders>
                  <w:vAlign w:val="center"/>
                </w:tcPr>
                <w:p w14:paraId="6A19C5C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27.40 </w:t>
                  </w:r>
                </w:p>
              </w:tc>
            </w:tr>
            <w:tr w14:paraId="1C2688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 w:type="dxa"/>
                  <w:vMerge w:val="continue"/>
                  <w:tcBorders>
                    <w:tl2br w:val="nil"/>
                    <w:tr2bl w:val="nil"/>
                  </w:tcBorders>
                  <w:vAlign w:val="center"/>
                </w:tcPr>
                <w:p w14:paraId="45951652">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0111173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91608B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B02F48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22091F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5E8B9A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788A809">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69EFAD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9AC4243">
                  <w:pPr>
                    <w:pStyle w:val="3"/>
                    <w:bidi w:val="0"/>
                    <w:rPr>
                      <w:rFonts w:hint="default" w:ascii="Times New Roman" w:hAnsi="Times New Roman" w:cs="Times New Roman"/>
                      <w:color w:val="auto"/>
                    </w:rPr>
                  </w:pPr>
                </w:p>
              </w:tc>
              <w:tc>
                <w:tcPr>
                  <w:tcW w:w="0" w:type="auto"/>
                  <w:tcBorders>
                    <w:tl2br w:val="nil"/>
                    <w:tr2bl w:val="nil"/>
                  </w:tcBorders>
                  <w:vAlign w:val="center"/>
                </w:tcPr>
                <w:p w14:paraId="3EBAB708">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default" w:ascii="Times New Roman" w:hAnsi="Times New Roman" w:cs="Times New Roman"/>
                      <w:color w:val="auto"/>
                    </w:rPr>
                    <w:t>（北）</w:t>
                  </w:r>
                </w:p>
              </w:tc>
              <w:tc>
                <w:tcPr>
                  <w:tcW w:w="1255" w:type="dxa"/>
                  <w:tcBorders>
                    <w:tl2br w:val="nil"/>
                    <w:tr2bl w:val="nil"/>
                  </w:tcBorders>
                  <w:vAlign w:val="bottom"/>
                </w:tcPr>
                <w:p w14:paraId="7F6ED01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50.00 </w:t>
                  </w:r>
                </w:p>
              </w:tc>
              <w:tc>
                <w:tcPr>
                  <w:tcW w:w="0" w:type="auto"/>
                  <w:vMerge w:val="continue"/>
                  <w:tcBorders>
                    <w:tl2br w:val="nil"/>
                    <w:tr2bl w:val="nil"/>
                  </w:tcBorders>
                  <w:vAlign w:val="center"/>
                </w:tcPr>
                <w:p w14:paraId="04F21EAF">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31638C7">
                  <w:pPr>
                    <w:pStyle w:val="3"/>
                    <w:bidi w:val="0"/>
                    <w:rPr>
                      <w:rFonts w:hint="default" w:ascii="Times New Roman" w:hAnsi="Times New Roman" w:cs="Times New Roman"/>
                      <w:color w:val="auto"/>
                    </w:rPr>
                  </w:pPr>
                </w:p>
              </w:tc>
              <w:tc>
                <w:tcPr>
                  <w:tcW w:w="1045" w:type="dxa"/>
                  <w:tcBorders>
                    <w:tl2br w:val="nil"/>
                    <w:tr2bl w:val="nil"/>
                  </w:tcBorders>
                  <w:vAlign w:val="center"/>
                </w:tcPr>
                <w:p w14:paraId="2602D63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35.00 </w:t>
                  </w:r>
                </w:p>
              </w:tc>
            </w:tr>
            <w:tr w14:paraId="57A61C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restart"/>
                  <w:tcBorders>
                    <w:tl2br w:val="nil"/>
                    <w:tr2bl w:val="nil"/>
                  </w:tcBorders>
                  <w:vAlign w:val="center"/>
                </w:tcPr>
                <w:p w14:paraId="58896170">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19</w:t>
                  </w:r>
                </w:p>
              </w:tc>
              <w:tc>
                <w:tcPr>
                  <w:tcW w:w="793" w:type="dxa"/>
                  <w:vMerge w:val="continue"/>
                  <w:tcBorders>
                    <w:tl2br w:val="nil"/>
                    <w:tr2bl w:val="nil"/>
                  </w:tcBorders>
                  <w:vAlign w:val="center"/>
                </w:tcPr>
                <w:p w14:paraId="4E8DFF73">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165FA736">
                  <w:pPr>
                    <w:pStyle w:val="3"/>
                    <w:bidi w:val="0"/>
                    <w:rPr>
                      <w:rFonts w:hint="default" w:ascii="Times New Roman" w:hAnsi="Times New Roman" w:cs="Times New Roman"/>
                      <w:color w:val="auto"/>
                    </w:rPr>
                  </w:pPr>
                  <w:r>
                    <w:rPr>
                      <w:rFonts w:hint="default" w:ascii="Times New Roman" w:hAnsi="Times New Roman" w:cs="Times New Roman"/>
                      <w:color w:val="auto"/>
                    </w:rPr>
                    <w:t>脱胶混合器</w:t>
                  </w:r>
                </w:p>
              </w:tc>
              <w:tc>
                <w:tcPr>
                  <w:tcW w:w="0" w:type="auto"/>
                  <w:vMerge w:val="restart"/>
                  <w:tcBorders>
                    <w:tl2br w:val="nil"/>
                    <w:tr2bl w:val="nil"/>
                  </w:tcBorders>
                  <w:vAlign w:val="center"/>
                </w:tcPr>
                <w:p w14:paraId="7FCF78D9">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2A43FFB3">
                  <w:pPr>
                    <w:pStyle w:val="3"/>
                    <w:bidi w:val="0"/>
                    <w:rPr>
                      <w:rFonts w:hint="default" w:ascii="Times New Roman" w:hAnsi="Times New Roman" w:cs="Times New Roman"/>
                      <w:color w:val="auto"/>
                    </w:rPr>
                  </w:pPr>
                  <w:r>
                    <w:rPr>
                      <w:rFonts w:hint="default" w:ascii="Times New Roman" w:hAnsi="Times New Roman" w:cs="Times New Roman"/>
                      <w:color w:val="auto"/>
                    </w:rPr>
                    <w:t>7</w:t>
                  </w:r>
                  <w:r>
                    <w:rPr>
                      <w:rFonts w:hint="default" w:ascii="Times New Roman" w:hAnsi="Times New Roman" w:eastAsia="宋体" w:cs="Times New Roman"/>
                      <w:color w:val="auto"/>
                      <w:lang w:val="en-US" w:eastAsia="zh-CN"/>
                    </w:rPr>
                    <w:t>0</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1</w:t>
                  </w:r>
                </w:p>
              </w:tc>
              <w:tc>
                <w:tcPr>
                  <w:tcW w:w="0" w:type="auto"/>
                  <w:vMerge w:val="continue"/>
                  <w:tcBorders>
                    <w:tl2br w:val="nil"/>
                    <w:tr2bl w:val="nil"/>
                  </w:tcBorders>
                  <w:vAlign w:val="center"/>
                </w:tcPr>
                <w:p w14:paraId="12DB6E22">
                  <w:pPr>
                    <w:pStyle w:val="3"/>
                    <w:bidi w:val="0"/>
                    <w:rPr>
                      <w:rFonts w:hint="default" w:ascii="Times New Roman" w:hAnsi="Times New Roman" w:cs="Times New Roman"/>
                      <w:color w:val="auto"/>
                    </w:rPr>
                  </w:pPr>
                </w:p>
              </w:tc>
              <w:tc>
                <w:tcPr>
                  <w:tcW w:w="0" w:type="auto"/>
                  <w:vMerge w:val="restart"/>
                  <w:tcBorders>
                    <w:tl2br w:val="nil"/>
                    <w:tr2bl w:val="nil"/>
                  </w:tcBorders>
                  <w:vAlign w:val="center"/>
                </w:tcPr>
                <w:p w14:paraId="7C3C8F4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p>
              </w:tc>
              <w:tc>
                <w:tcPr>
                  <w:tcW w:w="0" w:type="auto"/>
                  <w:vMerge w:val="restart"/>
                  <w:tcBorders>
                    <w:tl2br w:val="nil"/>
                    <w:tr2bl w:val="nil"/>
                  </w:tcBorders>
                  <w:vAlign w:val="center"/>
                </w:tcPr>
                <w:p w14:paraId="0F30E2C8">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7</w:t>
                  </w:r>
                </w:p>
              </w:tc>
              <w:tc>
                <w:tcPr>
                  <w:tcW w:w="0" w:type="auto"/>
                  <w:vMerge w:val="restart"/>
                  <w:tcBorders>
                    <w:tl2br w:val="nil"/>
                    <w:tr2bl w:val="nil"/>
                  </w:tcBorders>
                  <w:vAlign w:val="center"/>
                </w:tcPr>
                <w:p w14:paraId="170177E7">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w:t>
                  </w:r>
                </w:p>
              </w:tc>
              <w:tc>
                <w:tcPr>
                  <w:tcW w:w="1220" w:type="dxa"/>
                  <w:tcBorders>
                    <w:tl2br w:val="nil"/>
                    <w:tr2bl w:val="nil"/>
                  </w:tcBorders>
                  <w:vAlign w:val="center"/>
                </w:tcPr>
                <w:p w14:paraId="6E06B798">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w:t>
                  </w:r>
                  <w:r>
                    <w:rPr>
                      <w:rFonts w:hint="default" w:ascii="Times New Roman" w:hAnsi="Times New Roman" w:cs="Times New Roman"/>
                      <w:color w:val="auto"/>
                    </w:rPr>
                    <w:t>（东）</w:t>
                  </w:r>
                </w:p>
              </w:tc>
              <w:tc>
                <w:tcPr>
                  <w:tcW w:w="1255" w:type="dxa"/>
                  <w:tcBorders>
                    <w:tl2br w:val="nil"/>
                    <w:tr2bl w:val="nil"/>
                  </w:tcBorders>
                  <w:vAlign w:val="bottom"/>
                </w:tcPr>
                <w:p w14:paraId="74826FC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54.44 </w:t>
                  </w:r>
                </w:p>
              </w:tc>
              <w:tc>
                <w:tcPr>
                  <w:tcW w:w="0" w:type="auto"/>
                  <w:vMerge w:val="restart"/>
                  <w:tcBorders>
                    <w:tl2br w:val="nil"/>
                    <w:tr2bl w:val="nil"/>
                  </w:tcBorders>
                  <w:vAlign w:val="center"/>
                </w:tcPr>
                <w:p w14:paraId="7CDA6E0F">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c>
                <w:tcPr>
                  <w:tcW w:w="0" w:type="auto"/>
                  <w:vMerge w:val="restart"/>
                  <w:tcBorders>
                    <w:tl2br w:val="nil"/>
                    <w:tr2bl w:val="nil"/>
                  </w:tcBorders>
                  <w:vAlign w:val="center"/>
                </w:tcPr>
                <w:p w14:paraId="6AD917BD">
                  <w:pPr>
                    <w:pStyle w:val="3"/>
                    <w:bidi w:val="0"/>
                    <w:ind w:firstLine="0" w:firstLineChars="0"/>
                    <w:rPr>
                      <w:rFonts w:hint="default" w:ascii="Times New Roman" w:hAnsi="Times New Roman" w:cs="Times New Roman"/>
                      <w:color w:val="auto"/>
                    </w:rPr>
                  </w:pPr>
                  <w:r>
                    <w:rPr>
                      <w:rFonts w:hint="default" w:ascii="Times New Roman" w:hAnsi="Times New Roman" w:eastAsia="宋体" w:cs="Times New Roman"/>
                      <w:color w:val="auto"/>
                      <w:lang w:val="en-US" w:eastAsia="zh-CN"/>
                    </w:rPr>
                    <w:t>15</w:t>
                  </w:r>
                </w:p>
              </w:tc>
              <w:tc>
                <w:tcPr>
                  <w:tcW w:w="1045" w:type="dxa"/>
                  <w:tcBorders>
                    <w:tl2br w:val="nil"/>
                    <w:tr2bl w:val="nil"/>
                  </w:tcBorders>
                  <w:vAlign w:val="center"/>
                </w:tcPr>
                <w:p w14:paraId="45F6467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39.44 </w:t>
                  </w:r>
                </w:p>
              </w:tc>
            </w:tr>
            <w:tr w14:paraId="720837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3322CE57">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3F9FDF05">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02B260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D5715D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30097E6">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7B62CC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93AD4F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7533F3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7865933">
                  <w:pPr>
                    <w:pStyle w:val="3"/>
                    <w:bidi w:val="0"/>
                    <w:rPr>
                      <w:rFonts w:hint="default" w:ascii="Times New Roman" w:hAnsi="Times New Roman" w:cs="Times New Roman"/>
                      <w:color w:val="auto"/>
                    </w:rPr>
                  </w:pPr>
                </w:p>
              </w:tc>
              <w:tc>
                <w:tcPr>
                  <w:tcW w:w="1220" w:type="dxa"/>
                  <w:tcBorders>
                    <w:tl2br w:val="nil"/>
                    <w:tr2bl w:val="nil"/>
                  </w:tcBorders>
                  <w:vAlign w:val="center"/>
                </w:tcPr>
                <w:p w14:paraId="7EE7441B">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18</w:t>
                  </w:r>
                  <w:r>
                    <w:rPr>
                      <w:rFonts w:hint="default" w:ascii="Times New Roman" w:hAnsi="Times New Roman" w:cs="Times New Roman"/>
                      <w:color w:val="auto"/>
                    </w:rPr>
                    <w:t>（</w:t>
                  </w:r>
                  <w:r>
                    <w:rPr>
                      <w:rFonts w:hint="default" w:ascii="Times New Roman" w:hAnsi="Times New Roman" w:eastAsia="宋体" w:cs="Times New Roman"/>
                      <w:color w:val="auto"/>
                      <w:lang w:eastAsia="zh-CN"/>
                    </w:rPr>
                    <w:t>西</w:t>
                  </w:r>
                  <w:r>
                    <w:rPr>
                      <w:rFonts w:hint="default" w:ascii="Times New Roman" w:hAnsi="Times New Roman" w:cs="Times New Roman"/>
                      <w:color w:val="auto"/>
                    </w:rPr>
                    <w:t>）</w:t>
                  </w:r>
                </w:p>
              </w:tc>
              <w:tc>
                <w:tcPr>
                  <w:tcW w:w="1255" w:type="dxa"/>
                  <w:tcBorders>
                    <w:tl2br w:val="nil"/>
                    <w:tr2bl w:val="nil"/>
                  </w:tcBorders>
                  <w:vAlign w:val="bottom"/>
                </w:tcPr>
                <w:p w14:paraId="2AB4398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44.89 </w:t>
                  </w:r>
                </w:p>
              </w:tc>
              <w:tc>
                <w:tcPr>
                  <w:tcW w:w="0" w:type="auto"/>
                  <w:vMerge w:val="continue"/>
                  <w:tcBorders>
                    <w:tl2br w:val="nil"/>
                    <w:tr2bl w:val="nil"/>
                  </w:tcBorders>
                  <w:vAlign w:val="center"/>
                </w:tcPr>
                <w:p w14:paraId="7967BC6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C70148B">
                  <w:pPr>
                    <w:pStyle w:val="3"/>
                    <w:bidi w:val="0"/>
                    <w:rPr>
                      <w:rFonts w:hint="default" w:ascii="Times New Roman" w:hAnsi="Times New Roman" w:cs="Times New Roman"/>
                      <w:color w:val="auto"/>
                    </w:rPr>
                  </w:pPr>
                </w:p>
              </w:tc>
              <w:tc>
                <w:tcPr>
                  <w:tcW w:w="1045" w:type="dxa"/>
                  <w:tcBorders>
                    <w:tl2br w:val="nil"/>
                    <w:tr2bl w:val="nil"/>
                  </w:tcBorders>
                  <w:vAlign w:val="center"/>
                </w:tcPr>
                <w:p w14:paraId="48D37F3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29.89 </w:t>
                  </w:r>
                </w:p>
              </w:tc>
            </w:tr>
            <w:tr w14:paraId="36B3D33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7D2B4450">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7A7F7552">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48BAF85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B4241B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85ACC73">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3D1EEE4">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FCC0651">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0D18736E">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300447BE">
                  <w:pPr>
                    <w:pStyle w:val="3"/>
                    <w:bidi w:val="0"/>
                    <w:rPr>
                      <w:rFonts w:hint="default" w:ascii="Times New Roman" w:hAnsi="Times New Roman" w:cs="Times New Roman"/>
                      <w:color w:val="auto"/>
                    </w:rPr>
                  </w:pPr>
                </w:p>
              </w:tc>
              <w:tc>
                <w:tcPr>
                  <w:tcW w:w="1220" w:type="dxa"/>
                  <w:tcBorders>
                    <w:tl2br w:val="nil"/>
                    <w:tr2bl w:val="nil"/>
                  </w:tcBorders>
                  <w:vAlign w:val="center"/>
                </w:tcPr>
                <w:p w14:paraId="37E0F94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24</w:t>
                  </w:r>
                  <w:r>
                    <w:rPr>
                      <w:rFonts w:hint="default" w:ascii="Times New Roman" w:hAnsi="Times New Roman" w:cs="Times New Roman"/>
                      <w:color w:val="auto"/>
                    </w:rPr>
                    <w:t>（</w:t>
                  </w:r>
                  <w:r>
                    <w:rPr>
                      <w:rFonts w:hint="default" w:ascii="Times New Roman" w:hAnsi="Times New Roman" w:eastAsia="宋体" w:cs="Times New Roman"/>
                      <w:color w:val="auto"/>
                      <w:lang w:eastAsia="zh-CN"/>
                    </w:rPr>
                    <w:t>南</w:t>
                  </w:r>
                  <w:r>
                    <w:rPr>
                      <w:rFonts w:hint="default" w:ascii="Times New Roman" w:hAnsi="Times New Roman" w:cs="Times New Roman"/>
                      <w:color w:val="auto"/>
                    </w:rPr>
                    <w:t>）</w:t>
                  </w:r>
                </w:p>
              </w:tc>
              <w:tc>
                <w:tcPr>
                  <w:tcW w:w="1255" w:type="dxa"/>
                  <w:tcBorders>
                    <w:tl2br w:val="nil"/>
                    <w:tr2bl w:val="nil"/>
                  </w:tcBorders>
                  <w:vAlign w:val="bottom"/>
                </w:tcPr>
                <w:p w14:paraId="651482CA">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42.40 </w:t>
                  </w:r>
                </w:p>
              </w:tc>
              <w:tc>
                <w:tcPr>
                  <w:tcW w:w="0" w:type="auto"/>
                  <w:vMerge w:val="continue"/>
                  <w:tcBorders>
                    <w:tl2br w:val="nil"/>
                    <w:tr2bl w:val="nil"/>
                  </w:tcBorders>
                  <w:vAlign w:val="center"/>
                </w:tcPr>
                <w:p w14:paraId="37E2539D">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31D4B50">
                  <w:pPr>
                    <w:pStyle w:val="3"/>
                    <w:bidi w:val="0"/>
                    <w:rPr>
                      <w:rFonts w:hint="default" w:ascii="Times New Roman" w:hAnsi="Times New Roman" w:cs="Times New Roman"/>
                      <w:color w:val="auto"/>
                    </w:rPr>
                  </w:pPr>
                </w:p>
              </w:tc>
              <w:tc>
                <w:tcPr>
                  <w:tcW w:w="1045" w:type="dxa"/>
                  <w:tcBorders>
                    <w:tl2br w:val="nil"/>
                    <w:tr2bl w:val="nil"/>
                  </w:tcBorders>
                  <w:vAlign w:val="center"/>
                </w:tcPr>
                <w:p w14:paraId="24D06F5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27.40 </w:t>
                  </w:r>
                </w:p>
              </w:tc>
            </w:tr>
            <w:tr w14:paraId="343C7B4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l2br w:val="nil"/>
                    <w:tr2bl w:val="nil"/>
                  </w:tcBorders>
                  <w:vAlign w:val="center"/>
                </w:tcPr>
                <w:p w14:paraId="12664650">
                  <w:pPr>
                    <w:pStyle w:val="3"/>
                    <w:bidi w:val="0"/>
                    <w:rPr>
                      <w:rFonts w:hint="default" w:ascii="Times New Roman" w:hAnsi="Times New Roman" w:cs="Times New Roman"/>
                      <w:color w:val="auto"/>
                    </w:rPr>
                  </w:pPr>
                </w:p>
              </w:tc>
              <w:tc>
                <w:tcPr>
                  <w:tcW w:w="793" w:type="dxa"/>
                  <w:vMerge w:val="continue"/>
                  <w:tcBorders>
                    <w:tl2br w:val="nil"/>
                    <w:tr2bl w:val="nil"/>
                  </w:tcBorders>
                  <w:vAlign w:val="center"/>
                </w:tcPr>
                <w:p w14:paraId="56312B3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91D6028">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502DFF0">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CA9FE7A">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12FC7D5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6E8BA857">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70889D1B">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55ABEB00">
                  <w:pPr>
                    <w:pStyle w:val="3"/>
                    <w:bidi w:val="0"/>
                    <w:rPr>
                      <w:rFonts w:hint="default" w:ascii="Times New Roman" w:hAnsi="Times New Roman" w:cs="Times New Roman"/>
                      <w:color w:val="auto"/>
                    </w:rPr>
                  </w:pPr>
                </w:p>
              </w:tc>
              <w:tc>
                <w:tcPr>
                  <w:tcW w:w="1220" w:type="dxa"/>
                  <w:tcBorders>
                    <w:tl2br w:val="nil"/>
                    <w:tr2bl w:val="nil"/>
                  </w:tcBorders>
                  <w:vAlign w:val="center"/>
                </w:tcPr>
                <w:p w14:paraId="59891CB4">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w:t>
                  </w:r>
                  <w:r>
                    <w:rPr>
                      <w:rFonts w:hint="default" w:ascii="Times New Roman" w:hAnsi="Times New Roman" w:cs="Times New Roman"/>
                      <w:color w:val="auto"/>
                    </w:rPr>
                    <w:t>（北）</w:t>
                  </w:r>
                </w:p>
              </w:tc>
              <w:tc>
                <w:tcPr>
                  <w:tcW w:w="1255" w:type="dxa"/>
                  <w:tcBorders>
                    <w:tl2br w:val="nil"/>
                    <w:tr2bl w:val="nil"/>
                  </w:tcBorders>
                  <w:vAlign w:val="bottom"/>
                </w:tcPr>
                <w:p w14:paraId="5EDEE57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50.00 </w:t>
                  </w:r>
                </w:p>
              </w:tc>
              <w:tc>
                <w:tcPr>
                  <w:tcW w:w="0" w:type="auto"/>
                  <w:vMerge w:val="continue"/>
                  <w:tcBorders>
                    <w:tl2br w:val="nil"/>
                    <w:tr2bl w:val="nil"/>
                  </w:tcBorders>
                  <w:vAlign w:val="center"/>
                </w:tcPr>
                <w:p w14:paraId="2F60765C">
                  <w:pPr>
                    <w:pStyle w:val="3"/>
                    <w:bidi w:val="0"/>
                    <w:rPr>
                      <w:rFonts w:hint="default" w:ascii="Times New Roman" w:hAnsi="Times New Roman" w:cs="Times New Roman"/>
                      <w:color w:val="auto"/>
                    </w:rPr>
                  </w:pPr>
                </w:p>
              </w:tc>
              <w:tc>
                <w:tcPr>
                  <w:tcW w:w="0" w:type="auto"/>
                  <w:vMerge w:val="continue"/>
                  <w:tcBorders>
                    <w:tl2br w:val="nil"/>
                    <w:tr2bl w:val="nil"/>
                  </w:tcBorders>
                  <w:vAlign w:val="center"/>
                </w:tcPr>
                <w:p w14:paraId="2FEC2FC3">
                  <w:pPr>
                    <w:pStyle w:val="3"/>
                    <w:bidi w:val="0"/>
                    <w:rPr>
                      <w:rFonts w:hint="default" w:ascii="Times New Roman" w:hAnsi="Times New Roman" w:cs="Times New Roman"/>
                      <w:color w:val="auto"/>
                    </w:rPr>
                  </w:pPr>
                </w:p>
              </w:tc>
              <w:tc>
                <w:tcPr>
                  <w:tcW w:w="1045" w:type="dxa"/>
                  <w:tcBorders>
                    <w:tl2br w:val="nil"/>
                    <w:tr2bl w:val="nil"/>
                  </w:tcBorders>
                  <w:vAlign w:val="center"/>
                </w:tcPr>
                <w:p w14:paraId="046FEE3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35.00 </w:t>
                  </w:r>
                </w:p>
              </w:tc>
            </w:tr>
            <w:tr w14:paraId="1020520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0" w:type="auto"/>
                  <w:gridSpan w:val="14"/>
                  <w:tcBorders>
                    <w:tl2br w:val="nil"/>
                    <w:tr2bl w:val="nil"/>
                  </w:tcBorders>
                  <w:vAlign w:val="center"/>
                </w:tcPr>
                <w:p w14:paraId="35896321">
                  <w:pPr>
                    <w:pStyle w:val="3"/>
                    <w:bidi w:val="0"/>
                    <w:jc w:val="both"/>
                    <w:rPr>
                      <w:rFonts w:hint="default" w:ascii="Times New Roman" w:hAnsi="Times New Roman" w:cs="Times New Roman"/>
                      <w:color w:val="auto"/>
                    </w:rPr>
                  </w:pPr>
                  <w:r>
                    <w:rPr>
                      <w:rFonts w:hint="default" w:ascii="Times New Roman" w:hAnsi="Times New Roman" w:cs="Times New Roman"/>
                      <w:color w:val="auto"/>
                    </w:rPr>
                    <w:t>备注：本项目以生产厂房中心为空间相对位置坐标原点，南北走向为X轴</w:t>
                  </w:r>
                  <w:r>
                    <w:rPr>
                      <w:rFonts w:hint="default" w:ascii="Times New Roman" w:hAnsi="Times New Roman" w:eastAsia="宋体" w:cs="Times New Roman"/>
                      <w:color w:val="auto"/>
                      <w:lang w:eastAsia="zh-CN"/>
                    </w:rPr>
                    <w:t>，</w:t>
                  </w:r>
                  <w:r>
                    <w:rPr>
                      <w:rFonts w:hint="default" w:ascii="Times New Roman" w:hAnsi="Times New Roman" w:cs="Times New Roman"/>
                      <w:color w:val="auto"/>
                    </w:rPr>
                    <w:t>东西走向为Y轴，</w:t>
                  </w:r>
                </w:p>
              </w:tc>
            </w:tr>
          </w:tbl>
          <w:p w14:paraId="5E78099E">
            <w:pPr>
              <w:spacing w:line="360" w:lineRule="auto"/>
              <w:ind w:left="0" w:leftChars="0" w:firstLine="0" w:firstLineChars="0"/>
              <w:jc w:val="center"/>
              <w:rPr>
                <w:color w:val="auto"/>
                <w:sz w:val="21"/>
                <w:szCs w:val="21"/>
                <w:highlight w:val="none"/>
              </w:rPr>
            </w:pPr>
          </w:p>
          <w:p w14:paraId="1DF54F54">
            <w:pPr>
              <w:spacing w:line="360" w:lineRule="auto"/>
              <w:ind w:left="0" w:leftChars="0" w:firstLine="0" w:firstLineChars="0"/>
              <w:jc w:val="center"/>
              <w:rPr>
                <w:color w:val="auto"/>
                <w:sz w:val="21"/>
                <w:szCs w:val="21"/>
                <w:highlight w:val="none"/>
              </w:rPr>
            </w:pPr>
            <w:r>
              <w:rPr>
                <w:color w:val="auto"/>
                <w:sz w:val="21"/>
                <w:szCs w:val="21"/>
                <w:highlight w:val="none"/>
              </w:rPr>
              <w:t>表</w:t>
            </w:r>
            <w:r>
              <w:rPr>
                <w:rFonts w:hint="eastAsia"/>
                <w:color w:val="auto"/>
                <w:sz w:val="21"/>
                <w:szCs w:val="21"/>
                <w:highlight w:val="none"/>
                <w:lang w:val="en-US" w:eastAsia="zh-CN"/>
              </w:rPr>
              <w:t xml:space="preserve">4.4-2 </w:t>
            </w:r>
            <w:r>
              <w:rPr>
                <w:rFonts w:hint="eastAsia"/>
                <w:color w:val="auto"/>
                <w:sz w:val="21"/>
                <w:szCs w:val="21"/>
                <w:highlight w:val="none"/>
              </w:rPr>
              <w:t>噪声源强调查清单（室外声源）</w:t>
            </w:r>
          </w:p>
          <w:tbl>
            <w:tblPr>
              <w:tblStyle w:val="1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1581"/>
              <w:gridCol w:w="952"/>
              <w:gridCol w:w="2941"/>
              <w:gridCol w:w="907"/>
              <w:gridCol w:w="907"/>
              <w:gridCol w:w="740"/>
              <w:gridCol w:w="2219"/>
              <w:gridCol w:w="1612"/>
            </w:tblGrid>
            <w:tr w14:paraId="2584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 w:type="pct"/>
                  <w:vMerge w:val="restart"/>
                  <w:tcBorders>
                    <w:tl2br w:val="nil"/>
                    <w:tr2bl w:val="nil"/>
                  </w:tcBorders>
                  <w:vAlign w:val="center"/>
                </w:tcPr>
                <w:p w14:paraId="4556945D">
                  <w:pPr>
                    <w:pStyle w:val="3"/>
                    <w:bidi w:val="0"/>
                    <w:rPr>
                      <w:rFonts w:hint="default" w:ascii="Times New Roman" w:hAnsi="Times New Roman" w:cs="Times New Roman"/>
                      <w:color w:val="auto"/>
                    </w:rPr>
                  </w:pPr>
                  <w:r>
                    <w:rPr>
                      <w:rFonts w:hint="default" w:ascii="Times New Roman" w:hAnsi="Times New Roman" w:cs="Times New Roman"/>
                      <w:color w:val="auto"/>
                    </w:rPr>
                    <w:t>序</w:t>
                  </w:r>
                </w:p>
                <w:p w14:paraId="67CEA180">
                  <w:pPr>
                    <w:pStyle w:val="3"/>
                    <w:bidi w:val="0"/>
                    <w:rPr>
                      <w:rFonts w:hint="default" w:ascii="Times New Roman" w:hAnsi="Times New Roman" w:cs="Times New Roman"/>
                      <w:color w:val="auto"/>
                    </w:rPr>
                  </w:pPr>
                  <w:r>
                    <w:rPr>
                      <w:rFonts w:hint="default" w:ascii="Times New Roman" w:hAnsi="Times New Roman" w:cs="Times New Roman"/>
                      <w:color w:val="auto"/>
                    </w:rPr>
                    <w:t>号</w:t>
                  </w:r>
                </w:p>
              </w:tc>
              <w:tc>
                <w:tcPr>
                  <w:tcW w:w="633" w:type="pct"/>
                  <w:vMerge w:val="restart"/>
                  <w:tcBorders>
                    <w:tl2br w:val="nil"/>
                    <w:tr2bl w:val="nil"/>
                  </w:tcBorders>
                  <w:vAlign w:val="center"/>
                </w:tcPr>
                <w:p w14:paraId="6D4E9067">
                  <w:pPr>
                    <w:pStyle w:val="3"/>
                    <w:bidi w:val="0"/>
                    <w:rPr>
                      <w:rFonts w:hint="default" w:ascii="Times New Roman" w:hAnsi="Times New Roman" w:cs="Times New Roman"/>
                      <w:color w:val="auto"/>
                    </w:rPr>
                  </w:pPr>
                  <w:r>
                    <w:rPr>
                      <w:rFonts w:hint="default" w:ascii="Times New Roman" w:hAnsi="Times New Roman" w:cs="Times New Roman"/>
                      <w:color w:val="auto"/>
                    </w:rPr>
                    <w:t>声源名称</w:t>
                  </w:r>
                </w:p>
              </w:tc>
              <w:tc>
                <w:tcPr>
                  <w:tcW w:w="381" w:type="pct"/>
                  <w:vMerge w:val="restart"/>
                  <w:tcBorders>
                    <w:tl2br w:val="nil"/>
                    <w:tr2bl w:val="nil"/>
                  </w:tcBorders>
                  <w:vAlign w:val="center"/>
                </w:tcPr>
                <w:p w14:paraId="1C3230E6">
                  <w:pPr>
                    <w:pStyle w:val="3"/>
                    <w:bidi w:val="0"/>
                    <w:rPr>
                      <w:rFonts w:hint="default" w:ascii="Times New Roman" w:hAnsi="Times New Roman" w:cs="Times New Roman"/>
                      <w:color w:val="auto"/>
                    </w:rPr>
                  </w:pPr>
                  <w:r>
                    <w:rPr>
                      <w:rFonts w:hint="default" w:ascii="Times New Roman" w:hAnsi="Times New Roman" w:cs="Times New Roman"/>
                      <w:color w:val="auto"/>
                    </w:rPr>
                    <w:t>型号</w:t>
                  </w:r>
                </w:p>
              </w:tc>
              <w:tc>
                <w:tcPr>
                  <w:tcW w:w="1177" w:type="pct"/>
                  <w:vMerge w:val="restart"/>
                  <w:tcBorders>
                    <w:tl2br w:val="nil"/>
                    <w:tr2bl w:val="nil"/>
                  </w:tcBorders>
                  <w:vAlign w:val="center"/>
                </w:tcPr>
                <w:p w14:paraId="3E958BDD">
                  <w:pPr>
                    <w:pStyle w:val="3"/>
                    <w:bidi w:val="0"/>
                    <w:rPr>
                      <w:rFonts w:hint="default" w:ascii="Times New Roman" w:hAnsi="Times New Roman" w:cs="Times New Roman"/>
                      <w:color w:val="auto"/>
                    </w:rPr>
                  </w:pPr>
                  <w:r>
                    <w:rPr>
                      <w:rFonts w:hint="default" w:ascii="Times New Roman" w:hAnsi="Times New Roman" w:cs="Times New Roman"/>
                      <w:color w:val="auto"/>
                    </w:rPr>
                    <w:t>声压级/距声源距离</w:t>
                  </w:r>
                </w:p>
                <w:p w14:paraId="30209534">
                  <w:pPr>
                    <w:pStyle w:val="3"/>
                    <w:bidi w:val="0"/>
                    <w:rPr>
                      <w:rFonts w:hint="default" w:ascii="Times New Roman" w:hAnsi="Times New Roman" w:cs="Times New Roman"/>
                      <w:color w:val="auto"/>
                    </w:rPr>
                  </w:pPr>
                  <w:r>
                    <w:rPr>
                      <w:rFonts w:hint="default" w:ascii="Times New Roman" w:hAnsi="Times New Roman" w:cs="Times New Roman"/>
                      <w:color w:val="auto"/>
                    </w:rPr>
                    <w:t>（dB(A)/m）</w:t>
                  </w:r>
                </w:p>
              </w:tc>
              <w:tc>
                <w:tcPr>
                  <w:tcW w:w="1022" w:type="pct"/>
                  <w:gridSpan w:val="3"/>
                  <w:tcBorders>
                    <w:tl2br w:val="nil"/>
                    <w:tr2bl w:val="nil"/>
                  </w:tcBorders>
                  <w:vAlign w:val="center"/>
                </w:tcPr>
                <w:p w14:paraId="63650728">
                  <w:pPr>
                    <w:pStyle w:val="3"/>
                    <w:bidi w:val="0"/>
                    <w:rPr>
                      <w:rFonts w:hint="default" w:ascii="Times New Roman" w:hAnsi="Times New Roman" w:cs="Times New Roman"/>
                      <w:color w:val="auto"/>
                    </w:rPr>
                  </w:pPr>
                  <w:r>
                    <w:rPr>
                      <w:rFonts w:hint="default" w:ascii="Times New Roman" w:hAnsi="Times New Roman" w:cs="Times New Roman"/>
                      <w:color w:val="auto"/>
                    </w:rPr>
                    <w:t>空间相对位置/m</w:t>
                  </w:r>
                </w:p>
              </w:tc>
              <w:tc>
                <w:tcPr>
                  <w:tcW w:w="888" w:type="pct"/>
                  <w:vMerge w:val="restart"/>
                  <w:tcBorders>
                    <w:tl2br w:val="nil"/>
                    <w:tr2bl w:val="nil"/>
                  </w:tcBorders>
                  <w:vAlign w:val="center"/>
                </w:tcPr>
                <w:p w14:paraId="24D307CD">
                  <w:pPr>
                    <w:pStyle w:val="3"/>
                    <w:bidi w:val="0"/>
                    <w:rPr>
                      <w:rFonts w:hint="default" w:ascii="Times New Roman" w:hAnsi="Times New Roman" w:cs="Times New Roman"/>
                      <w:color w:val="auto"/>
                    </w:rPr>
                  </w:pPr>
                  <w:r>
                    <w:rPr>
                      <w:rFonts w:hint="default" w:ascii="Times New Roman" w:hAnsi="Times New Roman" w:cs="Times New Roman"/>
                      <w:color w:val="auto"/>
                    </w:rPr>
                    <w:t>声源控制措施</w:t>
                  </w:r>
                </w:p>
              </w:tc>
              <w:tc>
                <w:tcPr>
                  <w:tcW w:w="641" w:type="pct"/>
                  <w:vMerge w:val="restart"/>
                  <w:tcBorders>
                    <w:tl2br w:val="nil"/>
                    <w:tr2bl w:val="nil"/>
                  </w:tcBorders>
                  <w:vAlign w:val="center"/>
                </w:tcPr>
                <w:p w14:paraId="3B58E9B4">
                  <w:pPr>
                    <w:pStyle w:val="3"/>
                    <w:bidi w:val="0"/>
                    <w:rPr>
                      <w:rFonts w:hint="default" w:ascii="Times New Roman" w:hAnsi="Times New Roman" w:cs="Times New Roman"/>
                      <w:color w:val="auto"/>
                    </w:rPr>
                  </w:pPr>
                  <w:r>
                    <w:rPr>
                      <w:rFonts w:hint="default" w:ascii="Times New Roman" w:hAnsi="Times New Roman" w:cs="Times New Roman"/>
                      <w:color w:val="auto"/>
                    </w:rPr>
                    <w:t>运行时段</w:t>
                  </w:r>
                </w:p>
              </w:tc>
            </w:tr>
            <w:tr w14:paraId="193F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54" w:type="pct"/>
                  <w:vMerge w:val="continue"/>
                  <w:tcBorders>
                    <w:tl2br w:val="nil"/>
                    <w:tr2bl w:val="nil"/>
                  </w:tcBorders>
                  <w:vAlign w:val="center"/>
                </w:tcPr>
                <w:p w14:paraId="33DED8F6">
                  <w:pPr>
                    <w:pStyle w:val="3"/>
                    <w:bidi w:val="0"/>
                    <w:rPr>
                      <w:rFonts w:hint="default" w:ascii="Times New Roman" w:hAnsi="Times New Roman" w:cs="Times New Roman"/>
                      <w:color w:val="auto"/>
                    </w:rPr>
                  </w:pPr>
                </w:p>
              </w:tc>
              <w:tc>
                <w:tcPr>
                  <w:tcW w:w="633" w:type="pct"/>
                  <w:vMerge w:val="continue"/>
                  <w:tcBorders>
                    <w:tl2br w:val="nil"/>
                    <w:tr2bl w:val="nil"/>
                  </w:tcBorders>
                  <w:vAlign w:val="center"/>
                </w:tcPr>
                <w:p w14:paraId="2F3BE5A4">
                  <w:pPr>
                    <w:pStyle w:val="3"/>
                    <w:bidi w:val="0"/>
                    <w:rPr>
                      <w:rFonts w:hint="default" w:ascii="Times New Roman" w:hAnsi="Times New Roman" w:cs="Times New Roman"/>
                      <w:color w:val="auto"/>
                    </w:rPr>
                  </w:pPr>
                </w:p>
              </w:tc>
              <w:tc>
                <w:tcPr>
                  <w:tcW w:w="381" w:type="pct"/>
                  <w:vMerge w:val="continue"/>
                  <w:tcBorders>
                    <w:tl2br w:val="nil"/>
                    <w:tr2bl w:val="nil"/>
                  </w:tcBorders>
                  <w:vAlign w:val="center"/>
                </w:tcPr>
                <w:p w14:paraId="680C0B80">
                  <w:pPr>
                    <w:pStyle w:val="3"/>
                    <w:bidi w:val="0"/>
                    <w:rPr>
                      <w:rFonts w:hint="default" w:ascii="Times New Roman" w:hAnsi="Times New Roman" w:cs="Times New Roman"/>
                      <w:color w:val="auto"/>
                    </w:rPr>
                  </w:pPr>
                </w:p>
              </w:tc>
              <w:tc>
                <w:tcPr>
                  <w:tcW w:w="1177" w:type="pct"/>
                  <w:vMerge w:val="continue"/>
                  <w:tcBorders>
                    <w:tl2br w:val="nil"/>
                    <w:tr2bl w:val="nil"/>
                  </w:tcBorders>
                  <w:vAlign w:val="center"/>
                </w:tcPr>
                <w:p w14:paraId="03CA31A8">
                  <w:pPr>
                    <w:pStyle w:val="3"/>
                    <w:bidi w:val="0"/>
                    <w:rPr>
                      <w:rFonts w:hint="default" w:ascii="Times New Roman" w:hAnsi="Times New Roman" w:cs="Times New Roman"/>
                      <w:color w:val="auto"/>
                    </w:rPr>
                  </w:pPr>
                </w:p>
              </w:tc>
              <w:tc>
                <w:tcPr>
                  <w:tcW w:w="363" w:type="pct"/>
                  <w:tcBorders>
                    <w:tl2br w:val="nil"/>
                    <w:tr2bl w:val="nil"/>
                  </w:tcBorders>
                  <w:vAlign w:val="center"/>
                </w:tcPr>
                <w:p w14:paraId="039B1444">
                  <w:pPr>
                    <w:pStyle w:val="3"/>
                    <w:bidi w:val="0"/>
                    <w:rPr>
                      <w:rFonts w:hint="default" w:ascii="Times New Roman" w:hAnsi="Times New Roman" w:cs="Times New Roman"/>
                      <w:color w:val="auto"/>
                    </w:rPr>
                  </w:pPr>
                  <w:r>
                    <w:rPr>
                      <w:rFonts w:hint="default" w:ascii="Times New Roman" w:hAnsi="Times New Roman" w:cs="Times New Roman"/>
                      <w:color w:val="auto"/>
                    </w:rPr>
                    <w:t>X</w:t>
                  </w:r>
                </w:p>
              </w:tc>
              <w:tc>
                <w:tcPr>
                  <w:tcW w:w="363" w:type="pct"/>
                  <w:tcBorders>
                    <w:tl2br w:val="nil"/>
                    <w:tr2bl w:val="nil"/>
                  </w:tcBorders>
                  <w:vAlign w:val="center"/>
                </w:tcPr>
                <w:p w14:paraId="710BFAB0">
                  <w:pPr>
                    <w:pStyle w:val="3"/>
                    <w:bidi w:val="0"/>
                    <w:rPr>
                      <w:rFonts w:hint="default" w:ascii="Times New Roman" w:hAnsi="Times New Roman" w:cs="Times New Roman"/>
                      <w:color w:val="auto"/>
                    </w:rPr>
                  </w:pPr>
                  <w:r>
                    <w:rPr>
                      <w:rFonts w:hint="default" w:ascii="Times New Roman" w:hAnsi="Times New Roman" w:cs="Times New Roman"/>
                      <w:color w:val="auto"/>
                    </w:rPr>
                    <w:t>Y</w:t>
                  </w:r>
                </w:p>
              </w:tc>
              <w:tc>
                <w:tcPr>
                  <w:tcW w:w="296" w:type="pct"/>
                  <w:tcBorders>
                    <w:tl2br w:val="nil"/>
                    <w:tr2bl w:val="nil"/>
                  </w:tcBorders>
                  <w:vAlign w:val="center"/>
                </w:tcPr>
                <w:p w14:paraId="5EE6256D">
                  <w:pPr>
                    <w:pStyle w:val="3"/>
                    <w:bidi w:val="0"/>
                    <w:rPr>
                      <w:rFonts w:hint="default" w:ascii="Times New Roman" w:hAnsi="Times New Roman" w:cs="Times New Roman"/>
                      <w:color w:val="auto"/>
                    </w:rPr>
                  </w:pPr>
                  <w:r>
                    <w:rPr>
                      <w:rFonts w:hint="default" w:ascii="Times New Roman" w:hAnsi="Times New Roman" w:cs="Times New Roman"/>
                      <w:color w:val="auto"/>
                    </w:rPr>
                    <w:t>Z</w:t>
                  </w:r>
                </w:p>
              </w:tc>
              <w:tc>
                <w:tcPr>
                  <w:tcW w:w="888" w:type="pct"/>
                  <w:vMerge w:val="continue"/>
                  <w:tcBorders>
                    <w:tl2br w:val="nil"/>
                    <w:tr2bl w:val="nil"/>
                  </w:tcBorders>
                  <w:vAlign w:val="center"/>
                </w:tcPr>
                <w:p w14:paraId="130280DC">
                  <w:pPr>
                    <w:pStyle w:val="3"/>
                    <w:bidi w:val="0"/>
                    <w:rPr>
                      <w:rFonts w:hint="default" w:ascii="Times New Roman" w:hAnsi="Times New Roman" w:cs="Times New Roman"/>
                      <w:color w:val="auto"/>
                    </w:rPr>
                  </w:pPr>
                </w:p>
              </w:tc>
              <w:tc>
                <w:tcPr>
                  <w:tcW w:w="641" w:type="pct"/>
                  <w:vMerge w:val="continue"/>
                  <w:tcBorders>
                    <w:tl2br w:val="nil"/>
                    <w:tr2bl w:val="nil"/>
                  </w:tcBorders>
                  <w:vAlign w:val="center"/>
                </w:tcPr>
                <w:p w14:paraId="3ECCFE83">
                  <w:pPr>
                    <w:pStyle w:val="3"/>
                    <w:bidi w:val="0"/>
                    <w:rPr>
                      <w:rFonts w:hint="default" w:ascii="Times New Roman" w:hAnsi="Times New Roman" w:cs="Times New Roman"/>
                      <w:color w:val="auto"/>
                    </w:rPr>
                  </w:pPr>
                </w:p>
              </w:tc>
            </w:tr>
            <w:tr w14:paraId="02E4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tcBorders>
                    <w:tl2br w:val="nil"/>
                    <w:tr2bl w:val="nil"/>
                  </w:tcBorders>
                  <w:vAlign w:val="center"/>
                </w:tcPr>
                <w:p w14:paraId="22EE3515">
                  <w:pPr>
                    <w:pStyle w:val="3"/>
                    <w:bidi w:val="0"/>
                    <w:rPr>
                      <w:rFonts w:hint="default" w:ascii="Times New Roman" w:hAnsi="Times New Roman" w:cs="Times New Roman"/>
                      <w:color w:val="auto"/>
                    </w:rPr>
                  </w:pPr>
                  <w:r>
                    <w:rPr>
                      <w:rFonts w:hint="default" w:ascii="Times New Roman" w:hAnsi="Times New Roman" w:cs="Times New Roman"/>
                      <w:color w:val="auto"/>
                    </w:rPr>
                    <w:t>1</w:t>
                  </w:r>
                </w:p>
              </w:tc>
              <w:tc>
                <w:tcPr>
                  <w:tcW w:w="633" w:type="pct"/>
                  <w:tcBorders>
                    <w:tl2br w:val="nil"/>
                    <w:tr2bl w:val="nil"/>
                  </w:tcBorders>
                  <w:vAlign w:val="center"/>
                </w:tcPr>
                <w:p w14:paraId="17403721">
                  <w:pPr>
                    <w:pStyle w:val="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风机</w:t>
                  </w:r>
                  <w:r>
                    <w:rPr>
                      <w:rFonts w:hint="default" w:ascii="Times New Roman" w:hAnsi="Times New Roman" w:eastAsia="宋体" w:cs="Times New Roman"/>
                      <w:color w:val="auto"/>
                      <w:lang w:val="en-US" w:eastAsia="zh-CN"/>
                    </w:rPr>
                    <w:t>1#</w:t>
                  </w:r>
                </w:p>
              </w:tc>
              <w:tc>
                <w:tcPr>
                  <w:tcW w:w="381" w:type="pct"/>
                  <w:tcBorders>
                    <w:tl2br w:val="nil"/>
                    <w:tr2bl w:val="nil"/>
                  </w:tcBorders>
                  <w:vAlign w:val="center"/>
                </w:tcPr>
                <w:p w14:paraId="0C206D7E">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1177" w:type="pct"/>
                  <w:tcBorders>
                    <w:tl2br w:val="nil"/>
                    <w:tr2bl w:val="nil"/>
                  </w:tcBorders>
                  <w:vAlign w:val="center"/>
                </w:tcPr>
                <w:p w14:paraId="609AABC1">
                  <w:pPr>
                    <w:pStyle w:val="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85/</w:t>
                  </w:r>
                  <w:r>
                    <w:rPr>
                      <w:rFonts w:hint="default" w:ascii="Times New Roman" w:hAnsi="Times New Roman" w:eastAsia="宋体" w:cs="Times New Roman"/>
                      <w:color w:val="auto"/>
                      <w:lang w:val="en-US" w:eastAsia="zh-CN"/>
                    </w:rPr>
                    <w:t>1</w:t>
                  </w:r>
                </w:p>
              </w:tc>
              <w:tc>
                <w:tcPr>
                  <w:tcW w:w="363" w:type="pct"/>
                  <w:tcBorders>
                    <w:tl2br w:val="nil"/>
                    <w:tr2bl w:val="nil"/>
                  </w:tcBorders>
                  <w:vAlign w:val="center"/>
                </w:tcPr>
                <w:p w14:paraId="2DBE79C7">
                  <w:pPr>
                    <w:pStyle w:val="3"/>
                    <w:bidi w:val="0"/>
                    <w:rPr>
                      <w:rFonts w:hint="default" w:ascii="Times New Roman" w:hAnsi="Times New Roman" w:eastAsia="宋体" w:cs="Times New Roman"/>
                      <w:color w:val="auto"/>
                      <w:lang w:val="en-US" w:eastAsia="zh-CN"/>
                    </w:rPr>
                  </w:pPr>
                  <w:r>
                    <w:rPr>
                      <w:rFonts w:hint="default" w:ascii="Times New Roman" w:hAnsi="Times New Roman" w:cs="Times New Roman"/>
                      <w:color w:val="auto"/>
                    </w:rPr>
                    <w:t>-</w:t>
                  </w:r>
                  <w:r>
                    <w:rPr>
                      <w:rFonts w:hint="eastAsia" w:ascii="Times New Roman" w:hAnsi="Times New Roman" w:eastAsia="宋体" w:cs="Times New Roman"/>
                      <w:color w:val="auto"/>
                      <w:lang w:val="en-US" w:eastAsia="zh-CN"/>
                    </w:rPr>
                    <w:t>10</w:t>
                  </w:r>
                </w:p>
              </w:tc>
              <w:tc>
                <w:tcPr>
                  <w:tcW w:w="363" w:type="pct"/>
                  <w:tcBorders>
                    <w:tl2br w:val="nil"/>
                    <w:tr2bl w:val="nil"/>
                  </w:tcBorders>
                  <w:vAlign w:val="center"/>
                </w:tcPr>
                <w:p w14:paraId="2083DC30">
                  <w:pPr>
                    <w:pStyle w:val="3"/>
                    <w:bidi w:val="0"/>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296" w:type="pct"/>
                  <w:tcBorders>
                    <w:tl2br w:val="nil"/>
                    <w:tr2bl w:val="nil"/>
                  </w:tcBorders>
                  <w:vAlign w:val="center"/>
                </w:tcPr>
                <w:p w14:paraId="03F3F0FA">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w:t>
                  </w:r>
                </w:p>
              </w:tc>
              <w:tc>
                <w:tcPr>
                  <w:tcW w:w="888" w:type="pct"/>
                  <w:vMerge w:val="restart"/>
                  <w:tcBorders>
                    <w:tl2br w:val="nil"/>
                    <w:tr2bl w:val="nil"/>
                  </w:tcBorders>
                  <w:vAlign w:val="center"/>
                </w:tcPr>
                <w:p w14:paraId="4FB3F96B">
                  <w:pPr>
                    <w:pStyle w:val="3"/>
                    <w:bidi w:val="0"/>
                    <w:rPr>
                      <w:rFonts w:hint="default" w:ascii="Times New Roman" w:hAnsi="Times New Roman" w:cs="Times New Roman"/>
                      <w:color w:val="auto"/>
                    </w:rPr>
                  </w:pPr>
                  <w:r>
                    <w:rPr>
                      <w:rFonts w:hint="default" w:ascii="Times New Roman" w:hAnsi="Times New Roman" w:cs="Times New Roman"/>
                      <w:color w:val="auto"/>
                    </w:rPr>
                    <w:t>隔声罩、减震垫、消声器</w:t>
                  </w:r>
                </w:p>
              </w:tc>
              <w:tc>
                <w:tcPr>
                  <w:tcW w:w="641" w:type="pct"/>
                  <w:tcBorders>
                    <w:tl2br w:val="nil"/>
                    <w:tr2bl w:val="nil"/>
                  </w:tcBorders>
                  <w:vAlign w:val="center"/>
                </w:tcPr>
                <w:p w14:paraId="68231F12">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r>
            <w:tr w14:paraId="0A341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 w:type="pct"/>
                  <w:tcBorders>
                    <w:tl2br w:val="nil"/>
                    <w:tr2bl w:val="nil"/>
                  </w:tcBorders>
                  <w:vAlign w:val="center"/>
                </w:tcPr>
                <w:p w14:paraId="2342BB6F">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2</w:t>
                  </w:r>
                </w:p>
              </w:tc>
              <w:tc>
                <w:tcPr>
                  <w:tcW w:w="633" w:type="pct"/>
                  <w:tcBorders>
                    <w:tl2br w:val="nil"/>
                    <w:tr2bl w:val="nil"/>
                  </w:tcBorders>
                  <w:vAlign w:val="center"/>
                </w:tcPr>
                <w:p w14:paraId="4768046F">
                  <w:pPr>
                    <w:pStyle w:val="3"/>
                    <w:bidi w:val="0"/>
                    <w:rPr>
                      <w:rFonts w:hint="default" w:ascii="Times New Roman" w:hAnsi="Times New Roman" w:cs="Times New Roman"/>
                      <w:color w:val="auto"/>
                    </w:rPr>
                  </w:pPr>
                  <w:r>
                    <w:rPr>
                      <w:rFonts w:hint="default" w:ascii="Times New Roman" w:hAnsi="Times New Roman" w:cs="Times New Roman"/>
                      <w:color w:val="auto"/>
                    </w:rPr>
                    <w:t>风机</w:t>
                  </w:r>
                  <w:r>
                    <w:rPr>
                      <w:rFonts w:hint="default" w:ascii="Times New Roman" w:hAnsi="Times New Roman" w:eastAsia="宋体" w:cs="Times New Roman"/>
                      <w:color w:val="auto"/>
                      <w:lang w:val="en-US" w:eastAsia="zh-CN"/>
                    </w:rPr>
                    <w:t>2#</w:t>
                  </w:r>
                </w:p>
              </w:tc>
              <w:tc>
                <w:tcPr>
                  <w:tcW w:w="381" w:type="pct"/>
                  <w:tcBorders>
                    <w:tl2br w:val="nil"/>
                    <w:tr2bl w:val="nil"/>
                  </w:tcBorders>
                  <w:vAlign w:val="center"/>
                </w:tcPr>
                <w:p w14:paraId="50ADF741">
                  <w:pPr>
                    <w:pStyle w:val="3"/>
                    <w:bidi w:val="0"/>
                    <w:rPr>
                      <w:rFonts w:hint="default" w:ascii="Times New Roman" w:hAnsi="Times New Roman" w:cs="Times New Roman"/>
                      <w:color w:val="auto"/>
                    </w:rPr>
                  </w:pPr>
                  <w:r>
                    <w:rPr>
                      <w:rFonts w:hint="default" w:ascii="Times New Roman" w:hAnsi="Times New Roman" w:cs="Times New Roman"/>
                      <w:color w:val="auto"/>
                    </w:rPr>
                    <w:t>/</w:t>
                  </w:r>
                </w:p>
              </w:tc>
              <w:tc>
                <w:tcPr>
                  <w:tcW w:w="1177" w:type="pct"/>
                  <w:tcBorders>
                    <w:tl2br w:val="nil"/>
                    <w:tr2bl w:val="nil"/>
                  </w:tcBorders>
                  <w:vAlign w:val="center"/>
                </w:tcPr>
                <w:p w14:paraId="3396DF77">
                  <w:pPr>
                    <w:pStyle w:val="3"/>
                    <w:bidi w:val="0"/>
                    <w:rPr>
                      <w:rFonts w:hint="default" w:ascii="Times New Roman" w:hAnsi="Times New Roman" w:cs="Times New Roman"/>
                      <w:color w:val="auto"/>
                    </w:rPr>
                  </w:pPr>
                  <w:r>
                    <w:rPr>
                      <w:rFonts w:hint="default" w:ascii="Times New Roman" w:hAnsi="Times New Roman" w:cs="Times New Roman"/>
                      <w:color w:val="auto"/>
                    </w:rPr>
                    <w:t>85/</w:t>
                  </w:r>
                  <w:r>
                    <w:rPr>
                      <w:rFonts w:hint="default" w:ascii="Times New Roman" w:hAnsi="Times New Roman" w:eastAsia="宋体" w:cs="Times New Roman"/>
                      <w:color w:val="auto"/>
                      <w:lang w:val="en-US" w:eastAsia="zh-CN"/>
                    </w:rPr>
                    <w:t>1</w:t>
                  </w:r>
                </w:p>
              </w:tc>
              <w:tc>
                <w:tcPr>
                  <w:tcW w:w="363" w:type="pct"/>
                  <w:tcBorders>
                    <w:tl2br w:val="nil"/>
                    <w:tr2bl w:val="nil"/>
                  </w:tcBorders>
                  <w:vAlign w:val="center"/>
                </w:tcPr>
                <w:p w14:paraId="02005914">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-5</w:t>
                  </w:r>
                </w:p>
              </w:tc>
              <w:tc>
                <w:tcPr>
                  <w:tcW w:w="363" w:type="pct"/>
                  <w:tcBorders>
                    <w:tl2br w:val="nil"/>
                    <w:tr2bl w:val="nil"/>
                  </w:tcBorders>
                  <w:vAlign w:val="center"/>
                </w:tcPr>
                <w:p w14:paraId="2239D5CC">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w:t>
                  </w:r>
                </w:p>
              </w:tc>
              <w:tc>
                <w:tcPr>
                  <w:tcW w:w="296" w:type="pct"/>
                  <w:tcBorders>
                    <w:tl2br w:val="nil"/>
                    <w:tr2bl w:val="nil"/>
                  </w:tcBorders>
                  <w:vAlign w:val="center"/>
                </w:tcPr>
                <w:p w14:paraId="2846FD95">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18</w:t>
                  </w:r>
                </w:p>
              </w:tc>
              <w:tc>
                <w:tcPr>
                  <w:tcW w:w="888" w:type="pct"/>
                  <w:vMerge w:val="continue"/>
                  <w:tcBorders>
                    <w:tl2br w:val="nil"/>
                    <w:tr2bl w:val="nil"/>
                  </w:tcBorders>
                  <w:vAlign w:val="center"/>
                </w:tcPr>
                <w:p w14:paraId="3217032F">
                  <w:pPr>
                    <w:pStyle w:val="3"/>
                    <w:bidi w:val="0"/>
                    <w:rPr>
                      <w:rFonts w:hint="default" w:ascii="Times New Roman" w:hAnsi="Times New Roman" w:cs="Times New Roman"/>
                      <w:color w:val="auto"/>
                    </w:rPr>
                  </w:pPr>
                </w:p>
              </w:tc>
              <w:tc>
                <w:tcPr>
                  <w:tcW w:w="641" w:type="pct"/>
                  <w:tcBorders>
                    <w:tl2br w:val="nil"/>
                    <w:tr2bl w:val="nil"/>
                  </w:tcBorders>
                  <w:vAlign w:val="center"/>
                </w:tcPr>
                <w:p w14:paraId="4D685BCA">
                  <w:pPr>
                    <w:pStyle w:val="3"/>
                    <w:bidi w:val="0"/>
                    <w:rPr>
                      <w:rFonts w:hint="default" w:ascii="Times New Roman" w:hAnsi="Times New Roman" w:cs="Times New Roman"/>
                      <w:color w:val="auto"/>
                    </w:rPr>
                  </w:pPr>
                  <w:r>
                    <w:rPr>
                      <w:rFonts w:hint="default" w:ascii="Times New Roman" w:hAnsi="Times New Roman" w:eastAsia="宋体" w:cs="Times New Roman"/>
                      <w:color w:val="auto"/>
                      <w:lang w:val="en-US" w:eastAsia="zh-CN"/>
                    </w:rPr>
                    <w:t>24</w:t>
                  </w:r>
                  <w:r>
                    <w:rPr>
                      <w:rFonts w:hint="default" w:ascii="Times New Roman" w:hAnsi="Times New Roman" w:cs="Times New Roman"/>
                      <w:color w:val="auto"/>
                    </w:rPr>
                    <w:t>h</w:t>
                  </w:r>
                </w:p>
              </w:tc>
            </w:tr>
            <w:tr w14:paraId="59F6C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gridSpan w:val="9"/>
                  <w:tcBorders>
                    <w:tl2br w:val="nil"/>
                    <w:tr2bl w:val="nil"/>
                  </w:tcBorders>
                  <w:vAlign w:val="center"/>
                </w:tcPr>
                <w:p w14:paraId="3D7FFD29">
                  <w:pPr>
                    <w:pStyle w:val="3"/>
                    <w:bidi w:val="0"/>
                    <w:jc w:val="both"/>
                    <w:rPr>
                      <w:color w:val="auto"/>
                    </w:rPr>
                  </w:pPr>
                  <w:r>
                    <w:rPr>
                      <w:rFonts w:hint="eastAsia"/>
                      <w:color w:val="auto"/>
                    </w:rPr>
                    <w:t>备注：以生产厂房中心为空间相对位置坐标原点，南北走向为Y轴,东西走向为X轴，</w:t>
                  </w:r>
                </w:p>
              </w:tc>
            </w:tr>
          </w:tbl>
          <w:p w14:paraId="3316DAFB">
            <w:pPr>
              <w:pStyle w:val="23"/>
              <w:snapToGrid w:val="0"/>
              <w:spacing w:line="360" w:lineRule="auto"/>
              <w:ind w:left="0" w:leftChars="0" w:firstLine="480" w:firstLineChars="200"/>
              <w:jc w:val="both"/>
              <w:rPr>
                <w:rFonts w:ascii="Times New Roman" w:eastAsia="宋体" w:cs="Times New Roman"/>
                <w:color w:val="auto"/>
              </w:rPr>
            </w:pPr>
            <w:r>
              <w:rPr>
                <w:rFonts w:ascii="Times New Roman" w:eastAsia="宋体" w:cs="Times New Roman"/>
                <w:color w:val="auto"/>
              </w:rPr>
              <w:t>（2）厂界及声环境保护目标达标情况</w:t>
            </w:r>
          </w:p>
          <w:p w14:paraId="480CC832">
            <w:pPr>
              <w:adjustRightInd w:val="0"/>
              <w:snapToGrid w:val="0"/>
              <w:spacing w:line="360" w:lineRule="auto"/>
              <w:ind w:firstLine="480" w:firstLineChars="200"/>
              <w:rPr>
                <w:snapToGrid w:val="0"/>
                <w:color w:val="auto"/>
                <w:sz w:val="24"/>
              </w:rPr>
            </w:pPr>
            <w:r>
              <w:rPr>
                <w:color w:val="auto"/>
                <w:sz w:val="24"/>
              </w:rPr>
              <w:t>本评价</w:t>
            </w:r>
            <w:r>
              <w:rPr>
                <w:snapToGrid w:val="0"/>
                <w:color w:val="auto"/>
                <w:sz w:val="24"/>
              </w:rPr>
              <w:t>按照《环境影响评价技术导则 声环境》（HJ2.4－2021）中推荐的模式进行预测计算：</w:t>
            </w:r>
          </w:p>
          <w:p w14:paraId="5E72D1E1">
            <w:pPr>
              <w:tabs>
                <w:tab w:val="left" w:pos="3675"/>
              </w:tabs>
              <w:adjustRightInd w:val="0"/>
              <w:snapToGrid w:val="0"/>
              <w:spacing w:line="360" w:lineRule="auto"/>
              <w:ind w:firstLine="470" w:firstLineChars="196"/>
              <w:rPr>
                <w:color w:val="auto"/>
                <w:sz w:val="24"/>
              </w:rPr>
            </w:pPr>
            <w:r>
              <w:rPr>
                <w:color w:val="auto"/>
                <w:sz w:val="24"/>
              </w:rPr>
              <w:t>室内声源等效室外声源声功率级计算公式如下：</w:t>
            </w:r>
          </w:p>
          <w:p w14:paraId="172A0700">
            <w:pPr>
              <w:pStyle w:val="23"/>
              <w:snapToGrid w:val="0"/>
              <w:spacing w:line="360" w:lineRule="auto"/>
              <w:ind w:firstLine="480"/>
              <w:jc w:val="center"/>
              <w:rPr>
                <w:rFonts w:ascii="Times New Roman" w:eastAsia="宋体" w:cs="Times New Roman"/>
                <w:color w:val="auto"/>
              </w:rPr>
            </w:pPr>
            <w:r>
              <w:rPr>
                <w:rFonts w:ascii="Times New Roman" w:eastAsia="宋体" w:cs="Times New Roman"/>
                <w:color w:val="auto"/>
              </w:rPr>
              <w:t>L</w:t>
            </w:r>
            <w:r>
              <w:rPr>
                <w:rFonts w:ascii="Times New Roman" w:eastAsia="宋体" w:cs="Times New Roman"/>
                <w:color w:val="auto"/>
                <w:vertAlign w:val="subscript"/>
              </w:rPr>
              <w:t>p2</w:t>
            </w:r>
            <w:r>
              <w:rPr>
                <w:rFonts w:ascii="Times New Roman" w:eastAsia="宋体" w:cs="Times New Roman"/>
                <w:color w:val="auto"/>
              </w:rPr>
              <w:t>=L</w:t>
            </w:r>
            <w:r>
              <w:rPr>
                <w:rFonts w:ascii="Times New Roman" w:eastAsia="宋体" w:cs="Times New Roman"/>
                <w:color w:val="auto"/>
                <w:vertAlign w:val="subscript"/>
              </w:rPr>
              <w:t>p1</w:t>
            </w:r>
            <w:r>
              <w:rPr>
                <w:rFonts w:ascii="Times New Roman" w:eastAsia="宋体" w:cs="Times New Roman"/>
                <w:color w:val="auto"/>
              </w:rPr>
              <w:t>-(TL+6)</w:t>
            </w:r>
          </w:p>
          <w:p w14:paraId="29CB76AB">
            <w:pPr>
              <w:tabs>
                <w:tab w:val="left" w:pos="3675"/>
              </w:tabs>
              <w:adjustRightInd w:val="0"/>
              <w:snapToGrid w:val="0"/>
              <w:spacing w:line="360" w:lineRule="auto"/>
              <w:ind w:firstLine="470" w:firstLineChars="196"/>
              <w:rPr>
                <w:color w:val="auto"/>
                <w:sz w:val="24"/>
              </w:rPr>
            </w:pPr>
            <w:r>
              <w:rPr>
                <w:color w:val="auto"/>
                <w:sz w:val="24"/>
              </w:rPr>
              <w:t>式中：L</w:t>
            </w:r>
            <w:r>
              <w:rPr>
                <w:color w:val="auto"/>
                <w:sz w:val="24"/>
                <w:vertAlign w:val="subscript"/>
              </w:rPr>
              <w:t>p1</w:t>
            </w:r>
            <w:r>
              <w:rPr>
                <w:color w:val="auto"/>
                <w:sz w:val="24"/>
              </w:rPr>
              <w:t>——靠近开口处（或窗户）室内某倍频带的声压级或A声级，dB；</w:t>
            </w:r>
          </w:p>
          <w:p w14:paraId="0D0D378A">
            <w:pPr>
              <w:tabs>
                <w:tab w:val="left" w:pos="3675"/>
              </w:tabs>
              <w:adjustRightInd w:val="0"/>
              <w:snapToGrid w:val="0"/>
              <w:spacing w:line="360" w:lineRule="auto"/>
              <w:ind w:firstLine="470" w:firstLineChars="196"/>
              <w:rPr>
                <w:color w:val="auto"/>
                <w:sz w:val="24"/>
              </w:rPr>
            </w:pPr>
            <w:r>
              <w:rPr>
                <w:color w:val="auto"/>
                <w:sz w:val="24"/>
              </w:rPr>
              <w:t>L</w:t>
            </w:r>
            <w:r>
              <w:rPr>
                <w:color w:val="auto"/>
                <w:sz w:val="24"/>
                <w:vertAlign w:val="subscript"/>
              </w:rPr>
              <w:t>p2</w:t>
            </w:r>
            <w:r>
              <w:rPr>
                <w:color w:val="auto"/>
                <w:sz w:val="24"/>
              </w:rPr>
              <w:t>——靠近开口处（或窗户）室外某倍频带的声压级或A声级，dB；</w:t>
            </w:r>
          </w:p>
          <w:p w14:paraId="1AA9E28D">
            <w:pPr>
              <w:tabs>
                <w:tab w:val="left" w:pos="3675"/>
              </w:tabs>
              <w:adjustRightInd w:val="0"/>
              <w:snapToGrid w:val="0"/>
              <w:spacing w:line="360" w:lineRule="auto"/>
              <w:ind w:firstLine="470" w:firstLineChars="196"/>
              <w:rPr>
                <w:color w:val="auto"/>
                <w:sz w:val="24"/>
              </w:rPr>
            </w:pPr>
            <w:r>
              <w:rPr>
                <w:color w:val="auto"/>
                <w:sz w:val="24"/>
              </w:rPr>
              <w:t>TL——隔墙（或窗户）倍频带或A声级的隔声量，dB，取10dB(A)。</w:t>
            </w:r>
          </w:p>
          <w:p w14:paraId="32710D4A">
            <w:pPr>
              <w:adjustRightInd w:val="0"/>
              <w:snapToGrid w:val="0"/>
              <w:spacing w:line="360" w:lineRule="auto"/>
              <w:ind w:firstLine="480" w:firstLineChars="200"/>
              <w:rPr>
                <w:snapToGrid w:val="0"/>
                <w:color w:val="auto"/>
                <w:sz w:val="24"/>
              </w:rPr>
            </w:pPr>
            <w:r>
              <w:rPr>
                <w:snapToGrid w:val="0"/>
                <w:color w:val="auto"/>
                <w:sz w:val="24"/>
              </w:rPr>
              <w:t>预测点的预测等效声级（L</w:t>
            </w:r>
            <w:r>
              <w:rPr>
                <w:snapToGrid w:val="0"/>
                <w:color w:val="auto"/>
                <w:sz w:val="24"/>
                <w:vertAlign w:val="subscript"/>
              </w:rPr>
              <w:t>eqg</w:t>
            </w:r>
            <w:r>
              <w:rPr>
                <w:snapToGrid w:val="0"/>
                <w:color w:val="auto"/>
                <w:sz w:val="24"/>
              </w:rPr>
              <w:t>）：</w:t>
            </w:r>
          </w:p>
          <w:p w14:paraId="7E8101DB">
            <w:pPr>
              <w:pStyle w:val="10"/>
              <w:autoSpaceDE w:val="0"/>
              <w:autoSpaceDN w:val="0"/>
              <w:adjustRightInd w:val="0"/>
              <w:snapToGrid w:val="0"/>
              <w:spacing w:line="360" w:lineRule="auto"/>
              <w:ind w:firstLine="480"/>
              <w:jc w:val="center"/>
              <w:textAlignment w:val="baseline"/>
              <w:rPr>
                <w:rFonts w:ascii="Times New Roman" w:hAnsi="Times New Roman"/>
                <w:color w:val="auto"/>
                <w:kern w:val="0"/>
                <w:szCs w:val="24"/>
              </w:rPr>
            </w:pPr>
            <w:r>
              <w:rPr>
                <w:color w:val="auto"/>
              </w:rPr>
              <w:drawing>
                <wp:inline distT="0" distB="0" distL="0" distR="0">
                  <wp:extent cx="2593975" cy="560705"/>
                  <wp:effectExtent l="0" t="0" r="15875"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2594138" cy="560768"/>
                          </a:xfrm>
                          <a:prstGeom prst="rect">
                            <a:avLst/>
                          </a:prstGeom>
                        </pic:spPr>
                      </pic:pic>
                    </a:graphicData>
                  </a:graphic>
                </wp:inline>
              </w:drawing>
            </w:r>
          </w:p>
          <w:p w14:paraId="17B08DC6">
            <w:pPr>
              <w:adjustRightInd w:val="0"/>
              <w:snapToGrid w:val="0"/>
              <w:spacing w:line="360" w:lineRule="auto"/>
              <w:ind w:firstLine="480" w:firstLineChars="200"/>
              <w:rPr>
                <w:snapToGrid w:val="0"/>
                <w:color w:val="auto"/>
                <w:sz w:val="24"/>
              </w:rPr>
            </w:pPr>
            <w:r>
              <w:rPr>
                <w:rFonts w:hint="eastAsia"/>
                <w:snapToGrid w:val="0"/>
                <w:color w:val="auto"/>
                <w:sz w:val="24"/>
              </w:rPr>
              <w:t>式中：L</w:t>
            </w:r>
            <w:r>
              <w:rPr>
                <w:rFonts w:hint="eastAsia"/>
                <w:snapToGrid w:val="0"/>
                <w:color w:val="auto"/>
                <w:sz w:val="24"/>
                <w:vertAlign w:val="subscript"/>
              </w:rPr>
              <w:t>eqg</w:t>
            </w:r>
            <w:r>
              <w:rPr>
                <w:rFonts w:hint="eastAsia"/>
                <w:snapToGrid w:val="0"/>
                <w:color w:val="auto"/>
                <w:sz w:val="24"/>
              </w:rPr>
              <w:t>——建设项目声源在预测点产生的噪声贡献值，dB（A）；</w:t>
            </w:r>
          </w:p>
          <w:p w14:paraId="0695D66C">
            <w:pPr>
              <w:adjustRightInd w:val="0"/>
              <w:snapToGrid w:val="0"/>
              <w:spacing w:line="360" w:lineRule="auto"/>
              <w:ind w:firstLine="480" w:firstLineChars="200"/>
              <w:rPr>
                <w:snapToGrid w:val="0"/>
                <w:color w:val="auto"/>
                <w:sz w:val="24"/>
              </w:rPr>
            </w:pPr>
            <w:r>
              <w:rPr>
                <w:rFonts w:hint="eastAsia"/>
                <w:snapToGrid w:val="0"/>
                <w:color w:val="auto"/>
                <w:sz w:val="24"/>
              </w:rPr>
              <w:t xml:space="preserve">      </w:t>
            </w:r>
            <w:r>
              <w:rPr>
                <w:snapToGrid w:val="0"/>
                <w:color w:val="auto"/>
                <w:sz w:val="24"/>
              </w:rPr>
              <w:t>T</w:t>
            </w:r>
            <w:r>
              <w:rPr>
                <w:rFonts w:hint="eastAsia"/>
                <w:snapToGrid w:val="0"/>
                <w:color w:val="auto"/>
                <w:sz w:val="24"/>
              </w:rPr>
              <w:t>——用于计算等效声级的时间，</w:t>
            </w:r>
            <w:r>
              <w:rPr>
                <w:snapToGrid w:val="0"/>
                <w:color w:val="auto"/>
                <w:sz w:val="24"/>
              </w:rPr>
              <w:t>s</w:t>
            </w:r>
            <w:r>
              <w:rPr>
                <w:rFonts w:hint="eastAsia"/>
                <w:snapToGrid w:val="0"/>
                <w:color w:val="auto"/>
                <w:sz w:val="24"/>
              </w:rPr>
              <w:t>；</w:t>
            </w:r>
          </w:p>
          <w:p w14:paraId="17DD53A6">
            <w:pPr>
              <w:adjustRightInd w:val="0"/>
              <w:snapToGrid w:val="0"/>
              <w:spacing w:line="360" w:lineRule="auto"/>
              <w:ind w:firstLine="1200" w:firstLineChars="500"/>
              <w:rPr>
                <w:snapToGrid w:val="0"/>
                <w:color w:val="auto"/>
                <w:sz w:val="24"/>
              </w:rPr>
            </w:pPr>
            <w:r>
              <w:rPr>
                <w:snapToGrid w:val="0"/>
                <w:color w:val="auto"/>
                <w:sz w:val="24"/>
              </w:rPr>
              <w:t>N</w:t>
            </w:r>
            <w:r>
              <w:rPr>
                <w:rFonts w:hint="eastAsia"/>
                <w:snapToGrid w:val="0"/>
                <w:color w:val="auto"/>
                <w:sz w:val="24"/>
              </w:rPr>
              <w:t>——室外声源个数；</w:t>
            </w:r>
          </w:p>
          <w:p w14:paraId="4CFC1E0A">
            <w:pPr>
              <w:adjustRightInd w:val="0"/>
              <w:snapToGrid w:val="0"/>
              <w:spacing w:line="360" w:lineRule="auto"/>
              <w:ind w:firstLine="1200" w:firstLineChars="500"/>
              <w:rPr>
                <w:snapToGrid w:val="0"/>
                <w:color w:val="auto"/>
                <w:sz w:val="24"/>
              </w:rPr>
            </w:pPr>
            <w:r>
              <w:rPr>
                <w:snapToGrid w:val="0"/>
                <w:color w:val="auto"/>
                <w:sz w:val="24"/>
              </w:rPr>
              <w:t>t</w:t>
            </w:r>
            <w:r>
              <w:rPr>
                <w:rFonts w:hint="eastAsia"/>
                <w:snapToGrid w:val="0"/>
                <w:color w:val="auto"/>
                <w:sz w:val="24"/>
                <w:vertAlign w:val="subscript"/>
              </w:rPr>
              <w:t>i</w:t>
            </w:r>
            <w:r>
              <w:rPr>
                <w:rFonts w:hint="eastAsia"/>
                <w:snapToGrid w:val="0"/>
                <w:color w:val="auto"/>
                <w:sz w:val="24"/>
              </w:rPr>
              <w:t>——在T时间</w:t>
            </w:r>
            <w:r>
              <w:rPr>
                <w:snapToGrid w:val="0"/>
                <w:color w:val="auto"/>
                <w:sz w:val="24"/>
              </w:rPr>
              <w:t>内i声源工作时间</w:t>
            </w:r>
            <w:r>
              <w:rPr>
                <w:rFonts w:hint="eastAsia"/>
                <w:snapToGrid w:val="0"/>
                <w:color w:val="auto"/>
                <w:sz w:val="24"/>
              </w:rPr>
              <w:t>；</w:t>
            </w:r>
          </w:p>
          <w:p w14:paraId="0D81E1E7">
            <w:pPr>
              <w:adjustRightInd w:val="0"/>
              <w:snapToGrid w:val="0"/>
              <w:spacing w:line="360" w:lineRule="auto"/>
              <w:ind w:firstLine="1200" w:firstLineChars="500"/>
              <w:rPr>
                <w:snapToGrid w:val="0"/>
                <w:color w:val="auto"/>
                <w:sz w:val="24"/>
              </w:rPr>
            </w:pPr>
            <w:r>
              <w:rPr>
                <w:snapToGrid w:val="0"/>
                <w:color w:val="auto"/>
                <w:sz w:val="24"/>
              </w:rPr>
              <w:t>M</w:t>
            </w:r>
            <w:r>
              <w:rPr>
                <w:rFonts w:hint="eastAsia"/>
                <w:snapToGrid w:val="0"/>
                <w:color w:val="auto"/>
                <w:sz w:val="24"/>
              </w:rPr>
              <w:t>——等效室外声源个数；</w:t>
            </w:r>
          </w:p>
          <w:p w14:paraId="2FD0B221">
            <w:pPr>
              <w:adjustRightInd w:val="0"/>
              <w:snapToGrid w:val="0"/>
              <w:spacing w:line="360" w:lineRule="auto"/>
              <w:ind w:firstLine="1200" w:firstLineChars="500"/>
              <w:rPr>
                <w:snapToGrid w:val="0"/>
                <w:color w:val="auto"/>
                <w:sz w:val="24"/>
              </w:rPr>
            </w:pPr>
            <w:r>
              <w:rPr>
                <w:snapToGrid w:val="0"/>
                <w:color w:val="auto"/>
                <w:sz w:val="24"/>
              </w:rPr>
              <w:t>t</w:t>
            </w:r>
            <w:r>
              <w:rPr>
                <w:snapToGrid w:val="0"/>
                <w:color w:val="auto"/>
                <w:sz w:val="24"/>
                <w:vertAlign w:val="subscript"/>
              </w:rPr>
              <w:t>j</w:t>
            </w:r>
            <w:r>
              <w:rPr>
                <w:rFonts w:hint="eastAsia"/>
                <w:snapToGrid w:val="0"/>
                <w:color w:val="auto"/>
                <w:sz w:val="24"/>
              </w:rPr>
              <w:t>——在T时间</w:t>
            </w:r>
            <w:r>
              <w:rPr>
                <w:snapToGrid w:val="0"/>
                <w:color w:val="auto"/>
                <w:sz w:val="24"/>
              </w:rPr>
              <w:t>内j声源工作时间</w:t>
            </w:r>
            <w:r>
              <w:rPr>
                <w:rFonts w:hint="eastAsia"/>
                <w:snapToGrid w:val="0"/>
                <w:color w:val="auto"/>
                <w:sz w:val="24"/>
              </w:rPr>
              <w:t>。</w:t>
            </w:r>
          </w:p>
          <w:p w14:paraId="50D51C9B">
            <w:pPr>
              <w:adjustRightInd w:val="0"/>
              <w:snapToGrid w:val="0"/>
              <w:spacing w:line="360" w:lineRule="auto"/>
              <w:ind w:firstLine="480" w:firstLineChars="200"/>
              <w:rPr>
                <w:snapToGrid w:val="0"/>
                <w:color w:val="auto"/>
                <w:sz w:val="24"/>
              </w:rPr>
            </w:pPr>
            <w:r>
              <w:rPr>
                <w:rFonts w:hint="eastAsia"/>
                <w:snapToGrid w:val="0"/>
                <w:color w:val="auto"/>
                <w:sz w:val="24"/>
              </w:rPr>
              <w:t>预测点的预测等效声级（L</w:t>
            </w:r>
            <w:r>
              <w:rPr>
                <w:rFonts w:hint="eastAsia"/>
                <w:snapToGrid w:val="0"/>
                <w:color w:val="auto"/>
                <w:sz w:val="24"/>
                <w:vertAlign w:val="subscript"/>
              </w:rPr>
              <w:t>eq</w:t>
            </w:r>
            <w:r>
              <w:rPr>
                <w:snapToGrid w:val="0"/>
                <w:color w:val="auto"/>
                <w:sz w:val="24"/>
                <w:vertAlign w:val="subscript"/>
              </w:rPr>
              <w:t>g</w:t>
            </w:r>
            <w:r>
              <w:rPr>
                <w:rFonts w:hint="eastAsia"/>
                <w:snapToGrid w:val="0"/>
                <w:color w:val="auto"/>
                <w:sz w:val="24"/>
              </w:rPr>
              <w:t>）：</w:t>
            </w:r>
          </w:p>
          <w:p w14:paraId="353B1A1E">
            <w:pPr>
              <w:pStyle w:val="10"/>
              <w:autoSpaceDE w:val="0"/>
              <w:autoSpaceDN w:val="0"/>
              <w:adjustRightInd w:val="0"/>
              <w:snapToGrid w:val="0"/>
              <w:spacing w:line="360" w:lineRule="auto"/>
              <w:ind w:firstLine="480"/>
              <w:jc w:val="center"/>
              <w:textAlignment w:val="baseline"/>
              <w:rPr>
                <w:rFonts w:ascii="Times New Roman" w:hAnsi="Times New Roman"/>
                <w:color w:val="auto"/>
                <w:kern w:val="0"/>
                <w:szCs w:val="24"/>
              </w:rPr>
            </w:pPr>
            <w:r>
              <w:rPr>
                <w:rFonts w:ascii="Times New Roman" w:hAnsi="Times New Roman"/>
                <w:color w:val="auto"/>
                <w:kern w:val="0"/>
                <w:szCs w:val="24"/>
              </w:rPr>
              <w:object>
                <v:shape id="_x0000_i1037" o:spt="75" type="#_x0000_t75" style="height:26pt;width:199.95pt;" o:ole="t" filled="f" o:preferrelative="t" stroked="f" coordsize="21600,21600">
                  <v:path/>
                  <v:fill on="f" focussize="0,0"/>
                  <v:stroke on="f" joinstyle="miter"/>
                  <v:imagedata r:id="rId37" o:title=""/>
                  <o:lock v:ext="edit" aspectratio="t"/>
                  <w10:wrap type="none"/>
                  <w10:anchorlock/>
                </v:shape>
                <o:OLEObject Type="Embed" ProgID="Equation.3" ShapeID="_x0000_i1037" DrawAspect="Content" ObjectID="_1468075737" r:id="rId36">
                  <o:LockedField>false</o:LockedField>
                </o:OLEObject>
              </w:object>
            </w:r>
          </w:p>
          <w:p w14:paraId="0DC04C6A">
            <w:pPr>
              <w:adjustRightInd w:val="0"/>
              <w:snapToGrid w:val="0"/>
              <w:spacing w:line="360" w:lineRule="auto"/>
              <w:ind w:firstLine="480" w:firstLineChars="200"/>
              <w:rPr>
                <w:snapToGrid w:val="0"/>
                <w:color w:val="auto"/>
                <w:sz w:val="24"/>
              </w:rPr>
            </w:pPr>
            <w:r>
              <w:rPr>
                <w:rFonts w:hint="eastAsia"/>
                <w:snapToGrid w:val="0"/>
                <w:color w:val="auto"/>
                <w:sz w:val="24"/>
              </w:rPr>
              <w:t>式中：L</w:t>
            </w:r>
            <w:r>
              <w:rPr>
                <w:rFonts w:hint="eastAsia"/>
                <w:snapToGrid w:val="0"/>
                <w:color w:val="auto"/>
                <w:sz w:val="24"/>
                <w:vertAlign w:val="subscript"/>
              </w:rPr>
              <w:t>eqg</w:t>
            </w:r>
            <w:r>
              <w:rPr>
                <w:rFonts w:hint="eastAsia"/>
                <w:snapToGrid w:val="0"/>
                <w:color w:val="auto"/>
                <w:sz w:val="24"/>
              </w:rPr>
              <w:t>——建设项目声源在预测点产生的噪声贡献值，dB（A）；</w:t>
            </w:r>
          </w:p>
          <w:p w14:paraId="196B5596">
            <w:pPr>
              <w:adjustRightInd w:val="0"/>
              <w:snapToGrid w:val="0"/>
              <w:spacing w:line="360" w:lineRule="auto"/>
              <w:ind w:firstLine="480" w:firstLineChars="200"/>
              <w:rPr>
                <w:snapToGrid w:val="0"/>
                <w:color w:val="auto"/>
                <w:sz w:val="24"/>
              </w:rPr>
            </w:pPr>
            <w:r>
              <w:rPr>
                <w:rFonts w:hint="eastAsia"/>
                <w:snapToGrid w:val="0"/>
                <w:color w:val="auto"/>
                <w:sz w:val="24"/>
              </w:rPr>
              <w:t xml:space="preserve">      L</w:t>
            </w:r>
            <w:r>
              <w:rPr>
                <w:rFonts w:hint="eastAsia"/>
                <w:snapToGrid w:val="0"/>
                <w:color w:val="auto"/>
                <w:sz w:val="24"/>
                <w:vertAlign w:val="subscript"/>
              </w:rPr>
              <w:t>eqb</w:t>
            </w:r>
            <w:r>
              <w:rPr>
                <w:rFonts w:hint="eastAsia"/>
                <w:snapToGrid w:val="0"/>
                <w:color w:val="auto"/>
                <w:sz w:val="24"/>
              </w:rPr>
              <w:t>——预测点的背景噪声值，dB（A）。</w:t>
            </w:r>
          </w:p>
          <w:p w14:paraId="0A2D0729">
            <w:pPr>
              <w:autoSpaceDE w:val="0"/>
              <w:autoSpaceDN w:val="0"/>
              <w:adjustRightInd w:val="0"/>
              <w:snapToGrid w:val="0"/>
              <w:spacing w:line="360" w:lineRule="auto"/>
              <w:ind w:firstLine="480" w:firstLineChars="200"/>
              <w:rPr>
                <w:bCs/>
                <w:color w:val="auto"/>
                <w:sz w:val="24"/>
                <w:highlight w:val="none"/>
              </w:rPr>
            </w:pPr>
            <w:r>
              <w:rPr>
                <w:color w:val="auto"/>
                <w:sz w:val="24"/>
              </w:rPr>
              <w:t>本项目</w:t>
            </w:r>
            <w:r>
              <w:rPr>
                <w:rFonts w:hint="eastAsia"/>
                <w:color w:val="auto"/>
                <w:sz w:val="24"/>
                <w:lang w:eastAsia="zh-CN"/>
              </w:rPr>
              <w:t>属于改扩建项目，本评价以扩建项目噪声贡献值</w:t>
            </w:r>
            <w:r>
              <w:rPr>
                <w:rFonts w:hint="eastAsia"/>
                <w:color w:val="auto"/>
                <w:sz w:val="24"/>
                <w:lang w:val="en-US" w:eastAsia="zh-CN"/>
              </w:rPr>
              <w:t>与受到现有工程影响的厂界噪声值叠加后的预测值作为评价量，</w:t>
            </w:r>
            <w:r>
              <w:rPr>
                <w:rFonts w:hint="eastAsia"/>
                <w:color w:val="auto"/>
                <w:sz w:val="24"/>
                <w:highlight w:val="none"/>
                <w:lang w:val="en-US" w:eastAsia="zh-CN"/>
              </w:rPr>
              <w:t>其预测评价结果4.4-3。</w:t>
            </w:r>
          </w:p>
          <w:p w14:paraId="63C16640">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4.4-3</w:t>
            </w:r>
            <w:r>
              <w:rPr>
                <w:rFonts w:hint="default" w:ascii="Times New Roman" w:hAnsi="Times New Roman" w:cs="Times New Roman"/>
                <w:color w:val="auto"/>
                <w:lang w:eastAsia="zh-CN"/>
              </w:rPr>
              <w:t>各侧厂界噪声</w:t>
            </w:r>
            <w:r>
              <w:rPr>
                <w:rFonts w:hint="default" w:ascii="Times New Roman" w:hAnsi="Times New Roman" w:cs="Times New Roman"/>
                <w:color w:val="auto"/>
              </w:rPr>
              <w:t>达标情况 单位：dB（A）</w:t>
            </w:r>
          </w:p>
          <w:tbl>
            <w:tblPr>
              <w:tblStyle w:val="17"/>
              <w:tblW w:w="4998"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602"/>
              <w:gridCol w:w="2559"/>
              <w:gridCol w:w="2559"/>
              <w:gridCol w:w="1602"/>
              <w:gridCol w:w="1602"/>
              <w:gridCol w:w="1603"/>
              <w:gridCol w:w="963"/>
            </w:tblGrid>
            <w:tr w14:paraId="518DC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 w:hRule="atLeast"/>
              </w:trPr>
              <w:tc>
                <w:tcPr>
                  <w:tcW w:w="641" w:type="pct"/>
                  <w:tcBorders>
                    <w:tl2br w:val="nil"/>
                    <w:tr2bl w:val="nil"/>
                  </w:tcBorders>
                  <w:vAlign w:val="center"/>
                </w:tcPr>
                <w:p w14:paraId="731C6967">
                  <w:pPr>
                    <w:pStyle w:val="3"/>
                    <w:bidi w:val="0"/>
                    <w:rPr>
                      <w:rFonts w:hint="eastAsia" w:eastAsia="宋体"/>
                      <w:color w:val="auto"/>
                      <w:lang w:eastAsia="zh-CN"/>
                    </w:rPr>
                  </w:pPr>
                  <w:r>
                    <w:rPr>
                      <w:rFonts w:hint="eastAsia" w:eastAsia="宋体"/>
                      <w:color w:val="auto"/>
                      <w:lang w:eastAsia="zh-CN"/>
                    </w:rPr>
                    <w:t>厂界</w:t>
                  </w:r>
                </w:p>
              </w:tc>
              <w:tc>
                <w:tcPr>
                  <w:tcW w:w="1024" w:type="pct"/>
                  <w:tcBorders>
                    <w:tl2br w:val="nil"/>
                    <w:tr2bl w:val="nil"/>
                  </w:tcBorders>
                  <w:vAlign w:val="center"/>
                </w:tcPr>
                <w:p w14:paraId="681F9D22">
                  <w:pPr>
                    <w:pStyle w:val="3"/>
                    <w:bidi w:val="0"/>
                    <w:rPr>
                      <w:rFonts w:hint="eastAsia" w:eastAsia="宋体"/>
                      <w:color w:val="auto"/>
                      <w:lang w:eastAsia="zh-CN"/>
                    </w:rPr>
                  </w:pPr>
                  <w:r>
                    <w:rPr>
                      <w:rFonts w:hint="eastAsia" w:eastAsia="宋体"/>
                      <w:color w:val="auto"/>
                      <w:lang w:eastAsia="zh-CN"/>
                    </w:rPr>
                    <w:t>现有工程噪声值</w:t>
                  </w:r>
                </w:p>
                <w:p w14:paraId="1DD38931">
                  <w:pPr>
                    <w:pStyle w:val="3"/>
                    <w:bidi w:val="0"/>
                    <w:rPr>
                      <w:color w:val="auto"/>
                    </w:rPr>
                  </w:pPr>
                  <w:r>
                    <w:rPr>
                      <w:color w:val="auto"/>
                    </w:rPr>
                    <w:t>（昼间）</w:t>
                  </w:r>
                </w:p>
              </w:tc>
              <w:tc>
                <w:tcPr>
                  <w:tcW w:w="1024" w:type="pct"/>
                  <w:tcBorders>
                    <w:tl2br w:val="nil"/>
                    <w:tr2bl w:val="nil"/>
                  </w:tcBorders>
                  <w:vAlign w:val="center"/>
                </w:tcPr>
                <w:p w14:paraId="1F4A1A7F">
                  <w:pPr>
                    <w:pStyle w:val="3"/>
                    <w:bidi w:val="0"/>
                    <w:rPr>
                      <w:rFonts w:hint="eastAsia" w:eastAsia="宋体"/>
                      <w:color w:val="auto"/>
                      <w:lang w:eastAsia="zh-CN"/>
                    </w:rPr>
                  </w:pPr>
                  <w:r>
                    <w:rPr>
                      <w:rFonts w:hint="eastAsia" w:eastAsia="宋体"/>
                      <w:color w:val="auto"/>
                      <w:lang w:eastAsia="zh-CN"/>
                    </w:rPr>
                    <w:t>现有工程噪声值</w:t>
                  </w:r>
                </w:p>
                <w:p w14:paraId="4128ED19">
                  <w:pPr>
                    <w:pStyle w:val="3"/>
                    <w:bidi w:val="0"/>
                    <w:rPr>
                      <w:color w:val="auto"/>
                    </w:rPr>
                  </w:pPr>
                  <w:r>
                    <w:rPr>
                      <w:color w:val="auto"/>
                    </w:rPr>
                    <w:t>（</w:t>
                  </w:r>
                  <w:r>
                    <w:rPr>
                      <w:rFonts w:hint="eastAsia" w:eastAsia="宋体"/>
                      <w:color w:val="auto"/>
                      <w:lang w:eastAsia="zh-CN"/>
                    </w:rPr>
                    <w:t>夜间</w:t>
                  </w:r>
                  <w:r>
                    <w:rPr>
                      <w:color w:val="auto"/>
                    </w:rPr>
                    <w:t>）</w:t>
                  </w:r>
                </w:p>
              </w:tc>
              <w:tc>
                <w:tcPr>
                  <w:tcW w:w="641" w:type="pct"/>
                  <w:tcBorders>
                    <w:tl2br w:val="nil"/>
                    <w:tr2bl w:val="nil"/>
                  </w:tcBorders>
                  <w:vAlign w:val="center"/>
                </w:tcPr>
                <w:p w14:paraId="2CAA17D2">
                  <w:pPr>
                    <w:pStyle w:val="3"/>
                    <w:bidi w:val="0"/>
                    <w:rPr>
                      <w:rFonts w:hint="eastAsia" w:eastAsia="宋体"/>
                      <w:color w:val="auto"/>
                      <w:lang w:eastAsia="zh-CN"/>
                    </w:rPr>
                  </w:pPr>
                  <w:r>
                    <w:rPr>
                      <w:rFonts w:hint="eastAsia" w:eastAsia="宋体"/>
                      <w:color w:val="auto"/>
                      <w:lang w:eastAsia="zh-CN"/>
                    </w:rPr>
                    <w:t>扩建项目</w:t>
                  </w:r>
                </w:p>
                <w:p w14:paraId="6429AB31">
                  <w:pPr>
                    <w:pStyle w:val="3"/>
                    <w:bidi w:val="0"/>
                    <w:rPr>
                      <w:color w:val="auto"/>
                    </w:rPr>
                  </w:pPr>
                  <w:r>
                    <w:rPr>
                      <w:color w:val="auto"/>
                    </w:rPr>
                    <w:t>贡献值</w:t>
                  </w:r>
                </w:p>
              </w:tc>
              <w:tc>
                <w:tcPr>
                  <w:tcW w:w="641" w:type="pct"/>
                  <w:tcBorders>
                    <w:tl2br w:val="nil"/>
                    <w:tr2bl w:val="nil"/>
                  </w:tcBorders>
                  <w:vAlign w:val="center"/>
                </w:tcPr>
                <w:p w14:paraId="398E24EA">
                  <w:pPr>
                    <w:pStyle w:val="3"/>
                    <w:bidi w:val="0"/>
                    <w:rPr>
                      <w:color w:val="auto"/>
                    </w:rPr>
                  </w:pPr>
                  <w:r>
                    <w:rPr>
                      <w:color w:val="auto"/>
                    </w:rPr>
                    <w:t>预测值</w:t>
                  </w:r>
                </w:p>
                <w:p w14:paraId="1CE6391F">
                  <w:pPr>
                    <w:pStyle w:val="3"/>
                    <w:bidi w:val="0"/>
                    <w:rPr>
                      <w:color w:val="auto"/>
                    </w:rPr>
                  </w:pPr>
                  <w:r>
                    <w:rPr>
                      <w:color w:val="auto"/>
                    </w:rPr>
                    <w:t>（昼间）</w:t>
                  </w:r>
                </w:p>
              </w:tc>
              <w:tc>
                <w:tcPr>
                  <w:tcW w:w="641" w:type="pct"/>
                  <w:tcBorders>
                    <w:tl2br w:val="nil"/>
                    <w:tr2bl w:val="nil"/>
                  </w:tcBorders>
                  <w:vAlign w:val="center"/>
                </w:tcPr>
                <w:p w14:paraId="0E9080C3">
                  <w:pPr>
                    <w:pStyle w:val="3"/>
                    <w:bidi w:val="0"/>
                    <w:rPr>
                      <w:color w:val="auto"/>
                    </w:rPr>
                  </w:pPr>
                  <w:r>
                    <w:rPr>
                      <w:color w:val="auto"/>
                    </w:rPr>
                    <w:t>预测值</w:t>
                  </w:r>
                </w:p>
                <w:p w14:paraId="29609D2A">
                  <w:pPr>
                    <w:pStyle w:val="3"/>
                    <w:bidi w:val="0"/>
                    <w:rPr>
                      <w:color w:val="auto"/>
                    </w:rPr>
                  </w:pPr>
                  <w:r>
                    <w:rPr>
                      <w:color w:val="auto"/>
                    </w:rPr>
                    <w:t>（</w:t>
                  </w:r>
                  <w:r>
                    <w:rPr>
                      <w:rFonts w:hint="eastAsia" w:eastAsia="宋体"/>
                      <w:color w:val="auto"/>
                      <w:lang w:eastAsia="zh-CN"/>
                    </w:rPr>
                    <w:t>夜间</w:t>
                  </w:r>
                  <w:r>
                    <w:rPr>
                      <w:color w:val="auto"/>
                    </w:rPr>
                    <w:t>）</w:t>
                  </w:r>
                </w:p>
              </w:tc>
              <w:tc>
                <w:tcPr>
                  <w:tcW w:w="385" w:type="pct"/>
                  <w:tcBorders>
                    <w:tl2br w:val="nil"/>
                    <w:tr2bl w:val="nil"/>
                  </w:tcBorders>
                  <w:vAlign w:val="center"/>
                </w:tcPr>
                <w:p w14:paraId="7D503648">
                  <w:pPr>
                    <w:pStyle w:val="3"/>
                    <w:bidi w:val="0"/>
                    <w:rPr>
                      <w:color w:val="auto"/>
                    </w:rPr>
                  </w:pPr>
                  <w:r>
                    <w:rPr>
                      <w:color w:val="auto"/>
                    </w:rPr>
                    <w:t>达标</w:t>
                  </w:r>
                </w:p>
                <w:p w14:paraId="5303A80B">
                  <w:pPr>
                    <w:pStyle w:val="3"/>
                    <w:bidi w:val="0"/>
                    <w:rPr>
                      <w:rFonts w:hint="eastAsia" w:eastAsia="宋体"/>
                      <w:color w:val="auto"/>
                      <w:lang w:eastAsia="zh-CN"/>
                    </w:rPr>
                  </w:pPr>
                  <w:r>
                    <w:rPr>
                      <w:rFonts w:hint="eastAsia" w:eastAsia="宋体"/>
                      <w:color w:val="auto"/>
                      <w:lang w:eastAsia="zh-CN"/>
                    </w:rPr>
                    <w:t>分析</w:t>
                  </w:r>
                </w:p>
              </w:tc>
            </w:tr>
            <w:tr w14:paraId="6F4E85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641" w:type="pct"/>
                  <w:tcBorders>
                    <w:tl2br w:val="nil"/>
                    <w:tr2bl w:val="nil"/>
                  </w:tcBorders>
                  <w:vAlign w:val="center"/>
                </w:tcPr>
                <w:p w14:paraId="7EE874AC">
                  <w:pPr>
                    <w:pStyle w:val="3"/>
                    <w:bidi w:val="0"/>
                    <w:ind w:firstLine="0" w:firstLineChars="0"/>
                    <w:rPr>
                      <w:color w:val="auto"/>
                    </w:rPr>
                  </w:pPr>
                  <w:r>
                    <w:rPr>
                      <w:rFonts w:hint="eastAsia" w:eastAsia="宋体"/>
                      <w:color w:val="auto"/>
                      <w:lang w:eastAsia="zh-CN"/>
                    </w:rPr>
                    <w:t>东</w:t>
                  </w:r>
                  <w:r>
                    <w:rPr>
                      <w:color w:val="auto"/>
                    </w:rPr>
                    <w:t>面厂界</w:t>
                  </w:r>
                </w:p>
              </w:tc>
              <w:tc>
                <w:tcPr>
                  <w:tcW w:w="1024" w:type="pct"/>
                  <w:tcBorders>
                    <w:tl2br w:val="nil"/>
                    <w:tr2bl w:val="nil"/>
                  </w:tcBorders>
                  <w:vAlign w:val="center"/>
                </w:tcPr>
                <w:p w14:paraId="3DEF4A33">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59</w:t>
                  </w:r>
                </w:p>
              </w:tc>
              <w:tc>
                <w:tcPr>
                  <w:tcW w:w="1024" w:type="pct"/>
                  <w:tcBorders>
                    <w:tl2br w:val="nil"/>
                    <w:tr2bl w:val="nil"/>
                  </w:tcBorders>
                  <w:vAlign w:val="center"/>
                </w:tcPr>
                <w:p w14:paraId="2E446CE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54</w:t>
                  </w:r>
                </w:p>
              </w:tc>
              <w:tc>
                <w:tcPr>
                  <w:tcW w:w="641" w:type="pct"/>
                  <w:tcBorders>
                    <w:tl2br w:val="nil"/>
                    <w:tr2bl w:val="nil"/>
                  </w:tcBorders>
                  <w:vAlign w:val="center"/>
                </w:tcPr>
                <w:p w14:paraId="00E11DCB">
                  <w:pPr>
                    <w:pStyle w:val="3"/>
                    <w:bidi w:val="0"/>
                    <w:rPr>
                      <w:rFonts w:hint="default"/>
                      <w:color w:val="auto"/>
                      <w:lang w:val="en-US" w:eastAsia="zh-CN"/>
                    </w:rPr>
                  </w:pPr>
                  <w:r>
                    <w:rPr>
                      <w:rFonts w:hint="default" w:ascii="Times New Roman" w:hAnsi="Times New Roman" w:cs="Times New Roman"/>
                      <w:color w:val="auto"/>
                      <w:lang w:val="en-US" w:eastAsia="zh-CN"/>
                    </w:rPr>
                    <w:t>27.9</w:t>
                  </w:r>
                </w:p>
              </w:tc>
              <w:tc>
                <w:tcPr>
                  <w:tcW w:w="641" w:type="pct"/>
                  <w:tcBorders>
                    <w:tl2br w:val="nil"/>
                    <w:tr2bl w:val="nil"/>
                  </w:tcBorders>
                  <w:vAlign w:val="center"/>
                </w:tcPr>
                <w:p w14:paraId="5D98CBA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59.0</w:t>
                  </w:r>
                </w:p>
              </w:tc>
              <w:tc>
                <w:tcPr>
                  <w:tcW w:w="641" w:type="pct"/>
                  <w:tcBorders>
                    <w:tl2br w:val="nil"/>
                    <w:tr2bl w:val="nil"/>
                  </w:tcBorders>
                  <w:vAlign w:val="center"/>
                </w:tcPr>
                <w:p w14:paraId="49B40195">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54.0</w:t>
                  </w:r>
                </w:p>
              </w:tc>
              <w:tc>
                <w:tcPr>
                  <w:tcW w:w="385" w:type="pct"/>
                  <w:tcBorders>
                    <w:tl2br w:val="nil"/>
                    <w:tr2bl w:val="nil"/>
                  </w:tcBorders>
                  <w:vAlign w:val="center"/>
                </w:tcPr>
                <w:p w14:paraId="2210633B">
                  <w:pPr>
                    <w:pStyle w:val="3"/>
                    <w:bidi w:val="0"/>
                    <w:rPr>
                      <w:rFonts w:hint="eastAsia" w:eastAsia="宋体"/>
                      <w:color w:val="auto"/>
                      <w:lang w:eastAsia="zh-CN"/>
                    </w:rPr>
                  </w:pPr>
                  <w:r>
                    <w:rPr>
                      <w:rFonts w:hint="eastAsia" w:eastAsia="宋体"/>
                      <w:color w:val="auto"/>
                      <w:lang w:eastAsia="zh-CN"/>
                    </w:rPr>
                    <w:t>达标</w:t>
                  </w:r>
                </w:p>
              </w:tc>
            </w:tr>
            <w:tr w14:paraId="7C4AEE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69" w:hRule="atLeast"/>
              </w:trPr>
              <w:tc>
                <w:tcPr>
                  <w:tcW w:w="641" w:type="pct"/>
                  <w:tcBorders>
                    <w:tl2br w:val="nil"/>
                    <w:tr2bl w:val="nil"/>
                  </w:tcBorders>
                  <w:vAlign w:val="center"/>
                </w:tcPr>
                <w:p w14:paraId="205D6FE9">
                  <w:pPr>
                    <w:pStyle w:val="3"/>
                    <w:bidi w:val="0"/>
                    <w:ind w:firstLine="0" w:firstLineChars="0"/>
                    <w:rPr>
                      <w:rFonts w:hint="eastAsia"/>
                      <w:color w:val="auto"/>
                    </w:rPr>
                  </w:pPr>
                  <w:r>
                    <w:rPr>
                      <w:rFonts w:hint="eastAsia" w:eastAsia="宋体"/>
                      <w:color w:val="auto"/>
                      <w:lang w:eastAsia="zh-CN"/>
                    </w:rPr>
                    <w:t>北</w:t>
                  </w:r>
                  <w:r>
                    <w:rPr>
                      <w:color w:val="auto"/>
                    </w:rPr>
                    <w:t>面厂界</w:t>
                  </w:r>
                </w:p>
              </w:tc>
              <w:tc>
                <w:tcPr>
                  <w:tcW w:w="1024" w:type="pct"/>
                  <w:tcBorders>
                    <w:tl2br w:val="nil"/>
                    <w:tr2bl w:val="nil"/>
                  </w:tcBorders>
                  <w:vAlign w:val="center"/>
                </w:tcPr>
                <w:p w14:paraId="2A210200">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59</w:t>
                  </w:r>
                </w:p>
              </w:tc>
              <w:tc>
                <w:tcPr>
                  <w:tcW w:w="1024" w:type="pct"/>
                  <w:tcBorders>
                    <w:tl2br w:val="nil"/>
                    <w:tr2bl w:val="nil"/>
                  </w:tcBorders>
                  <w:vAlign w:val="center"/>
                </w:tcPr>
                <w:p w14:paraId="36610F2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53</w:t>
                  </w:r>
                </w:p>
              </w:tc>
              <w:tc>
                <w:tcPr>
                  <w:tcW w:w="641" w:type="pct"/>
                  <w:tcBorders>
                    <w:tl2br w:val="nil"/>
                    <w:tr2bl w:val="nil"/>
                  </w:tcBorders>
                  <w:vAlign w:val="center"/>
                </w:tcPr>
                <w:p w14:paraId="5E0A0CE6">
                  <w:pPr>
                    <w:pStyle w:val="3"/>
                    <w:bidi w:val="0"/>
                    <w:rPr>
                      <w:rFonts w:hint="default" w:eastAsia="宋体"/>
                      <w:color w:val="auto"/>
                      <w:lang w:val="en-US" w:eastAsia="zh-CN"/>
                    </w:rPr>
                  </w:pPr>
                  <w:r>
                    <w:rPr>
                      <w:rFonts w:hint="default" w:ascii="Times New Roman" w:hAnsi="Times New Roman" w:eastAsia="宋体" w:cs="Times New Roman"/>
                      <w:color w:val="auto"/>
                      <w:lang w:val="en-US" w:eastAsia="zh-CN"/>
                    </w:rPr>
                    <w:t>18.5</w:t>
                  </w:r>
                </w:p>
              </w:tc>
              <w:tc>
                <w:tcPr>
                  <w:tcW w:w="641" w:type="pct"/>
                  <w:tcBorders>
                    <w:tl2br w:val="nil"/>
                    <w:tr2bl w:val="nil"/>
                  </w:tcBorders>
                  <w:vAlign w:val="center"/>
                </w:tcPr>
                <w:p w14:paraId="4862062F">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59.0</w:t>
                  </w:r>
                </w:p>
              </w:tc>
              <w:tc>
                <w:tcPr>
                  <w:tcW w:w="641" w:type="pct"/>
                  <w:tcBorders>
                    <w:tl2br w:val="nil"/>
                    <w:tr2bl w:val="nil"/>
                  </w:tcBorders>
                  <w:vAlign w:val="center"/>
                </w:tcPr>
                <w:p w14:paraId="77DE8719">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53.0</w:t>
                  </w:r>
                </w:p>
              </w:tc>
              <w:tc>
                <w:tcPr>
                  <w:tcW w:w="385" w:type="pct"/>
                  <w:tcBorders>
                    <w:tl2br w:val="nil"/>
                    <w:tr2bl w:val="nil"/>
                  </w:tcBorders>
                  <w:vAlign w:val="center"/>
                </w:tcPr>
                <w:p w14:paraId="4C45A355">
                  <w:pPr>
                    <w:pStyle w:val="3"/>
                    <w:bidi w:val="0"/>
                    <w:rPr>
                      <w:color w:val="auto"/>
                    </w:rPr>
                  </w:pPr>
                  <w:r>
                    <w:rPr>
                      <w:rFonts w:hint="eastAsia" w:eastAsia="宋体"/>
                      <w:color w:val="auto"/>
                      <w:lang w:eastAsia="zh-CN"/>
                    </w:rPr>
                    <w:t>达标</w:t>
                  </w:r>
                </w:p>
              </w:tc>
            </w:tr>
            <w:tr w14:paraId="5828E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641" w:type="pct"/>
                  <w:tcBorders>
                    <w:tl2br w:val="nil"/>
                    <w:tr2bl w:val="nil"/>
                  </w:tcBorders>
                  <w:vAlign w:val="center"/>
                </w:tcPr>
                <w:p w14:paraId="2C9A51CC">
                  <w:pPr>
                    <w:pStyle w:val="3"/>
                    <w:bidi w:val="0"/>
                    <w:ind w:firstLine="0" w:firstLineChars="0"/>
                    <w:rPr>
                      <w:rFonts w:hint="eastAsia"/>
                      <w:color w:val="auto"/>
                    </w:rPr>
                  </w:pPr>
                  <w:r>
                    <w:rPr>
                      <w:color w:val="auto"/>
                    </w:rPr>
                    <w:t>西面厂界</w:t>
                  </w:r>
                </w:p>
              </w:tc>
              <w:tc>
                <w:tcPr>
                  <w:tcW w:w="1024" w:type="pct"/>
                  <w:tcBorders>
                    <w:tl2br w:val="nil"/>
                    <w:tr2bl w:val="nil"/>
                  </w:tcBorders>
                  <w:vAlign w:val="center"/>
                </w:tcPr>
                <w:p w14:paraId="5922462E">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58</w:t>
                  </w:r>
                </w:p>
              </w:tc>
              <w:tc>
                <w:tcPr>
                  <w:tcW w:w="1024" w:type="pct"/>
                  <w:tcBorders>
                    <w:tl2br w:val="nil"/>
                    <w:tr2bl w:val="nil"/>
                  </w:tcBorders>
                  <w:vAlign w:val="center"/>
                </w:tcPr>
                <w:p w14:paraId="7BD31F6F">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53</w:t>
                  </w:r>
                </w:p>
              </w:tc>
              <w:tc>
                <w:tcPr>
                  <w:tcW w:w="641" w:type="pct"/>
                  <w:tcBorders>
                    <w:tl2br w:val="nil"/>
                    <w:tr2bl w:val="nil"/>
                  </w:tcBorders>
                  <w:vAlign w:val="center"/>
                </w:tcPr>
                <w:p w14:paraId="45677BC5">
                  <w:pPr>
                    <w:pStyle w:val="3"/>
                    <w:bidi w:val="0"/>
                    <w:rPr>
                      <w:rFonts w:hint="default" w:eastAsia="宋体"/>
                      <w:color w:val="auto"/>
                      <w:lang w:val="en-US" w:eastAsia="zh-CN"/>
                    </w:rPr>
                  </w:pPr>
                  <w:r>
                    <w:rPr>
                      <w:rFonts w:hint="default" w:ascii="Times New Roman" w:hAnsi="Times New Roman" w:eastAsia="宋体" w:cs="Times New Roman"/>
                      <w:color w:val="auto"/>
                      <w:lang w:val="en-US" w:eastAsia="zh-CN"/>
                    </w:rPr>
                    <w:t>15.4</w:t>
                  </w:r>
                </w:p>
              </w:tc>
              <w:tc>
                <w:tcPr>
                  <w:tcW w:w="1602" w:type="dxa"/>
                  <w:tcBorders>
                    <w:tl2br w:val="nil"/>
                    <w:tr2bl w:val="nil"/>
                  </w:tcBorders>
                  <w:vAlign w:val="center"/>
                </w:tcPr>
                <w:p w14:paraId="7DE08A18">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58.0</w:t>
                  </w:r>
                </w:p>
              </w:tc>
              <w:tc>
                <w:tcPr>
                  <w:tcW w:w="1603" w:type="dxa"/>
                  <w:tcBorders>
                    <w:tl2br w:val="nil"/>
                    <w:tr2bl w:val="nil"/>
                  </w:tcBorders>
                  <w:vAlign w:val="center"/>
                </w:tcPr>
                <w:p w14:paraId="73D6956F">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53.0</w:t>
                  </w:r>
                </w:p>
              </w:tc>
              <w:tc>
                <w:tcPr>
                  <w:tcW w:w="385" w:type="pct"/>
                  <w:tcBorders>
                    <w:tl2br w:val="nil"/>
                    <w:tr2bl w:val="nil"/>
                  </w:tcBorders>
                  <w:vAlign w:val="center"/>
                </w:tcPr>
                <w:p w14:paraId="21D2D153">
                  <w:pPr>
                    <w:pStyle w:val="3"/>
                    <w:bidi w:val="0"/>
                    <w:rPr>
                      <w:color w:val="auto"/>
                    </w:rPr>
                  </w:pPr>
                  <w:r>
                    <w:rPr>
                      <w:rFonts w:hint="eastAsia" w:eastAsia="宋体"/>
                      <w:color w:val="auto"/>
                      <w:lang w:eastAsia="zh-CN"/>
                    </w:rPr>
                    <w:t>达标</w:t>
                  </w:r>
                </w:p>
              </w:tc>
            </w:tr>
            <w:tr w14:paraId="544AA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Pr>
              <w:tc>
                <w:tcPr>
                  <w:tcW w:w="641" w:type="pct"/>
                  <w:tcBorders>
                    <w:tl2br w:val="nil"/>
                    <w:tr2bl w:val="nil"/>
                  </w:tcBorders>
                  <w:vAlign w:val="center"/>
                </w:tcPr>
                <w:p w14:paraId="51B1EB83">
                  <w:pPr>
                    <w:pStyle w:val="3"/>
                    <w:bidi w:val="0"/>
                    <w:ind w:firstLine="0" w:firstLineChars="0"/>
                    <w:rPr>
                      <w:rFonts w:hint="eastAsia"/>
                      <w:color w:val="auto"/>
                    </w:rPr>
                  </w:pPr>
                  <w:r>
                    <w:rPr>
                      <w:rFonts w:hint="eastAsia" w:eastAsia="宋体"/>
                      <w:color w:val="auto"/>
                      <w:lang w:eastAsia="zh-CN"/>
                    </w:rPr>
                    <w:t>南</w:t>
                  </w:r>
                  <w:r>
                    <w:rPr>
                      <w:color w:val="auto"/>
                    </w:rPr>
                    <w:t>面厂界</w:t>
                  </w:r>
                </w:p>
              </w:tc>
              <w:tc>
                <w:tcPr>
                  <w:tcW w:w="1024" w:type="pct"/>
                  <w:tcBorders>
                    <w:tl2br w:val="nil"/>
                    <w:tr2bl w:val="nil"/>
                  </w:tcBorders>
                  <w:vAlign w:val="center"/>
                </w:tcPr>
                <w:p w14:paraId="6A913D76">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58</w:t>
                  </w:r>
                </w:p>
              </w:tc>
              <w:tc>
                <w:tcPr>
                  <w:tcW w:w="1024" w:type="pct"/>
                  <w:tcBorders>
                    <w:tl2br w:val="nil"/>
                    <w:tr2bl w:val="nil"/>
                  </w:tcBorders>
                  <w:vAlign w:val="center"/>
                </w:tcPr>
                <w:p w14:paraId="4662CBB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54</w:t>
                  </w:r>
                </w:p>
              </w:tc>
              <w:tc>
                <w:tcPr>
                  <w:tcW w:w="641" w:type="pct"/>
                  <w:tcBorders>
                    <w:tl2br w:val="nil"/>
                    <w:tr2bl w:val="nil"/>
                  </w:tcBorders>
                  <w:vAlign w:val="center"/>
                </w:tcPr>
                <w:p w14:paraId="6AEDCD9A">
                  <w:pPr>
                    <w:pStyle w:val="3"/>
                    <w:bidi w:val="0"/>
                    <w:rPr>
                      <w:rFonts w:hint="default" w:eastAsia="宋体"/>
                      <w:color w:val="auto"/>
                      <w:lang w:val="en-US" w:eastAsia="zh-CN"/>
                    </w:rPr>
                  </w:pPr>
                  <w:r>
                    <w:rPr>
                      <w:rFonts w:hint="default" w:ascii="Times New Roman" w:hAnsi="Times New Roman" w:eastAsia="宋体" w:cs="Times New Roman"/>
                      <w:color w:val="auto"/>
                      <w:lang w:val="en-US" w:eastAsia="zh-CN"/>
                    </w:rPr>
                    <w:t>21.9</w:t>
                  </w:r>
                </w:p>
              </w:tc>
              <w:tc>
                <w:tcPr>
                  <w:tcW w:w="1602" w:type="dxa"/>
                  <w:tcBorders>
                    <w:tl2br w:val="nil"/>
                    <w:tr2bl w:val="nil"/>
                  </w:tcBorders>
                  <w:vAlign w:val="center"/>
                </w:tcPr>
                <w:p w14:paraId="6F916E9A">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58.0</w:t>
                  </w:r>
                </w:p>
              </w:tc>
              <w:tc>
                <w:tcPr>
                  <w:tcW w:w="1603" w:type="dxa"/>
                  <w:tcBorders>
                    <w:tl2br w:val="nil"/>
                    <w:tr2bl w:val="nil"/>
                  </w:tcBorders>
                  <w:vAlign w:val="center"/>
                </w:tcPr>
                <w:p w14:paraId="04B96C2A">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54.0</w:t>
                  </w:r>
                </w:p>
              </w:tc>
              <w:tc>
                <w:tcPr>
                  <w:tcW w:w="385" w:type="pct"/>
                  <w:tcBorders>
                    <w:tl2br w:val="nil"/>
                    <w:tr2bl w:val="nil"/>
                  </w:tcBorders>
                  <w:vAlign w:val="center"/>
                </w:tcPr>
                <w:p w14:paraId="31BD6AF1">
                  <w:pPr>
                    <w:pStyle w:val="3"/>
                    <w:bidi w:val="0"/>
                    <w:rPr>
                      <w:color w:val="auto"/>
                    </w:rPr>
                  </w:pPr>
                  <w:r>
                    <w:rPr>
                      <w:rFonts w:hint="eastAsia" w:eastAsia="宋体"/>
                      <w:color w:val="auto"/>
                      <w:lang w:eastAsia="zh-CN"/>
                    </w:rPr>
                    <w:t>达标</w:t>
                  </w:r>
                </w:p>
              </w:tc>
            </w:tr>
          </w:tbl>
          <w:p w14:paraId="2864B3F9">
            <w:pPr>
              <w:adjustRightInd w:val="0"/>
              <w:snapToGrid w:val="0"/>
              <w:spacing w:line="360" w:lineRule="auto"/>
              <w:ind w:firstLine="480" w:firstLineChars="200"/>
              <w:rPr>
                <w:color w:val="auto"/>
                <w:sz w:val="24"/>
              </w:rPr>
            </w:pPr>
            <w:r>
              <w:rPr>
                <w:rFonts w:hint="eastAsia" w:eastAsia="宋体"/>
                <w:color w:val="auto"/>
                <w:sz w:val="24"/>
                <w:lang w:eastAsia="zh-CN"/>
              </w:rPr>
              <w:t>由上表分析可知</w:t>
            </w:r>
            <w:r>
              <w:rPr>
                <w:color w:val="auto"/>
                <w:sz w:val="24"/>
              </w:rPr>
              <w:t>：本项目产生的设备噪声在采用隔声、减振等措施后，昼间</w:t>
            </w:r>
            <w:r>
              <w:rPr>
                <w:rFonts w:hint="eastAsia" w:eastAsia="宋体"/>
                <w:color w:val="auto"/>
                <w:sz w:val="24"/>
                <w:lang w:eastAsia="zh-CN"/>
              </w:rPr>
              <w:t>、夜间</w:t>
            </w:r>
            <w:r>
              <w:rPr>
                <w:color w:val="auto"/>
                <w:sz w:val="24"/>
              </w:rPr>
              <w:t>厂界噪声满足《工业企业厂界环境噪声排放标准》（GB12348-2008）中3类标准的要求。</w:t>
            </w:r>
          </w:p>
          <w:p w14:paraId="22E41975">
            <w:pPr>
              <w:pStyle w:val="23"/>
              <w:snapToGrid w:val="0"/>
              <w:spacing w:line="360" w:lineRule="auto"/>
              <w:ind w:firstLine="480" w:firstLineChars="200"/>
              <w:jc w:val="both"/>
              <w:rPr>
                <w:rFonts w:ascii="Times New Roman" w:cs="Times New Roman"/>
                <w:color w:val="auto"/>
              </w:rPr>
            </w:pPr>
            <w:r>
              <w:rPr>
                <w:rFonts w:ascii="Times New Roman" w:cs="Times New Roman"/>
                <w:color w:val="auto"/>
              </w:rPr>
              <w:t>②声环境保护目标达标情况</w:t>
            </w:r>
          </w:p>
          <w:p w14:paraId="161582D6">
            <w:pPr>
              <w:pStyle w:val="23"/>
              <w:spacing w:line="360" w:lineRule="auto"/>
              <w:ind w:firstLine="480" w:firstLineChars="200"/>
              <w:rPr>
                <w:rFonts w:hint="eastAsia" w:eastAsia="宋体"/>
                <w:color w:val="auto"/>
                <w:kern w:val="0"/>
                <w:sz w:val="21"/>
                <w:szCs w:val="21"/>
                <w:lang w:val="en-US" w:eastAsia="zh-CN"/>
              </w:rPr>
            </w:pPr>
            <w:r>
              <w:rPr>
                <w:rFonts w:hint="eastAsia" w:ascii="Times New Roman" w:cs="Times New Roman"/>
                <w:color w:val="auto"/>
              </w:rPr>
              <w:t>本项目</w:t>
            </w:r>
            <w:r>
              <w:rPr>
                <w:rFonts w:ascii="Times New Roman" w:cs="Times New Roman"/>
                <w:color w:val="auto"/>
              </w:rPr>
              <w:t>声环境保护目标达标分析见表4.</w:t>
            </w:r>
            <w:r>
              <w:rPr>
                <w:rFonts w:hint="eastAsia" w:ascii="Times New Roman" w:cs="Times New Roman"/>
                <w:color w:val="auto"/>
                <w:lang w:val="en-US" w:eastAsia="zh-CN"/>
              </w:rPr>
              <w:t>4-4</w:t>
            </w:r>
            <w:r>
              <w:rPr>
                <w:rFonts w:ascii="Times New Roman" w:cs="Times New Roman"/>
                <w:color w:val="auto"/>
              </w:rPr>
              <w:t>。</w:t>
            </w:r>
          </w:p>
          <w:p w14:paraId="38238DFA">
            <w:pPr>
              <w:ind w:left="0" w:leftChars="0" w:firstLine="0" w:firstLineChars="0"/>
              <w:jc w:val="center"/>
              <w:rPr>
                <w:rFonts w:hint="eastAsia" w:eastAsia="宋体"/>
                <w:color w:val="auto"/>
                <w:kern w:val="0"/>
                <w:sz w:val="21"/>
                <w:szCs w:val="21"/>
                <w:lang w:val="en-US" w:eastAsia="zh-CN"/>
              </w:rPr>
            </w:pPr>
            <w:r>
              <w:rPr>
                <w:rFonts w:hint="eastAsia" w:eastAsia="宋体"/>
                <w:color w:val="auto"/>
                <w:kern w:val="0"/>
                <w:sz w:val="21"/>
                <w:szCs w:val="21"/>
                <w:lang w:val="en-US" w:eastAsia="zh-CN"/>
              </w:rPr>
              <w:t>表4.4-4 声环境保护目标达标情况 单位：dB（A）</w:t>
            </w:r>
          </w:p>
          <w:tbl>
            <w:tblPr>
              <w:tblStyle w:val="18"/>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387"/>
              <w:gridCol w:w="1389"/>
              <w:gridCol w:w="1389"/>
              <w:gridCol w:w="1389"/>
              <w:gridCol w:w="1389"/>
              <w:gridCol w:w="1392"/>
              <w:gridCol w:w="1393"/>
              <w:gridCol w:w="1393"/>
            </w:tblGrid>
            <w:tr w14:paraId="1775886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14:paraId="1433296C">
                  <w:pPr>
                    <w:pStyle w:val="3"/>
                    <w:outlineLvl w:val="0"/>
                    <w:rPr>
                      <w:rFonts w:hint="default" w:ascii="Times New Roman" w:hAnsi="Times New Roman" w:cs="Times New Roman"/>
                      <w:color w:val="auto"/>
                      <w:kern w:val="0"/>
                      <w:sz w:val="24"/>
                      <w:szCs w:val="24"/>
                    </w:rPr>
                  </w:pPr>
                  <w:r>
                    <w:rPr>
                      <w:rFonts w:hint="default" w:ascii="Times New Roman" w:hAnsi="Times New Roman" w:eastAsia="宋体" w:cs="Times New Roman"/>
                      <w:color w:val="auto"/>
                      <w:kern w:val="0"/>
                      <w:lang w:eastAsia="zh-CN"/>
                    </w:rPr>
                    <w:t>声环境</w:t>
                  </w:r>
                  <w:r>
                    <w:rPr>
                      <w:rFonts w:hint="default" w:ascii="Times New Roman" w:hAnsi="Times New Roman" w:cs="Times New Roman"/>
                      <w:color w:val="auto"/>
                      <w:kern w:val="0"/>
                    </w:rPr>
                    <w:t>保护目标</w:t>
                  </w:r>
                </w:p>
              </w:tc>
              <w:tc>
                <w:tcPr>
                  <w:tcW w:w="554" w:type="pct"/>
                  <w:vAlign w:val="center"/>
                </w:tcPr>
                <w:p w14:paraId="1B54D0FD">
                  <w:pPr>
                    <w:pStyle w:val="3"/>
                    <w:outlineLvl w:val="0"/>
                    <w:rPr>
                      <w:rFonts w:hint="default" w:ascii="Times New Roman" w:hAnsi="Times New Roman" w:cs="Times New Roman"/>
                      <w:color w:val="auto"/>
                      <w:kern w:val="0"/>
                      <w:sz w:val="24"/>
                      <w:szCs w:val="24"/>
                    </w:rPr>
                  </w:pPr>
                  <w:r>
                    <w:rPr>
                      <w:rFonts w:hint="default" w:ascii="Times New Roman" w:hAnsi="Times New Roman" w:cs="Times New Roman"/>
                      <w:color w:val="auto"/>
                      <w:kern w:val="0"/>
                    </w:rPr>
                    <w:t>方位/距离</w:t>
                  </w:r>
                </w:p>
              </w:tc>
              <w:tc>
                <w:tcPr>
                  <w:tcW w:w="555" w:type="pct"/>
                  <w:vAlign w:val="center"/>
                </w:tcPr>
                <w:p w14:paraId="4485B243">
                  <w:pPr>
                    <w:pStyle w:val="3"/>
                    <w:bidi w:val="0"/>
                    <w:rPr>
                      <w:rFonts w:hint="default" w:ascii="Times New Roman" w:hAnsi="Times New Roman" w:cs="Times New Roman"/>
                      <w:color w:val="auto"/>
                    </w:rPr>
                  </w:pPr>
                  <w:r>
                    <w:rPr>
                      <w:rFonts w:hint="default" w:ascii="Times New Roman" w:hAnsi="Times New Roman" w:cs="Times New Roman"/>
                      <w:color w:val="auto"/>
                    </w:rPr>
                    <w:t>本底值</w:t>
                  </w:r>
                </w:p>
                <w:p w14:paraId="5F879ECB">
                  <w:pPr>
                    <w:pStyle w:val="3"/>
                    <w:bidi w:val="0"/>
                    <w:rPr>
                      <w:rFonts w:hint="default" w:ascii="Times New Roman" w:hAnsi="Times New Roman" w:cs="Times New Roman"/>
                      <w:color w:val="auto"/>
                    </w:rPr>
                  </w:pPr>
                  <w:r>
                    <w:rPr>
                      <w:rFonts w:hint="default" w:ascii="Times New Roman" w:hAnsi="Times New Roman" w:cs="Times New Roman"/>
                      <w:color w:val="auto"/>
                    </w:rPr>
                    <w:t>（昼间）</w:t>
                  </w:r>
                </w:p>
              </w:tc>
              <w:tc>
                <w:tcPr>
                  <w:tcW w:w="555" w:type="pct"/>
                  <w:vAlign w:val="center"/>
                </w:tcPr>
                <w:p w14:paraId="68621D0C">
                  <w:pPr>
                    <w:pStyle w:val="3"/>
                    <w:bidi w:val="0"/>
                    <w:rPr>
                      <w:rFonts w:hint="default" w:ascii="Times New Roman" w:hAnsi="Times New Roman" w:cs="Times New Roman"/>
                      <w:color w:val="auto"/>
                    </w:rPr>
                  </w:pPr>
                  <w:r>
                    <w:rPr>
                      <w:rFonts w:hint="default" w:ascii="Times New Roman" w:hAnsi="Times New Roman" w:cs="Times New Roman"/>
                      <w:color w:val="auto"/>
                    </w:rPr>
                    <w:t>本底值</w:t>
                  </w:r>
                </w:p>
                <w:p w14:paraId="65715121">
                  <w:pPr>
                    <w:pStyle w:val="3"/>
                    <w:bidi w:val="0"/>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eastAsia="宋体" w:cs="Times New Roman"/>
                      <w:color w:val="auto"/>
                      <w:lang w:eastAsia="zh-CN"/>
                    </w:rPr>
                    <w:t>夜</w:t>
                  </w:r>
                  <w:r>
                    <w:rPr>
                      <w:rFonts w:hint="default" w:ascii="Times New Roman" w:hAnsi="Times New Roman" w:cs="Times New Roman"/>
                      <w:color w:val="auto"/>
                    </w:rPr>
                    <w:t>间）</w:t>
                  </w:r>
                </w:p>
              </w:tc>
              <w:tc>
                <w:tcPr>
                  <w:tcW w:w="555" w:type="pct"/>
                  <w:vAlign w:val="center"/>
                </w:tcPr>
                <w:p w14:paraId="64FA8502">
                  <w:pPr>
                    <w:pStyle w:val="3"/>
                    <w:bidi w:val="0"/>
                    <w:rPr>
                      <w:rFonts w:hint="default" w:ascii="Times New Roman" w:hAnsi="Times New Roman" w:cs="Times New Roman"/>
                      <w:color w:val="auto"/>
                    </w:rPr>
                  </w:pPr>
                  <w:r>
                    <w:rPr>
                      <w:rFonts w:hint="eastAsia" w:ascii="Times New Roman" w:hAnsi="Times New Roman" w:eastAsia="宋体" w:cs="Times New Roman"/>
                      <w:color w:val="auto"/>
                      <w:lang w:eastAsia="zh-CN"/>
                    </w:rPr>
                    <w:t>贡献</w:t>
                  </w:r>
                  <w:r>
                    <w:rPr>
                      <w:rFonts w:hint="default" w:ascii="Times New Roman" w:hAnsi="Times New Roman" w:cs="Times New Roman"/>
                      <w:color w:val="auto"/>
                    </w:rPr>
                    <w:t>值</w:t>
                  </w:r>
                </w:p>
                <w:p w14:paraId="41540E72">
                  <w:pPr>
                    <w:pStyle w:val="3"/>
                    <w:bidi w:val="0"/>
                    <w:rPr>
                      <w:rFonts w:hint="default" w:ascii="Times New Roman" w:hAnsi="Times New Roman" w:cs="Times New Roman"/>
                      <w:color w:val="auto"/>
                    </w:rPr>
                  </w:pPr>
                  <w:r>
                    <w:rPr>
                      <w:rFonts w:hint="default" w:ascii="Times New Roman" w:hAnsi="Times New Roman" w:cs="Times New Roman"/>
                      <w:color w:val="auto"/>
                    </w:rPr>
                    <w:t>（昼间）</w:t>
                  </w:r>
                </w:p>
              </w:tc>
              <w:tc>
                <w:tcPr>
                  <w:tcW w:w="555" w:type="pct"/>
                  <w:vAlign w:val="center"/>
                </w:tcPr>
                <w:p w14:paraId="596059DD">
                  <w:pPr>
                    <w:pStyle w:val="3"/>
                    <w:bidi w:val="0"/>
                    <w:rPr>
                      <w:rFonts w:hint="default" w:ascii="Times New Roman" w:hAnsi="Times New Roman" w:cs="Times New Roman"/>
                      <w:color w:val="auto"/>
                    </w:rPr>
                  </w:pPr>
                  <w:r>
                    <w:rPr>
                      <w:rFonts w:hint="eastAsia" w:ascii="Times New Roman" w:hAnsi="Times New Roman" w:eastAsia="宋体" w:cs="Times New Roman"/>
                      <w:color w:val="auto"/>
                      <w:lang w:eastAsia="zh-CN"/>
                    </w:rPr>
                    <w:t>贡献</w:t>
                  </w:r>
                  <w:r>
                    <w:rPr>
                      <w:rFonts w:hint="default" w:ascii="Times New Roman" w:hAnsi="Times New Roman" w:cs="Times New Roman"/>
                      <w:color w:val="auto"/>
                    </w:rPr>
                    <w:t>值</w:t>
                  </w:r>
                </w:p>
                <w:p w14:paraId="72D1349F">
                  <w:pPr>
                    <w:pStyle w:val="3"/>
                    <w:bidi w:val="0"/>
                    <w:rPr>
                      <w:rFonts w:hint="default" w:ascii="Times New Roman" w:hAnsi="Times New Roman" w:cs="Times New Roman"/>
                      <w:color w:val="auto"/>
                    </w:rPr>
                  </w:pPr>
                  <w:r>
                    <w:rPr>
                      <w:rFonts w:hint="default" w:ascii="Times New Roman" w:hAnsi="Times New Roman" w:cs="Times New Roman"/>
                      <w:color w:val="auto"/>
                    </w:rPr>
                    <w:t>（</w:t>
                  </w:r>
                  <w:r>
                    <w:rPr>
                      <w:rFonts w:hint="eastAsia" w:ascii="Times New Roman" w:hAnsi="Times New Roman" w:eastAsia="宋体" w:cs="Times New Roman"/>
                      <w:color w:val="auto"/>
                      <w:lang w:eastAsia="zh-CN"/>
                    </w:rPr>
                    <w:t>夜</w:t>
                  </w:r>
                  <w:r>
                    <w:rPr>
                      <w:rFonts w:hint="default" w:ascii="Times New Roman" w:hAnsi="Times New Roman" w:cs="Times New Roman"/>
                      <w:color w:val="auto"/>
                    </w:rPr>
                    <w:t>间）</w:t>
                  </w:r>
                </w:p>
              </w:tc>
              <w:tc>
                <w:tcPr>
                  <w:tcW w:w="556" w:type="pct"/>
                  <w:vAlign w:val="center"/>
                </w:tcPr>
                <w:p w14:paraId="54F6B1CD">
                  <w:pPr>
                    <w:pStyle w:val="3"/>
                    <w:bidi w:val="0"/>
                    <w:rPr>
                      <w:rFonts w:hint="default" w:ascii="Times New Roman" w:hAnsi="Times New Roman" w:cs="Times New Roman"/>
                      <w:color w:val="auto"/>
                    </w:rPr>
                  </w:pPr>
                  <w:r>
                    <w:rPr>
                      <w:rFonts w:hint="default" w:ascii="Times New Roman" w:hAnsi="Times New Roman" w:cs="Times New Roman"/>
                      <w:color w:val="auto"/>
                    </w:rPr>
                    <w:t>预测值</w:t>
                  </w:r>
                </w:p>
                <w:p w14:paraId="3931EA0E">
                  <w:pPr>
                    <w:pStyle w:val="3"/>
                    <w:bidi w:val="0"/>
                    <w:rPr>
                      <w:rFonts w:hint="default" w:ascii="Times New Roman" w:hAnsi="Times New Roman" w:cs="Times New Roman"/>
                      <w:color w:val="auto"/>
                    </w:rPr>
                  </w:pPr>
                  <w:r>
                    <w:rPr>
                      <w:rFonts w:hint="default" w:ascii="Times New Roman" w:hAnsi="Times New Roman" w:cs="Times New Roman"/>
                      <w:color w:val="auto"/>
                    </w:rPr>
                    <w:t>（昼间）</w:t>
                  </w:r>
                </w:p>
              </w:tc>
              <w:tc>
                <w:tcPr>
                  <w:tcW w:w="556" w:type="pct"/>
                  <w:vAlign w:val="center"/>
                </w:tcPr>
                <w:p w14:paraId="1B20E8D3">
                  <w:pPr>
                    <w:pStyle w:val="3"/>
                    <w:bidi w:val="0"/>
                    <w:rPr>
                      <w:rFonts w:hint="default" w:ascii="Times New Roman" w:hAnsi="Times New Roman" w:cs="Times New Roman"/>
                      <w:color w:val="auto"/>
                    </w:rPr>
                  </w:pPr>
                  <w:r>
                    <w:rPr>
                      <w:rFonts w:hint="default" w:ascii="Times New Roman" w:hAnsi="Times New Roman" w:cs="Times New Roman"/>
                      <w:color w:val="auto"/>
                    </w:rPr>
                    <w:t>预测值</w:t>
                  </w:r>
                </w:p>
                <w:p w14:paraId="1ABEE4F4">
                  <w:pPr>
                    <w:pStyle w:val="3"/>
                    <w:bidi w:val="0"/>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eastAsia="宋体" w:cs="Times New Roman"/>
                      <w:color w:val="auto"/>
                      <w:lang w:eastAsia="zh-CN"/>
                    </w:rPr>
                    <w:t>夜</w:t>
                  </w:r>
                  <w:r>
                    <w:rPr>
                      <w:rFonts w:hint="default" w:ascii="Times New Roman" w:hAnsi="Times New Roman" w:cs="Times New Roman"/>
                      <w:color w:val="auto"/>
                    </w:rPr>
                    <w:t>间）</w:t>
                  </w:r>
                </w:p>
              </w:tc>
              <w:tc>
                <w:tcPr>
                  <w:tcW w:w="556" w:type="pct"/>
                  <w:vAlign w:val="center"/>
                </w:tcPr>
                <w:p w14:paraId="029DA0A2">
                  <w:pPr>
                    <w:pStyle w:val="3"/>
                    <w:outlineLvl w:val="0"/>
                    <w:rPr>
                      <w:color w:val="auto"/>
                      <w:kern w:val="0"/>
                    </w:rPr>
                  </w:pPr>
                  <w:r>
                    <w:rPr>
                      <w:color w:val="auto"/>
                      <w:kern w:val="0"/>
                    </w:rPr>
                    <w:t>达标</w:t>
                  </w:r>
                </w:p>
                <w:p w14:paraId="3A4F59B5">
                  <w:pPr>
                    <w:pStyle w:val="3"/>
                    <w:outlineLvl w:val="0"/>
                    <w:rPr>
                      <w:color w:val="auto"/>
                      <w:kern w:val="0"/>
                      <w:sz w:val="24"/>
                      <w:szCs w:val="24"/>
                    </w:rPr>
                  </w:pPr>
                  <w:r>
                    <w:rPr>
                      <w:color w:val="auto"/>
                      <w:kern w:val="0"/>
                    </w:rPr>
                    <w:t>情况</w:t>
                  </w:r>
                </w:p>
              </w:tc>
            </w:tr>
            <w:tr w14:paraId="67FD03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553" w:type="pct"/>
                  <w:vAlign w:val="center"/>
                </w:tcPr>
                <w:p w14:paraId="6272381E">
                  <w:pPr>
                    <w:pStyle w:val="3"/>
                    <w:outlineLvl w:val="0"/>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lang w:eastAsia="zh-CN"/>
                    </w:rPr>
                    <w:t>西侧居民</w:t>
                  </w:r>
                </w:p>
              </w:tc>
              <w:tc>
                <w:tcPr>
                  <w:tcW w:w="554" w:type="pct"/>
                  <w:vAlign w:val="center"/>
                </w:tcPr>
                <w:p w14:paraId="207F42D2">
                  <w:pPr>
                    <w:pStyle w:val="3"/>
                    <w:outlineLvl w:val="0"/>
                    <w:rPr>
                      <w:rFonts w:hint="default" w:ascii="Times New Roman" w:hAnsi="Times New Roman" w:cs="Times New Roman"/>
                      <w:color w:val="auto"/>
                      <w:kern w:val="0"/>
                      <w:sz w:val="24"/>
                      <w:szCs w:val="24"/>
                    </w:rPr>
                  </w:pPr>
                  <w:r>
                    <w:rPr>
                      <w:rFonts w:hint="eastAsia" w:ascii="Times New Roman" w:hAnsi="Times New Roman" w:eastAsia="宋体" w:cs="Times New Roman"/>
                      <w:color w:val="auto"/>
                      <w:kern w:val="0"/>
                      <w:lang w:val="en-US" w:eastAsia="zh-CN"/>
                    </w:rPr>
                    <w:t>W</w:t>
                  </w:r>
                  <w:r>
                    <w:rPr>
                      <w:rFonts w:hint="default" w:ascii="Times New Roman" w:hAnsi="Times New Roman" w:cs="Times New Roman"/>
                      <w:color w:val="auto"/>
                      <w:kern w:val="0"/>
                    </w:rPr>
                    <w:t>,3</w:t>
                  </w:r>
                  <w:r>
                    <w:rPr>
                      <w:rFonts w:hint="default" w:ascii="Times New Roman" w:hAnsi="Times New Roman" w:eastAsia="宋体" w:cs="Times New Roman"/>
                      <w:color w:val="auto"/>
                      <w:kern w:val="0"/>
                      <w:lang w:val="en-US" w:eastAsia="zh-CN"/>
                    </w:rPr>
                    <w:t>5</w:t>
                  </w:r>
                  <w:r>
                    <w:rPr>
                      <w:rFonts w:hint="default" w:ascii="Times New Roman" w:hAnsi="Times New Roman" w:cs="Times New Roman"/>
                      <w:color w:val="auto"/>
                      <w:kern w:val="0"/>
                    </w:rPr>
                    <w:t>m</w:t>
                  </w:r>
                </w:p>
              </w:tc>
              <w:tc>
                <w:tcPr>
                  <w:tcW w:w="555" w:type="pct"/>
                  <w:vAlign w:val="center"/>
                </w:tcPr>
                <w:p w14:paraId="6FF20BD8">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48</w:t>
                  </w:r>
                </w:p>
              </w:tc>
              <w:tc>
                <w:tcPr>
                  <w:tcW w:w="555" w:type="pct"/>
                  <w:vAlign w:val="center"/>
                </w:tcPr>
                <w:p w14:paraId="55E7DBAD">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43</w:t>
                  </w:r>
                </w:p>
              </w:tc>
              <w:tc>
                <w:tcPr>
                  <w:tcW w:w="555" w:type="pct"/>
                  <w:vAlign w:val="center"/>
                </w:tcPr>
                <w:p w14:paraId="4A66CB53">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27.1</w:t>
                  </w:r>
                </w:p>
              </w:tc>
              <w:tc>
                <w:tcPr>
                  <w:tcW w:w="555" w:type="pct"/>
                  <w:vAlign w:val="center"/>
                </w:tcPr>
                <w:p w14:paraId="1B054C4F">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17.2</w:t>
                  </w:r>
                </w:p>
              </w:tc>
              <w:tc>
                <w:tcPr>
                  <w:tcW w:w="556" w:type="pct"/>
                  <w:vAlign w:val="center"/>
                </w:tcPr>
                <w:p w14:paraId="6A8F2F42">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8.0</w:t>
                  </w:r>
                </w:p>
              </w:tc>
              <w:tc>
                <w:tcPr>
                  <w:tcW w:w="556" w:type="pct"/>
                  <w:vAlign w:val="center"/>
                </w:tcPr>
                <w:p w14:paraId="69FF34D1">
                  <w:pPr>
                    <w:pStyle w:val="3"/>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43.0</w:t>
                  </w:r>
                </w:p>
              </w:tc>
              <w:tc>
                <w:tcPr>
                  <w:tcW w:w="556" w:type="pct"/>
                  <w:vAlign w:val="center"/>
                </w:tcPr>
                <w:p w14:paraId="15290FD5">
                  <w:pPr>
                    <w:pStyle w:val="3"/>
                    <w:outlineLvl w:val="0"/>
                    <w:rPr>
                      <w:color w:val="auto"/>
                      <w:kern w:val="0"/>
                      <w:sz w:val="24"/>
                      <w:szCs w:val="24"/>
                    </w:rPr>
                  </w:pPr>
                  <w:r>
                    <w:rPr>
                      <w:color w:val="auto"/>
                      <w:kern w:val="0"/>
                    </w:rPr>
                    <w:t>达标</w:t>
                  </w:r>
                </w:p>
              </w:tc>
            </w:tr>
          </w:tbl>
          <w:p w14:paraId="1F8C98A5">
            <w:pPr>
              <w:ind w:firstLine="480"/>
              <w:rPr>
                <w:color w:val="auto"/>
                <w:kern w:val="0"/>
              </w:rPr>
            </w:pPr>
            <w:r>
              <w:rPr>
                <w:rFonts w:hint="eastAsia"/>
                <w:color w:val="auto"/>
                <w:kern w:val="0"/>
              </w:rPr>
              <w:t>由表4.</w:t>
            </w:r>
            <w:r>
              <w:rPr>
                <w:rFonts w:hint="eastAsia" w:eastAsia="宋体"/>
                <w:color w:val="auto"/>
                <w:kern w:val="0"/>
                <w:lang w:val="en-US" w:eastAsia="zh-CN"/>
              </w:rPr>
              <w:t>4-4</w:t>
            </w:r>
            <w:r>
              <w:rPr>
                <w:rFonts w:hint="eastAsia"/>
                <w:color w:val="auto"/>
                <w:kern w:val="0"/>
              </w:rPr>
              <w:t>可知，本项目产生噪声对周边声环境保护目标影响小，满足《声环境质量标准》（GB3096-2008）中2类标准要求。</w:t>
            </w:r>
          </w:p>
          <w:p w14:paraId="14DB333A">
            <w:pPr>
              <w:pStyle w:val="23"/>
              <w:spacing w:line="360" w:lineRule="auto"/>
              <w:ind w:firstLine="480" w:firstLineChars="200"/>
              <w:rPr>
                <w:rFonts w:ascii="Times New Roman" w:cs="Times New Roman"/>
                <w:color w:val="auto"/>
              </w:rPr>
            </w:pPr>
            <w:r>
              <w:rPr>
                <w:rFonts w:ascii="Times New Roman" w:cs="Times New Roman"/>
                <w:color w:val="auto"/>
              </w:rPr>
              <w:t>（3）噪声监测要求</w:t>
            </w:r>
          </w:p>
          <w:p w14:paraId="59D5F46C">
            <w:pPr>
              <w:widowControl/>
              <w:spacing w:line="360" w:lineRule="auto"/>
              <w:ind w:firstLine="480" w:firstLineChars="200"/>
              <w:jc w:val="both"/>
              <w:rPr>
                <w:color w:val="auto"/>
                <w:sz w:val="24"/>
              </w:rPr>
            </w:pPr>
            <w:r>
              <w:rPr>
                <w:color w:val="auto"/>
                <w:sz w:val="24"/>
              </w:rPr>
              <w:t>根据</w:t>
            </w:r>
            <w:r>
              <w:rPr>
                <w:rFonts w:hint="default" w:ascii="Times New Roman" w:hAnsi="Times New Roman" w:cs="Times New Roman"/>
                <w:color w:val="auto"/>
                <w:sz w:val="24"/>
                <w:szCs w:val="24"/>
              </w:rPr>
              <w:t>《排污单位自行监测技术指南—</w:t>
            </w:r>
            <w:r>
              <w:rPr>
                <w:rFonts w:hint="eastAsia" w:cs="Times New Roman"/>
                <w:color w:val="auto"/>
                <w:sz w:val="24"/>
                <w:szCs w:val="24"/>
                <w:lang w:eastAsia="zh-CN"/>
              </w:rPr>
              <w:t>农副食品加工工业</w:t>
            </w:r>
            <w:r>
              <w:rPr>
                <w:rFonts w:hint="default" w:ascii="Times New Roman" w:hAnsi="Times New Roman" w:cs="Times New Roman"/>
                <w:color w:val="auto"/>
                <w:sz w:val="24"/>
                <w:szCs w:val="24"/>
              </w:rPr>
              <w:t>》(HJ</w:t>
            </w:r>
            <w:r>
              <w:rPr>
                <w:rFonts w:hint="eastAsia" w:cs="Times New Roman"/>
                <w:color w:val="auto"/>
                <w:sz w:val="24"/>
                <w:szCs w:val="24"/>
                <w:lang w:val="en-US" w:eastAsia="zh-CN"/>
              </w:rPr>
              <w:t>986</w:t>
            </w:r>
            <w:r>
              <w:rPr>
                <w:rFonts w:hint="default" w:ascii="Times New Roman" w:hAnsi="Times New Roman" w:cs="Times New Roman"/>
                <w:color w:val="auto"/>
                <w:sz w:val="24"/>
                <w:szCs w:val="24"/>
              </w:rPr>
              <w:t>-201</w:t>
            </w:r>
            <w:r>
              <w:rPr>
                <w:rFonts w:hint="eastAsia" w:cs="Times New Roman"/>
                <w:color w:val="auto"/>
                <w:sz w:val="24"/>
                <w:szCs w:val="24"/>
                <w:lang w:val="en-US" w:eastAsia="zh-CN"/>
              </w:rPr>
              <w:t>8</w:t>
            </w:r>
            <w:r>
              <w:rPr>
                <w:rFonts w:hint="default" w:ascii="Times New Roman" w:hAnsi="Times New Roman" w:cs="Times New Roman"/>
                <w:color w:val="auto"/>
                <w:sz w:val="24"/>
                <w:szCs w:val="24"/>
              </w:rPr>
              <w:t>)</w:t>
            </w:r>
            <w:r>
              <w:rPr>
                <w:rFonts w:hint="eastAsia" w:eastAsia="宋体"/>
                <w:color w:val="auto"/>
                <w:sz w:val="24"/>
                <w:lang w:eastAsia="zh-CN"/>
              </w:rPr>
              <w:t>，结合《排污许可证申请与核发技术规范</w:t>
            </w:r>
            <w:r>
              <w:rPr>
                <w:rFonts w:hint="eastAsia" w:eastAsia="宋体"/>
                <w:color w:val="auto"/>
                <w:sz w:val="24"/>
                <w:lang w:val="en-US" w:eastAsia="zh-CN"/>
              </w:rPr>
              <w:t xml:space="preserve"> 工业噪声</w:t>
            </w:r>
            <w:r>
              <w:rPr>
                <w:rFonts w:hint="eastAsia" w:eastAsia="宋体"/>
                <w:color w:val="auto"/>
                <w:sz w:val="24"/>
                <w:lang w:eastAsia="zh-CN"/>
              </w:rPr>
              <w:t>》（</w:t>
            </w:r>
            <w:r>
              <w:rPr>
                <w:rFonts w:hint="eastAsia" w:eastAsia="宋体"/>
                <w:color w:val="auto"/>
                <w:sz w:val="24"/>
                <w:lang w:val="en-US" w:eastAsia="zh-CN"/>
              </w:rPr>
              <w:t>HJ1301-2023</w:t>
            </w:r>
            <w:r>
              <w:rPr>
                <w:rFonts w:hint="eastAsia" w:eastAsia="宋体"/>
                <w:color w:val="auto"/>
                <w:sz w:val="24"/>
                <w:lang w:eastAsia="zh-CN"/>
              </w:rPr>
              <w:t>），</w:t>
            </w:r>
            <w:r>
              <w:rPr>
                <w:color w:val="auto"/>
                <w:sz w:val="24"/>
              </w:rPr>
              <w:t>提出如下噪声监测要求，详见表</w:t>
            </w:r>
            <w:r>
              <w:rPr>
                <w:rFonts w:hint="eastAsia" w:eastAsia="宋体"/>
                <w:color w:val="auto"/>
                <w:sz w:val="24"/>
                <w:lang w:val="en-US" w:eastAsia="zh-CN"/>
              </w:rPr>
              <w:t>4.4-5</w:t>
            </w:r>
            <w:r>
              <w:rPr>
                <w:color w:val="auto"/>
                <w:sz w:val="24"/>
              </w:rPr>
              <w:t>。</w:t>
            </w:r>
          </w:p>
          <w:p w14:paraId="78D1BD93">
            <w:pPr>
              <w:pStyle w:val="3"/>
              <w:bidi w:val="0"/>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4.4-5</w:t>
            </w:r>
            <w:r>
              <w:rPr>
                <w:rFonts w:hint="default" w:ascii="Times New Roman" w:hAnsi="Times New Roman" w:cs="Times New Roman"/>
                <w:color w:val="auto"/>
              </w:rPr>
              <w:t xml:space="preserve"> 噪声例行监测要求一览表</w:t>
            </w:r>
          </w:p>
          <w:tbl>
            <w:tblPr>
              <w:tblStyle w:val="17"/>
              <w:tblW w:w="4998"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671"/>
              <w:gridCol w:w="1796"/>
              <w:gridCol w:w="2017"/>
              <w:gridCol w:w="1626"/>
              <w:gridCol w:w="5395"/>
            </w:tblGrid>
            <w:tr w14:paraId="7B4444C4">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c>
                <w:tcPr>
                  <w:tcW w:w="668" w:type="pct"/>
                  <w:tcBorders>
                    <w:top w:val="single" w:color="auto" w:sz="6" w:space="0"/>
                    <w:left w:val="nil"/>
                    <w:bottom w:val="single" w:color="auto" w:sz="6" w:space="0"/>
                    <w:right w:val="single" w:color="auto" w:sz="6" w:space="0"/>
                  </w:tcBorders>
                  <w:vAlign w:val="center"/>
                </w:tcPr>
                <w:p w14:paraId="32DD2A95">
                  <w:pPr>
                    <w:pStyle w:val="3"/>
                    <w:bidi w:val="0"/>
                    <w:rPr>
                      <w:rFonts w:hint="default" w:ascii="Times New Roman" w:hAnsi="Times New Roman" w:cs="Times New Roman"/>
                      <w:color w:val="auto"/>
                    </w:rPr>
                  </w:pPr>
                  <w:r>
                    <w:rPr>
                      <w:rFonts w:hint="default" w:ascii="Times New Roman" w:hAnsi="Times New Roman" w:cs="Times New Roman"/>
                      <w:color w:val="auto"/>
                    </w:rPr>
                    <w:t>污染物</w:t>
                  </w:r>
                </w:p>
                <w:p w14:paraId="18611602">
                  <w:pPr>
                    <w:pStyle w:val="3"/>
                    <w:bidi w:val="0"/>
                    <w:rPr>
                      <w:rFonts w:hint="default" w:ascii="Times New Roman" w:hAnsi="Times New Roman" w:cs="Times New Roman"/>
                      <w:color w:val="auto"/>
                    </w:rPr>
                  </w:pPr>
                  <w:r>
                    <w:rPr>
                      <w:rFonts w:hint="default" w:ascii="Times New Roman" w:hAnsi="Times New Roman" w:cs="Times New Roman"/>
                      <w:color w:val="auto"/>
                    </w:rPr>
                    <w:t>类型</w:t>
                  </w:r>
                </w:p>
              </w:tc>
              <w:tc>
                <w:tcPr>
                  <w:tcW w:w="718" w:type="pct"/>
                  <w:tcBorders>
                    <w:top w:val="single" w:color="auto" w:sz="6" w:space="0"/>
                    <w:left w:val="single" w:color="auto" w:sz="6" w:space="0"/>
                    <w:bottom w:val="single" w:color="auto" w:sz="6" w:space="0"/>
                    <w:right w:val="single" w:color="auto" w:sz="6" w:space="0"/>
                  </w:tcBorders>
                  <w:vAlign w:val="center"/>
                </w:tcPr>
                <w:p w14:paraId="1B9A6570">
                  <w:pPr>
                    <w:pStyle w:val="3"/>
                    <w:bidi w:val="0"/>
                    <w:rPr>
                      <w:rFonts w:hint="default" w:ascii="Times New Roman" w:hAnsi="Times New Roman" w:cs="Times New Roman"/>
                      <w:color w:val="auto"/>
                    </w:rPr>
                  </w:pPr>
                  <w:r>
                    <w:rPr>
                      <w:rFonts w:hint="default" w:ascii="Times New Roman" w:hAnsi="Times New Roman" w:cs="Times New Roman"/>
                      <w:color w:val="auto"/>
                    </w:rPr>
                    <w:t>监测点位</w:t>
                  </w:r>
                </w:p>
              </w:tc>
              <w:tc>
                <w:tcPr>
                  <w:tcW w:w="806" w:type="pct"/>
                  <w:tcBorders>
                    <w:top w:val="single" w:color="auto" w:sz="6" w:space="0"/>
                    <w:left w:val="single" w:color="auto" w:sz="6" w:space="0"/>
                    <w:bottom w:val="single" w:color="auto" w:sz="6" w:space="0"/>
                    <w:right w:val="single" w:color="auto" w:sz="6" w:space="0"/>
                  </w:tcBorders>
                  <w:vAlign w:val="center"/>
                </w:tcPr>
                <w:p w14:paraId="706A90E4">
                  <w:pPr>
                    <w:pStyle w:val="3"/>
                    <w:bidi w:val="0"/>
                    <w:rPr>
                      <w:rFonts w:hint="default" w:ascii="Times New Roman" w:hAnsi="Times New Roman" w:cs="Times New Roman"/>
                      <w:color w:val="auto"/>
                    </w:rPr>
                  </w:pPr>
                  <w:r>
                    <w:rPr>
                      <w:rFonts w:hint="default" w:ascii="Times New Roman" w:hAnsi="Times New Roman" w:cs="Times New Roman"/>
                      <w:color w:val="auto"/>
                    </w:rPr>
                    <w:t>监测指标</w:t>
                  </w:r>
                </w:p>
              </w:tc>
              <w:tc>
                <w:tcPr>
                  <w:tcW w:w="650" w:type="pct"/>
                  <w:tcBorders>
                    <w:top w:val="single" w:color="auto" w:sz="6" w:space="0"/>
                    <w:left w:val="single" w:color="auto" w:sz="6" w:space="0"/>
                    <w:bottom w:val="single" w:color="auto" w:sz="6" w:space="0"/>
                    <w:right w:val="nil"/>
                  </w:tcBorders>
                  <w:vAlign w:val="center"/>
                </w:tcPr>
                <w:p w14:paraId="2C546702">
                  <w:pPr>
                    <w:pStyle w:val="3"/>
                    <w:bidi w:val="0"/>
                    <w:rPr>
                      <w:rFonts w:hint="default" w:ascii="Times New Roman" w:hAnsi="Times New Roman" w:cs="Times New Roman"/>
                      <w:color w:val="auto"/>
                    </w:rPr>
                  </w:pPr>
                  <w:r>
                    <w:rPr>
                      <w:rFonts w:hint="default" w:ascii="Times New Roman" w:hAnsi="Times New Roman" w:cs="Times New Roman"/>
                      <w:color w:val="auto"/>
                    </w:rPr>
                    <w:t>监测频次</w:t>
                  </w:r>
                </w:p>
              </w:tc>
              <w:tc>
                <w:tcPr>
                  <w:tcW w:w="2156" w:type="pct"/>
                  <w:tcBorders>
                    <w:top w:val="single" w:color="auto" w:sz="6" w:space="0"/>
                    <w:left w:val="single" w:color="auto" w:sz="6" w:space="0"/>
                    <w:bottom w:val="single" w:color="auto" w:sz="6" w:space="0"/>
                    <w:right w:val="nil"/>
                  </w:tcBorders>
                  <w:vAlign w:val="center"/>
                </w:tcPr>
                <w:p w14:paraId="5CD19BAF">
                  <w:pPr>
                    <w:pStyle w:val="3"/>
                    <w:bidi w:val="0"/>
                    <w:rPr>
                      <w:rFonts w:hint="default" w:ascii="Times New Roman" w:hAnsi="Times New Roman" w:cs="Times New Roman"/>
                      <w:color w:val="auto"/>
                    </w:rPr>
                  </w:pPr>
                  <w:r>
                    <w:rPr>
                      <w:rFonts w:hint="default" w:ascii="Times New Roman" w:hAnsi="Times New Roman" w:cs="Times New Roman"/>
                      <w:color w:val="auto"/>
                    </w:rPr>
                    <w:t>执行标准</w:t>
                  </w:r>
                </w:p>
              </w:tc>
            </w:tr>
            <w:tr w14:paraId="147ACC19">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62" w:hRule="atLeast"/>
              </w:trPr>
              <w:tc>
                <w:tcPr>
                  <w:tcW w:w="668" w:type="pct"/>
                  <w:tcBorders>
                    <w:top w:val="single" w:color="auto" w:sz="4" w:space="0"/>
                    <w:left w:val="nil"/>
                    <w:bottom w:val="single" w:color="auto" w:sz="6" w:space="0"/>
                    <w:right w:val="single" w:color="auto" w:sz="6" w:space="0"/>
                  </w:tcBorders>
                  <w:vAlign w:val="center"/>
                </w:tcPr>
                <w:p w14:paraId="0FC730FD">
                  <w:pPr>
                    <w:pStyle w:val="3"/>
                    <w:bidi w:val="0"/>
                    <w:rPr>
                      <w:rFonts w:hint="default" w:ascii="Times New Roman" w:hAnsi="Times New Roman" w:cs="Times New Roman"/>
                      <w:color w:val="auto"/>
                    </w:rPr>
                  </w:pPr>
                  <w:r>
                    <w:rPr>
                      <w:rFonts w:hint="default" w:ascii="Times New Roman" w:hAnsi="Times New Roman" w:cs="Times New Roman"/>
                      <w:color w:val="auto"/>
                    </w:rPr>
                    <w:t>厂界噪声</w:t>
                  </w:r>
                </w:p>
              </w:tc>
              <w:tc>
                <w:tcPr>
                  <w:tcW w:w="718" w:type="pct"/>
                  <w:tcBorders>
                    <w:top w:val="single" w:color="auto" w:sz="4" w:space="0"/>
                    <w:left w:val="single" w:color="auto" w:sz="6" w:space="0"/>
                    <w:bottom w:val="single" w:color="auto" w:sz="6" w:space="0"/>
                    <w:right w:val="single" w:color="auto" w:sz="6" w:space="0"/>
                  </w:tcBorders>
                  <w:vAlign w:val="center"/>
                </w:tcPr>
                <w:p w14:paraId="4D0BDFF0">
                  <w:pPr>
                    <w:pStyle w:val="3"/>
                    <w:bidi w:val="0"/>
                    <w:rPr>
                      <w:rFonts w:hint="default" w:ascii="Times New Roman" w:hAnsi="Times New Roman" w:cs="Times New Roman"/>
                      <w:color w:val="auto"/>
                    </w:rPr>
                  </w:pPr>
                  <w:r>
                    <w:rPr>
                      <w:rFonts w:hint="default" w:ascii="Times New Roman" w:hAnsi="Times New Roman" w:cs="Times New Roman"/>
                      <w:color w:val="auto"/>
                    </w:rPr>
                    <w:t>厂界周围外1m</w:t>
                  </w:r>
                </w:p>
              </w:tc>
              <w:tc>
                <w:tcPr>
                  <w:tcW w:w="806" w:type="pct"/>
                  <w:tcBorders>
                    <w:top w:val="single" w:color="auto" w:sz="6" w:space="0"/>
                    <w:left w:val="single" w:color="auto" w:sz="6" w:space="0"/>
                    <w:bottom w:val="single" w:color="auto" w:sz="6" w:space="0"/>
                    <w:right w:val="single" w:color="auto" w:sz="6" w:space="0"/>
                  </w:tcBorders>
                  <w:vAlign w:val="center"/>
                </w:tcPr>
                <w:p w14:paraId="67A37509">
                  <w:pPr>
                    <w:pStyle w:val="3"/>
                    <w:bidi w:val="0"/>
                    <w:rPr>
                      <w:rFonts w:hint="default" w:ascii="Times New Roman" w:hAnsi="Times New Roman" w:cs="Times New Roman"/>
                      <w:color w:val="auto"/>
                    </w:rPr>
                  </w:pPr>
                  <w:r>
                    <w:rPr>
                      <w:rFonts w:hint="default" w:ascii="Times New Roman" w:hAnsi="Times New Roman" w:cs="Times New Roman"/>
                      <w:color w:val="auto"/>
                    </w:rPr>
                    <w:t>等效连续</w:t>
                  </w:r>
                </w:p>
                <w:p w14:paraId="656443CD">
                  <w:pPr>
                    <w:pStyle w:val="3"/>
                    <w:bidi w:val="0"/>
                    <w:rPr>
                      <w:rFonts w:hint="default" w:ascii="Times New Roman" w:hAnsi="Times New Roman" w:cs="Times New Roman"/>
                      <w:color w:val="auto"/>
                    </w:rPr>
                  </w:pPr>
                  <w:r>
                    <w:rPr>
                      <w:rFonts w:hint="default" w:ascii="Times New Roman" w:hAnsi="Times New Roman" w:cs="Times New Roman"/>
                      <w:color w:val="auto"/>
                    </w:rPr>
                    <w:t>A声级</w:t>
                  </w:r>
                </w:p>
              </w:tc>
              <w:tc>
                <w:tcPr>
                  <w:tcW w:w="650" w:type="pct"/>
                  <w:tcBorders>
                    <w:top w:val="single" w:color="auto" w:sz="6" w:space="0"/>
                    <w:left w:val="single" w:color="auto" w:sz="6" w:space="0"/>
                    <w:bottom w:val="single" w:color="auto" w:sz="6" w:space="0"/>
                    <w:right w:val="nil"/>
                  </w:tcBorders>
                  <w:vAlign w:val="center"/>
                </w:tcPr>
                <w:p w14:paraId="05B527B4">
                  <w:pPr>
                    <w:pStyle w:val="3"/>
                    <w:bidi w:val="0"/>
                    <w:rPr>
                      <w:rFonts w:hint="default" w:ascii="Times New Roman" w:hAnsi="Times New Roman" w:cs="Times New Roman"/>
                      <w:color w:val="auto"/>
                    </w:rPr>
                  </w:pPr>
                  <w:r>
                    <w:rPr>
                      <w:rFonts w:hint="default" w:ascii="Times New Roman" w:hAnsi="Times New Roman" w:cs="Times New Roman"/>
                      <w:color w:val="auto"/>
                    </w:rPr>
                    <w:t>1季度</w:t>
                  </w:r>
                </w:p>
              </w:tc>
              <w:tc>
                <w:tcPr>
                  <w:tcW w:w="2156" w:type="pct"/>
                  <w:tcBorders>
                    <w:top w:val="single" w:color="auto" w:sz="6" w:space="0"/>
                    <w:left w:val="single" w:color="auto" w:sz="6" w:space="0"/>
                    <w:bottom w:val="single" w:color="auto" w:sz="6" w:space="0"/>
                    <w:right w:val="nil"/>
                  </w:tcBorders>
                  <w:vAlign w:val="center"/>
                </w:tcPr>
                <w:p w14:paraId="2CB81348">
                  <w:pPr>
                    <w:pStyle w:val="3"/>
                    <w:bidi w:val="0"/>
                    <w:rPr>
                      <w:rFonts w:hint="default" w:ascii="Times New Roman" w:hAnsi="Times New Roman" w:cs="Times New Roman"/>
                      <w:color w:val="auto"/>
                    </w:rPr>
                  </w:pPr>
                  <w:r>
                    <w:rPr>
                      <w:rFonts w:hint="default" w:ascii="Times New Roman" w:hAnsi="Times New Roman" w:cs="Times New Roman"/>
                      <w:color w:val="auto"/>
                    </w:rPr>
                    <w:t>《工业企业厂界环境噪声排放标准》（GB12348-2008）中的3类</w:t>
                  </w:r>
                </w:p>
              </w:tc>
            </w:tr>
          </w:tbl>
          <w:p w14:paraId="7F328090">
            <w:pPr>
              <w:spacing w:line="360" w:lineRule="auto"/>
              <w:ind w:left="0" w:leftChars="0" w:firstLine="0" w:firstLineChars="0"/>
              <w:jc w:val="center"/>
              <w:rPr>
                <w:color w:val="auto"/>
                <w:sz w:val="21"/>
                <w:szCs w:val="21"/>
              </w:rPr>
            </w:pPr>
          </w:p>
          <w:p w14:paraId="472F7AE9">
            <w:pPr>
              <w:ind w:left="0" w:leftChars="0" w:firstLine="0" w:firstLineChars="0"/>
              <w:rPr>
                <w:rFonts w:hint="eastAsia" w:eastAsia="宋体"/>
                <w:color w:val="auto"/>
                <w:lang w:eastAsia="zh-CN"/>
              </w:rPr>
            </w:pPr>
          </w:p>
          <w:p w14:paraId="77236515">
            <w:pPr>
              <w:pStyle w:val="23"/>
              <w:rPr>
                <w:rFonts w:hint="eastAsia" w:eastAsia="宋体"/>
                <w:color w:val="auto"/>
                <w:lang w:eastAsia="zh-CN"/>
              </w:rPr>
            </w:pPr>
          </w:p>
          <w:p w14:paraId="7E5099A0">
            <w:pPr>
              <w:pStyle w:val="5"/>
              <w:rPr>
                <w:rFonts w:hint="eastAsia" w:eastAsia="宋体"/>
                <w:color w:val="auto"/>
                <w:lang w:eastAsia="zh-CN"/>
              </w:rPr>
            </w:pPr>
          </w:p>
          <w:p w14:paraId="2F192591">
            <w:pPr>
              <w:rPr>
                <w:rFonts w:hint="eastAsia" w:eastAsia="宋体"/>
                <w:color w:val="auto"/>
                <w:lang w:eastAsia="zh-CN"/>
              </w:rPr>
            </w:pPr>
          </w:p>
          <w:p w14:paraId="21F402A1">
            <w:pPr>
              <w:pStyle w:val="23"/>
              <w:rPr>
                <w:rFonts w:hint="eastAsia" w:eastAsia="宋体"/>
                <w:color w:val="auto"/>
                <w:lang w:eastAsia="zh-CN"/>
              </w:rPr>
            </w:pPr>
          </w:p>
          <w:p w14:paraId="0960582E">
            <w:pPr>
              <w:pStyle w:val="5"/>
              <w:rPr>
                <w:rFonts w:hint="eastAsia" w:eastAsia="宋体"/>
                <w:color w:val="auto"/>
                <w:lang w:eastAsia="zh-CN"/>
              </w:rPr>
            </w:pPr>
          </w:p>
          <w:p w14:paraId="2D5900A4">
            <w:pPr>
              <w:rPr>
                <w:rFonts w:hint="eastAsia" w:eastAsia="宋体"/>
                <w:color w:val="auto"/>
                <w:lang w:eastAsia="zh-CN"/>
              </w:rPr>
            </w:pPr>
          </w:p>
          <w:p w14:paraId="6A092656">
            <w:pPr>
              <w:ind w:left="0" w:leftChars="0" w:firstLine="0" w:firstLineChars="0"/>
              <w:rPr>
                <w:rFonts w:hint="eastAsia"/>
                <w:color w:val="auto"/>
                <w:lang w:eastAsia="zh-CN"/>
              </w:rPr>
            </w:pPr>
          </w:p>
        </w:tc>
      </w:tr>
    </w:tbl>
    <w:p w14:paraId="66A12626">
      <w:pPr>
        <w:pStyle w:val="23"/>
        <w:ind w:left="0" w:leftChars="0" w:firstLine="0" w:firstLineChars="0"/>
        <w:rPr>
          <w:color w:val="auto"/>
        </w:rPr>
        <w:sectPr>
          <w:pgSz w:w="16840" w:h="11907" w:orient="landscape"/>
          <w:pgMar w:top="1531" w:right="1701" w:bottom="1531" w:left="2127" w:header="851" w:footer="850" w:gutter="0"/>
          <w:pgBorders>
            <w:top w:val="none" w:sz="0" w:space="0"/>
            <w:left w:val="none" w:sz="0" w:space="0"/>
            <w:bottom w:val="none" w:sz="0" w:space="0"/>
            <w:right w:val="none" w:sz="0" w:space="0"/>
          </w:pgBorders>
          <w:cols w:space="0" w:num="1"/>
          <w:rtlGutter w:val="0"/>
          <w:docGrid w:linePitch="312" w:charSpace="0"/>
        </w:sectPr>
      </w:pPr>
    </w:p>
    <w:tbl>
      <w:tblPr>
        <w:tblStyle w:val="17"/>
        <w:tblW w:w="515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8648"/>
      </w:tblGrid>
      <w:tr w14:paraId="183F3B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29" w:hRule="atLeast"/>
          <w:jc w:val="center"/>
        </w:trPr>
        <w:tc>
          <w:tcPr>
            <w:tcW w:w="325" w:type="pct"/>
            <w:tcMar>
              <w:left w:w="28" w:type="dxa"/>
              <w:right w:w="28" w:type="dxa"/>
            </w:tcMar>
            <w:vAlign w:val="center"/>
          </w:tcPr>
          <w:p w14:paraId="18982C15">
            <w:pPr>
              <w:keepNext w:val="0"/>
              <w:keepLines w:val="0"/>
              <w:pageBreakBefore w:val="0"/>
              <w:kinsoku/>
              <w:wordWrap/>
              <w:overflowPunct/>
              <w:bidi w:val="0"/>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运营</w:t>
            </w:r>
          </w:p>
          <w:p w14:paraId="05099505">
            <w:pPr>
              <w:keepNext w:val="0"/>
              <w:keepLines w:val="0"/>
              <w:pageBreakBefore w:val="0"/>
              <w:kinsoku/>
              <w:wordWrap/>
              <w:overflowPunct/>
              <w:bidi w:val="0"/>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期环</w:t>
            </w:r>
          </w:p>
          <w:p w14:paraId="01BFC274">
            <w:pPr>
              <w:keepNext w:val="0"/>
              <w:keepLines w:val="0"/>
              <w:pageBreakBefore w:val="0"/>
              <w:kinsoku/>
              <w:wordWrap/>
              <w:overflowPunct/>
              <w:bidi w:val="0"/>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境影</w:t>
            </w:r>
          </w:p>
          <w:p w14:paraId="47510D9A">
            <w:pPr>
              <w:keepNext w:val="0"/>
              <w:keepLines w:val="0"/>
              <w:pageBreakBefore w:val="0"/>
              <w:kinsoku/>
              <w:wordWrap/>
              <w:overflowPunct/>
              <w:bidi w:val="0"/>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响和</w:t>
            </w:r>
          </w:p>
          <w:p w14:paraId="3A278178">
            <w:pPr>
              <w:keepNext w:val="0"/>
              <w:keepLines w:val="0"/>
              <w:pageBreakBefore w:val="0"/>
              <w:kinsoku/>
              <w:wordWrap/>
              <w:overflowPunct/>
              <w:bidi w:val="0"/>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保护</w:t>
            </w:r>
          </w:p>
          <w:p w14:paraId="2466A2DD">
            <w:pPr>
              <w:keepNext w:val="0"/>
              <w:keepLines w:val="0"/>
              <w:pageBreakBefore w:val="0"/>
              <w:kinsoku/>
              <w:wordWrap/>
              <w:overflowPunct/>
              <w:bidi w:val="0"/>
              <w:adjustRightInd w:val="0"/>
              <w:snapToGrid w:val="0"/>
              <w:ind w:firstLine="0" w:firstLineChars="0"/>
              <w:jc w:val="center"/>
              <w:rPr>
                <w:rFonts w:ascii="宋体" w:hAnsi="宋体" w:cs="宋体"/>
                <w:bCs/>
                <w:color w:val="auto"/>
                <w:szCs w:val="21"/>
              </w:rPr>
            </w:pPr>
            <w:r>
              <w:rPr>
                <w:rFonts w:hint="eastAsia" w:ascii="宋体" w:hAnsi="宋体" w:cs="宋体"/>
                <w:bCs/>
                <w:color w:val="auto"/>
                <w:szCs w:val="21"/>
              </w:rPr>
              <w:t>措施</w:t>
            </w:r>
          </w:p>
        </w:tc>
        <w:tc>
          <w:tcPr>
            <w:tcW w:w="4674" w:type="pct"/>
          </w:tcPr>
          <w:p w14:paraId="386C7806">
            <w:pPr>
              <w:ind w:firstLine="0" w:firstLineChars="0"/>
              <w:rPr>
                <w:b/>
                <w:bCs/>
                <w:color w:val="auto"/>
                <w:kern w:val="0"/>
                <w:highlight w:val="none"/>
              </w:rPr>
            </w:pPr>
            <w:r>
              <w:rPr>
                <w:rFonts w:hint="eastAsia" w:eastAsia="宋体"/>
                <w:b/>
                <w:bCs/>
                <w:color w:val="auto"/>
                <w:kern w:val="0"/>
                <w:highlight w:val="none"/>
                <w:lang w:val="en-US" w:eastAsia="zh-CN"/>
              </w:rPr>
              <w:t>5</w:t>
            </w:r>
            <w:r>
              <w:rPr>
                <w:b/>
                <w:bCs/>
                <w:color w:val="auto"/>
                <w:kern w:val="0"/>
                <w:highlight w:val="none"/>
              </w:rPr>
              <w:t>.固体废物</w:t>
            </w:r>
          </w:p>
          <w:p w14:paraId="285E68C7">
            <w:pPr>
              <w:keepNext w:val="0"/>
              <w:keepLines w:val="0"/>
              <w:pageBreakBefore w:val="0"/>
              <w:widowControl w:val="0"/>
              <w:kinsoku/>
              <w:wordWrap/>
              <w:overflowPunct/>
              <w:topLinePunct w:val="0"/>
              <w:bidi w:val="0"/>
              <w:adjustRightInd w:val="0"/>
              <w:snapToGrid w:val="0"/>
              <w:spacing w:line="360" w:lineRule="auto"/>
              <w:ind w:firstLine="480"/>
              <w:textAlignment w:val="auto"/>
              <w:rPr>
                <w:color w:val="auto"/>
                <w:kern w:val="0"/>
              </w:rPr>
            </w:pPr>
            <w:r>
              <w:rPr>
                <w:color w:val="auto"/>
                <w:kern w:val="0"/>
                <w:highlight w:val="none"/>
              </w:rPr>
              <w:t>（1）固体</w:t>
            </w:r>
            <w:r>
              <w:rPr>
                <w:rFonts w:hint="eastAsia" w:eastAsia="宋体"/>
                <w:color w:val="auto"/>
                <w:kern w:val="0"/>
                <w:highlight w:val="none"/>
                <w:lang w:eastAsia="zh-CN"/>
              </w:rPr>
              <w:t>废物</w:t>
            </w:r>
            <w:r>
              <w:rPr>
                <w:color w:val="auto"/>
                <w:kern w:val="0"/>
                <w:highlight w:val="none"/>
              </w:rPr>
              <w:t>产生及处置情况</w:t>
            </w:r>
          </w:p>
          <w:p w14:paraId="0F363916">
            <w:pPr>
              <w:adjustRightInd w:val="0"/>
              <w:snapToGrid w:val="0"/>
              <w:spacing w:line="360" w:lineRule="auto"/>
              <w:ind w:firstLine="480" w:firstLineChars="200"/>
              <w:rPr>
                <w:rFonts w:hint="eastAsia" w:eastAsia="宋体"/>
                <w:color w:val="auto"/>
                <w:sz w:val="24"/>
                <w:highlight w:val="none"/>
                <w:lang w:val="en-US" w:eastAsia="zh-CN"/>
              </w:rPr>
            </w:pPr>
            <w:r>
              <w:rPr>
                <w:color w:val="auto"/>
                <w:sz w:val="24"/>
              </w:rPr>
              <w:t>本项目产生的固体废物主要为</w:t>
            </w:r>
            <w:r>
              <w:rPr>
                <w:rFonts w:hint="eastAsia" w:eastAsia="宋体"/>
                <w:color w:val="auto"/>
                <w:sz w:val="24"/>
                <w:lang w:eastAsia="zh-CN"/>
              </w:rPr>
              <w:t>大豆膨化生产线振动清理工序产生废杂质（</w:t>
            </w:r>
            <w:r>
              <w:rPr>
                <w:rFonts w:hint="eastAsia" w:eastAsia="宋体"/>
                <w:color w:val="auto"/>
                <w:sz w:val="24"/>
                <w:lang w:val="en-US" w:eastAsia="zh-CN"/>
              </w:rPr>
              <w:t>S1</w:t>
            </w:r>
            <w:r>
              <w:rPr>
                <w:rFonts w:hint="eastAsia" w:eastAsia="宋体"/>
                <w:color w:val="auto"/>
                <w:sz w:val="24"/>
                <w:lang w:eastAsia="zh-CN"/>
              </w:rPr>
              <w:t>）；由于磷脂分线的加入，精炼线主线的</w:t>
            </w:r>
            <w:r>
              <w:rPr>
                <w:rFonts w:hint="eastAsia" w:eastAsia="宋体"/>
                <w:color w:val="auto"/>
                <w:sz w:val="24"/>
                <w:highlight w:val="none"/>
                <w:lang w:eastAsia="zh-CN"/>
              </w:rPr>
              <w:t>皂脚（</w:t>
            </w:r>
            <w:r>
              <w:rPr>
                <w:rFonts w:hint="eastAsia" w:eastAsia="宋体"/>
                <w:color w:val="auto"/>
                <w:sz w:val="24"/>
                <w:highlight w:val="none"/>
                <w:lang w:val="en-US" w:eastAsia="zh-CN"/>
              </w:rPr>
              <w:t>S2</w:t>
            </w:r>
            <w:r>
              <w:rPr>
                <w:rFonts w:hint="eastAsia" w:eastAsia="宋体"/>
                <w:color w:val="auto"/>
                <w:sz w:val="24"/>
                <w:highlight w:val="none"/>
                <w:lang w:eastAsia="zh-CN"/>
              </w:rPr>
              <w:t>）产生量减少，废白土（</w:t>
            </w:r>
            <w:r>
              <w:rPr>
                <w:rFonts w:hint="eastAsia" w:eastAsia="宋体"/>
                <w:color w:val="auto"/>
                <w:sz w:val="24"/>
                <w:highlight w:val="none"/>
                <w:lang w:val="en-US" w:eastAsia="zh-CN"/>
              </w:rPr>
              <w:t>S3</w:t>
            </w:r>
            <w:r>
              <w:rPr>
                <w:rFonts w:hint="eastAsia" w:eastAsia="宋体"/>
                <w:color w:val="auto"/>
                <w:sz w:val="24"/>
                <w:highlight w:val="none"/>
                <w:lang w:eastAsia="zh-CN"/>
              </w:rPr>
              <w:t>）、脂肪酸（</w:t>
            </w:r>
            <w:r>
              <w:rPr>
                <w:rFonts w:hint="eastAsia" w:eastAsia="宋体"/>
                <w:color w:val="auto"/>
                <w:sz w:val="24"/>
                <w:highlight w:val="none"/>
                <w:lang w:val="en-US" w:eastAsia="zh-CN"/>
              </w:rPr>
              <w:t>S4</w:t>
            </w:r>
            <w:r>
              <w:rPr>
                <w:rFonts w:hint="eastAsia" w:eastAsia="宋体"/>
                <w:color w:val="auto"/>
                <w:sz w:val="24"/>
                <w:highlight w:val="none"/>
                <w:lang w:eastAsia="zh-CN"/>
              </w:rPr>
              <w:t>）、废滤袋（</w:t>
            </w:r>
            <w:r>
              <w:rPr>
                <w:rFonts w:hint="eastAsia" w:eastAsia="宋体"/>
                <w:color w:val="auto"/>
                <w:sz w:val="24"/>
                <w:highlight w:val="none"/>
                <w:lang w:val="en-US" w:eastAsia="zh-CN"/>
              </w:rPr>
              <w:t>S5</w:t>
            </w:r>
            <w:r>
              <w:rPr>
                <w:rFonts w:hint="eastAsia" w:eastAsia="宋体"/>
                <w:color w:val="auto"/>
                <w:sz w:val="24"/>
                <w:highlight w:val="none"/>
                <w:lang w:eastAsia="zh-CN"/>
              </w:rPr>
              <w:t>）产生量不发生变化</w:t>
            </w:r>
            <w:r>
              <w:rPr>
                <w:rFonts w:hint="eastAsia" w:eastAsia="宋体"/>
                <w:color w:val="auto"/>
                <w:sz w:val="24"/>
                <w:lang w:eastAsia="zh-CN"/>
              </w:rPr>
              <w:t>、除尘器</w:t>
            </w:r>
            <w:r>
              <w:rPr>
                <w:rFonts w:hint="eastAsia" w:eastAsia="宋体"/>
                <w:color w:val="auto"/>
                <w:sz w:val="24"/>
                <w:highlight w:val="none"/>
                <w:lang w:eastAsia="zh-CN"/>
              </w:rPr>
              <w:t>收集粉尘（</w:t>
            </w:r>
            <w:r>
              <w:rPr>
                <w:rFonts w:hint="eastAsia" w:eastAsia="宋体"/>
                <w:color w:val="auto"/>
                <w:sz w:val="24"/>
                <w:highlight w:val="none"/>
                <w:lang w:val="en-US" w:eastAsia="zh-CN"/>
              </w:rPr>
              <w:t>S12</w:t>
            </w:r>
            <w:r>
              <w:rPr>
                <w:rFonts w:hint="eastAsia" w:eastAsia="宋体"/>
                <w:color w:val="auto"/>
                <w:sz w:val="24"/>
                <w:highlight w:val="none"/>
                <w:lang w:eastAsia="zh-CN"/>
              </w:rPr>
              <w:t>）；磷脂分线设备日常维护、运行将产生废润滑油（</w:t>
            </w:r>
            <w:r>
              <w:rPr>
                <w:rFonts w:hint="eastAsia" w:eastAsia="宋体"/>
                <w:color w:val="auto"/>
                <w:sz w:val="24"/>
                <w:highlight w:val="none"/>
                <w:lang w:val="en-US" w:eastAsia="zh-CN"/>
              </w:rPr>
              <w:t>S11</w:t>
            </w:r>
            <w:r>
              <w:rPr>
                <w:rFonts w:hint="eastAsia" w:eastAsia="宋体"/>
                <w:color w:val="auto"/>
                <w:sz w:val="24"/>
                <w:highlight w:val="none"/>
                <w:lang w:eastAsia="zh-CN"/>
              </w:rPr>
              <w:t>）、</w:t>
            </w:r>
            <w:r>
              <w:rPr>
                <w:color w:val="auto"/>
                <w:sz w:val="24"/>
                <w:highlight w:val="none"/>
              </w:rPr>
              <w:t>含油抹布、劳保用品</w:t>
            </w:r>
            <w:r>
              <w:rPr>
                <w:rFonts w:hint="eastAsia"/>
                <w:color w:val="auto"/>
                <w:sz w:val="24"/>
                <w:highlight w:val="none"/>
                <w:lang w:eastAsia="zh-CN"/>
              </w:rPr>
              <w:t>（</w:t>
            </w:r>
            <w:r>
              <w:rPr>
                <w:rFonts w:hint="eastAsia"/>
                <w:color w:val="auto"/>
                <w:sz w:val="24"/>
                <w:highlight w:val="none"/>
                <w:lang w:val="en-US" w:eastAsia="zh-CN"/>
              </w:rPr>
              <w:t>S14</w:t>
            </w:r>
            <w:r>
              <w:rPr>
                <w:rFonts w:hint="eastAsia"/>
                <w:color w:val="auto"/>
                <w:sz w:val="24"/>
                <w:highlight w:val="none"/>
                <w:lang w:eastAsia="zh-CN"/>
              </w:rPr>
              <w:t>），其中</w:t>
            </w:r>
            <w:r>
              <w:rPr>
                <w:rFonts w:hint="eastAsia" w:eastAsia="宋体"/>
                <w:color w:val="auto"/>
                <w:sz w:val="24"/>
                <w:highlight w:val="none"/>
                <w:lang w:eastAsia="zh-CN"/>
              </w:rPr>
              <w:t>废润滑油、</w:t>
            </w:r>
            <w:r>
              <w:rPr>
                <w:color w:val="auto"/>
                <w:sz w:val="24"/>
                <w:highlight w:val="none"/>
              </w:rPr>
              <w:t>含油抹布、劳保用品</w:t>
            </w:r>
            <w:r>
              <w:rPr>
                <w:rFonts w:hint="eastAsia" w:eastAsia="宋体"/>
                <w:color w:val="auto"/>
                <w:sz w:val="24"/>
                <w:highlight w:val="none"/>
                <w:lang w:eastAsia="zh-CN"/>
              </w:rPr>
              <w:t>属于危险废物。</w:t>
            </w:r>
          </w:p>
          <w:p w14:paraId="76929E76">
            <w:pPr>
              <w:adjustRightInd w:val="0"/>
              <w:snapToGrid w:val="0"/>
              <w:spacing w:line="360" w:lineRule="auto"/>
              <w:ind w:firstLine="480" w:firstLineChars="200"/>
              <w:rPr>
                <w:rFonts w:hint="default" w:eastAsia="宋体"/>
                <w:color w:val="auto"/>
                <w:sz w:val="24"/>
                <w:lang w:val="en-US" w:eastAsia="zh-CN"/>
              </w:rPr>
            </w:pPr>
            <w:r>
              <w:rPr>
                <w:rFonts w:hint="eastAsia" w:eastAsia="宋体"/>
                <w:color w:val="auto"/>
                <w:sz w:val="24"/>
                <w:lang w:eastAsia="zh-CN"/>
              </w:rPr>
              <w:t>废杂质：由表</w:t>
            </w:r>
            <w:r>
              <w:rPr>
                <w:rFonts w:hint="eastAsia" w:eastAsia="宋体"/>
                <w:color w:val="auto"/>
                <w:sz w:val="24"/>
                <w:lang w:val="en-US" w:eastAsia="zh-CN"/>
              </w:rPr>
              <w:t>2.4-3分析可知，大豆膨化生产线大豆用量为7.5万t/a，其杂质产生量按大豆用量的2.4%，废杂质产生量为1800t/a。</w:t>
            </w:r>
          </w:p>
          <w:p w14:paraId="29E5C3A2">
            <w:pPr>
              <w:adjustRightInd w:val="0"/>
              <w:snapToGrid w:val="0"/>
              <w:spacing w:line="360" w:lineRule="auto"/>
              <w:ind w:firstLine="480" w:firstLineChars="200"/>
              <w:rPr>
                <w:rFonts w:hint="default" w:ascii="Times New Roman" w:hAnsi="Times New Roman" w:eastAsia="宋体" w:cs="Times New Roman"/>
                <w:color w:val="auto"/>
                <w:lang w:val="en-US" w:eastAsia="zh-CN"/>
              </w:rPr>
            </w:pPr>
            <w:r>
              <w:rPr>
                <w:rFonts w:hint="eastAsia" w:eastAsia="宋体" w:cs="Times New Roman"/>
                <w:color w:val="auto"/>
                <w:lang w:eastAsia="zh-CN"/>
              </w:rPr>
              <w:t>皂脚：由表</w:t>
            </w:r>
            <w:r>
              <w:rPr>
                <w:rFonts w:hint="eastAsia" w:eastAsia="宋体" w:cs="Times New Roman"/>
                <w:color w:val="auto"/>
                <w:lang w:val="en-US" w:eastAsia="zh-CN"/>
              </w:rPr>
              <w:t>2.3-2分析可知，精炼线增加磷脂分线后，毛油的皂脚产出率由5.0%降低为3.0%，脱胶油的皂脚产出率仍为3.0%保持不变。扩建完成后皂脚的产量由19231t/a减少为11093t/a。</w:t>
            </w:r>
          </w:p>
          <w:p w14:paraId="140474DD">
            <w:pPr>
              <w:pStyle w:val="12"/>
              <w:adjustRightInd w:val="0"/>
              <w:snapToGrid w:val="0"/>
              <w:spacing w:after="0" w:line="360" w:lineRule="auto"/>
              <w:ind w:left="0" w:leftChars="0" w:firstLine="480" w:firstLineChars="200"/>
              <w:rPr>
                <w:rFonts w:hint="default"/>
                <w:color w:val="auto"/>
                <w:sz w:val="24"/>
                <w:lang w:val="en-US" w:eastAsia="zh-CN"/>
              </w:rPr>
            </w:pPr>
            <w:r>
              <w:rPr>
                <w:rFonts w:hint="eastAsia"/>
                <w:color w:val="auto"/>
                <w:sz w:val="24"/>
                <w:lang w:val="en-US" w:eastAsia="zh-CN"/>
              </w:rPr>
              <w:t>脂肪酸：</w:t>
            </w:r>
            <w:r>
              <w:rPr>
                <w:rFonts w:hint="eastAsia" w:eastAsia="宋体" w:cs="Times New Roman"/>
                <w:color w:val="auto"/>
                <w:lang w:val="en-US" w:eastAsia="zh-CN"/>
              </w:rPr>
              <w:t>精炼线增加磷脂分线后，脂肪酸产生量保持不变，仍为655t/a。</w:t>
            </w:r>
          </w:p>
          <w:p w14:paraId="56214A30">
            <w:pPr>
              <w:pStyle w:val="12"/>
              <w:adjustRightInd w:val="0"/>
              <w:snapToGrid w:val="0"/>
              <w:spacing w:after="0" w:line="360" w:lineRule="auto"/>
              <w:ind w:left="0" w:leftChars="0" w:firstLine="480" w:firstLineChars="200"/>
              <w:rPr>
                <w:rFonts w:hint="eastAsia"/>
                <w:color w:val="auto"/>
                <w:sz w:val="24"/>
                <w:lang w:val="en-US" w:eastAsia="zh-CN"/>
              </w:rPr>
            </w:pPr>
            <w:r>
              <w:rPr>
                <w:rFonts w:hint="eastAsia"/>
                <w:color w:val="auto"/>
                <w:sz w:val="24"/>
                <w:lang w:val="en-US" w:eastAsia="zh-CN"/>
              </w:rPr>
              <w:t>废白土：</w:t>
            </w:r>
            <w:r>
              <w:rPr>
                <w:rFonts w:hint="eastAsia" w:eastAsia="宋体" w:cs="Times New Roman"/>
                <w:color w:val="auto"/>
                <w:lang w:val="en-US" w:eastAsia="zh-CN"/>
              </w:rPr>
              <w:t>精炼线增加磷脂分线后，废白土酸产生量保持不变，仍为3277t/a。</w:t>
            </w:r>
          </w:p>
          <w:p w14:paraId="6585E4AA">
            <w:pPr>
              <w:pStyle w:val="12"/>
              <w:adjustRightInd w:val="0"/>
              <w:snapToGrid w:val="0"/>
              <w:spacing w:after="0" w:line="360" w:lineRule="auto"/>
              <w:ind w:left="0" w:leftChars="0" w:firstLine="480" w:firstLineChars="200"/>
              <w:rPr>
                <w:rFonts w:hint="default"/>
                <w:color w:val="auto"/>
                <w:sz w:val="24"/>
                <w:lang w:val="en-US" w:eastAsia="zh-CN"/>
              </w:rPr>
            </w:pPr>
            <w:r>
              <w:rPr>
                <w:rFonts w:hint="eastAsia"/>
                <w:color w:val="auto"/>
                <w:sz w:val="24"/>
                <w:lang w:val="en-US" w:eastAsia="zh-CN"/>
              </w:rPr>
              <w:t>废滤袋：</w:t>
            </w:r>
            <w:r>
              <w:rPr>
                <w:rFonts w:hint="eastAsia" w:eastAsia="宋体" w:cs="Times New Roman"/>
                <w:color w:val="auto"/>
                <w:lang w:val="en-US" w:eastAsia="zh-CN"/>
              </w:rPr>
              <w:t>精炼线增加磷脂分线后，废滤袋酸产生量保持不变，仍为0.65t/a。</w:t>
            </w:r>
          </w:p>
          <w:p w14:paraId="45C0F84E">
            <w:pPr>
              <w:adjustRightInd w:val="0"/>
              <w:snapToGrid w:val="0"/>
              <w:spacing w:line="360" w:lineRule="auto"/>
              <w:ind w:firstLine="480" w:firstLineChars="200"/>
              <w:rPr>
                <w:color w:val="auto"/>
                <w:sz w:val="24"/>
              </w:rPr>
            </w:pPr>
            <w:r>
              <w:rPr>
                <w:rFonts w:hint="eastAsia"/>
                <w:color w:val="auto"/>
                <w:sz w:val="24"/>
                <w:lang w:eastAsia="zh-CN"/>
              </w:rPr>
              <w:t>除尘器收集粉尘：由表</w:t>
            </w:r>
            <w:r>
              <w:rPr>
                <w:rFonts w:hint="eastAsia"/>
                <w:color w:val="auto"/>
                <w:sz w:val="24"/>
                <w:lang w:val="en-US" w:eastAsia="zh-CN"/>
              </w:rPr>
              <w:t>4.2-3分析可知，大豆膨化线</w:t>
            </w:r>
            <w:r>
              <w:rPr>
                <w:color w:val="auto"/>
                <w:sz w:val="24"/>
                <w:highlight w:val="none"/>
              </w:rPr>
              <w:t>颗粒物产生量为</w:t>
            </w:r>
            <w:r>
              <w:rPr>
                <w:rFonts w:hint="eastAsia"/>
                <w:color w:val="auto"/>
                <w:sz w:val="24"/>
                <w:highlight w:val="none"/>
                <w:lang w:val="en-US" w:eastAsia="zh-CN"/>
              </w:rPr>
              <w:t>33.55t</w:t>
            </w:r>
            <w:r>
              <w:rPr>
                <w:color w:val="auto"/>
                <w:sz w:val="24"/>
                <w:highlight w:val="none"/>
              </w:rPr>
              <w:t>/a，排放量为</w:t>
            </w:r>
            <w:r>
              <w:rPr>
                <w:rFonts w:hint="eastAsia" w:eastAsia="宋体"/>
                <w:color w:val="auto"/>
                <w:sz w:val="24"/>
                <w:highlight w:val="none"/>
                <w:lang w:val="en-US" w:eastAsia="zh-CN"/>
              </w:rPr>
              <w:t>1.78</w:t>
            </w:r>
            <w:r>
              <w:rPr>
                <w:color w:val="auto"/>
                <w:sz w:val="24"/>
                <w:highlight w:val="none"/>
              </w:rPr>
              <w:t>t/a，则除尘器收集粉尘产生量为</w:t>
            </w:r>
            <w:r>
              <w:rPr>
                <w:rFonts w:hint="eastAsia"/>
                <w:color w:val="auto"/>
                <w:sz w:val="24"/>
                <w:highlight w:val="none"/>
                <w:lang w:val="en-US" w:eastAsia="zh-CN"/>
              </w:rPr>
              <w:t>33.77</w:t>
            </w:r>
            <w:r>
              <w:rPr>
                <w:color w:val="auto"/>
                <w:sz w:val="24"/>
              </w:rPr>
              <w:t>t/a。</w:t>
            </w:r>
          </w:p>
          <w:p w14:paraId="2B1A9961">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eastAsia" w:ascii="Times New Roman" w:cs="Times New Roman"/>
                <w:color w:val="auto"/>
                <w:highlight w:val="none"/>
                <w:lang w:val="en-US" w:eastAsia="zh-CN"/>
              </w:rPr>
            </w:pPr>
            <w:r>
              <w:rPr>
                <w:rFonts w:hint="eastAsia" w:ascii="Times New Roman" w:cs="Times New Roman"/>
                <w:color w:val="auto"/>
                <w:highlight w:val="none"/>
                <w:lang w:eastAsia="zh-CN"/>
              </w:rPr>
              <w:t>污泥：本项目扩建完成后，污水处理站污泥产生量增加约</w:t>
            </w:r>
            <w:r>
              <w:rPr>
                <w:rFonts w:hint="eastAsia" w:ascii="Times New Roman" w:cs="Times New Roman"/>
                <w:color w:val="auto"/>
                <w:highlight w:val="none"/>
                <w:lang w:val="en-US" w:eastAsia="zh-CN"/>
              </w:rPr>
              <w:t>200t/a。</w:t>
            </w:r>
          </w:p>
          <w:p w14:paraId="5C0EDE22">
            <w:pPr>
              <w:pStyle w:val="23"/>
              <w:keepNext w:val="0"/>
              <w:keepLines w:val="0"/>
              <w:pageBreakBefore w:val="0"/>
              <w:widowControl w:val="0"/>
              <w:kinsoku/>
              <w:wordWrap/>
              <w:overflowPunct/>
              <w:topLinePunct w:val="0"/>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lang w:eastAsia="zh-CN"/>
              </w:rPr>
            </w:pPr>
            <w:r>
              <w:rPr>
                <w:rFonts w:hint="eastAsia" w:ascii="Times New Roman" w:cs="Times New Roman"/>
                <w:color w:val="auto"/>
                <w:lang w:eastAsia="zh-CN"/>
              </w:rPr>
              <w:t>废润滑油</w:t>
            </w:r>
            <w:r>
              <w:rPr>
                <w:rFonts w:hint="default" w:ascii="Times New Roman" w:hAnsi="Times New Roman" w:cs="Times New Roman"/>
                <w:color w:val="auto"/>
                <w:lang w:eastAsia="zh-CN"/>
              </w:rPr>
              <w:t>：</w:t>
            </w:r>
            <w:r>
              <w:rPr>
                <w:rFonts w:hint="default" w:ascii="Times New Roman" w:hAnsi="Times New Roman" w:cs="Times New Roman"/>
                <w:color w:val="auto"/>
              </w:rPr>
              <w:t>本项目</w:t>
            </w:r>
            <w:r>
              <w:rPr>
                <w:rFonts w:hint="default" w:ascii="Times New Roman" w:hAnsi="Times New Roman" w:cs="Times New Roman"/>
                <w:color w:val="auto"/>
                <w:lang w:eastAsia="zh-CN"/>
              </w:rPr>
              <w:t>机油</w:t>
            </w:r>
            <w:r>
              <w:rPr>
                <w:rFonts w:hint="default" w:ascii="Times New Roman" w:hAnsi="Times New Roman" w:cs="Times New Roman"/>
                <w:color w:val="auto"/>
              </w:rPr>
              <w:t>使用量为</w:t>
            </w:r>
            <w:r>
              <w:rPr>
                <w:rFonts w:hint="eastAsia" w:ascii="Times New Roman" w:cs="Times New Roman"/>
                <w:color w:val="auto"/>
                <w:lang w:val="en-US" w:eastAsia="zh-CN"/>
              </w:rPr>
              <w:t>0.64</w:t>
            </w:r>
            <w:r>
              <w:rPr>
                <w:rFonts w:hint="default" w:ascii="Times New Roman" w:hAnsi="Times New Roman" w:cs="Times New Roman"/>
                <w:color w:val="auto"/>
              </w:rPr>
              <w:t>t/a，</w:t>
            </w:r>
            <w:r>
              <w:rPr>
                <w:rFonts w:hint="default" w:ascii="Times New Roman" w:hAnsi="Times New Roman" w:cs="Times New Roman"/>
                <w:color w:val="auto"/>
                <w:lang w:eastAsia="zh-CN"/>
              </w:rPr>
              <w:t>其</w:t>
            </w:r>
            <w:r>
              <w:rPr>
                <w:rFonts w:hint="eastAsia" w:ascii="Times New Roman" w:cs="Times New Roman"/>
                <w:color w:val="auto"/>
                <w:lang w:eastAsia="zh-CN"/>
              </w:rPr>
              <w:t>废润滑油</w:t>
            </w:r>
            <w:r>
              <w:rPr>
                <w:rFonts w:hint="default" w:ascii="Times New Roman" w:hAnsi="Times New Roman" w:cs="Times New Roman"/>
                <w:color w:val="auto"/>
                <w:lang w:eastAsia="zh-CN"/>
              </w:rPr>
              <w:t>产量按用量的</w:t>
            </w:r>
            <w:r>
              <w:rPr>
                <w:rFonts w:hint="default" w:ascii="Times New Roman" w:hAnsi="Times New Roman" w:cs="Times New Roman"/>
                <w:color w:val="auto"/>
                <w:lang w:val="en-US" w:eastAsia="zh-CN"/>
              </w:rPr>
              <w:t>70%计，</w:t>
            </w:r>
            <w:r>
              <w:rPr>
                <w:rFonts w:hint="default" w:ascii="Times New Roman" w:hAnsi="Times New Roman" w:cs="Times New Roman"/>
                <w:color w:val="auto"/>
              </w:rPr>
              <w:t>则</w:t>
            </w:r>
            <w:r>
              <w:rPr>
                <w:rFonts w:hint="eastAsia" w:ascii="Times New Roman" w:cs="Times New Roman"/>
                <w:color w:val="auto"/>
                <w:lang w:eastAsia="zh-CN"/>
              </w:rPr>
              <w:t>废润滑油</w:t>
            </w:r>
            <w:r>
              <w:rPr>
                <w:rFonts w:hint="default" w:ascii="Times New Roman" w:hAnsi="Times New Roman" w:cs="Times New Roman"/>
                <w:color w:val="auto"/>
              </w:rPr>
              <w:t>产生量为0.</w:t>
            </w:r>
            <w:r>
              <w:rPr>
                <w:rFonts w:hint="eastAsia" w:ascii="Times New Roman" w:cs="Times New Roman"/>
                <w:color w:val="auto"/>
                <w:lang w:val="en-US" w:eastAsia="zh-CN"/>
              </w:rPr>
              <w:t>45</w:t>
            </w:r>
            <w:r>
              <w:rPr>
                <w:rFonts w:hint="default" w:ascii="Times New Roman" w:hAnsi="Times New Roman" w:cs="Times New Roman"/>
                <w:color w:val="auto"/>
              </w:rPr>
              <w:t>t/a。</w:t>
            </w:r>
          </w:p>
          <w:p w14:paraId="6B07CE5A">
            <w:pPr>
              <w:pStyle w:val="23"/>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Times New Roman" w:hAnsi="Times New Roman" w:cs="Times New Roman"/>
                <w:color w:val="auto"/>
                <w:sz w:val="24"/>
                <w:szCs w:val="24"/>
              </w:rPr>
            </w:pPr>
            <w:r>
              <w:rPr>
                <w:rFonts w:hint="default" w:ascii="Times New Roman" w:hAnsi="Times New Roman" w:cs="Times New Roman"/>
                <w:color w:val="auto"/>
              </w:rPr>
              <w:t>废弃的含油抹布、劳保用品：本项目抹布、劳保用品使用量为0.0</w:t>
            </w:r>
            <w:r>
              <w:rPr>
                <w:rFonts w:hint="default" w:ascii="Times New Roman" w:hAnsi="Times New Roman" w:cs="Times New Roman"/>
                <w:color w:val="auto"/>
                <w:lang w:val="en-US" w:eastAsia="zh-CN"/>
              </w:rPr>
              <w:t>5</w:t>
            </w:r>
            <w:r>
              <w:rPr>
                <w:rFonts w:hint="default" w:ascii="Times New Roman" w:hAnsi="Times New Roman" w:cs="Times New Roman"/>
                <w:color w:val="auto"/>
              </w:rPr>
              <w:t>t/a</w:t>
            </w:r>
            <w:r>
              <w:rPr>
                <w:rFonts w:hint="default" w:ascii="Times New Roman" w:hAnsi="Times New Roman" w:cs="Times New Roman"/>
                <w:color w:val="auto"/>
                <w:lang w:eastAsia="zh-CN"/>
              </w:rPr>
              <w:t>，其产生量按用量的</w:t>
            </w:r>
            <w:r>
              <w:rPr>
                <w:rFonts w:hint="default" w:ascii="Times New Roman" w:hAnsi="Times New Roman" w:cs="Times New Roman"/>
                <w:color w:val="auto"/>
                <w:lang w:val="en-US" w:eastAsia="zh-CN"/>
              </w:rPr>
              <w:t>1.1倍计</w:t>
            </w:r>
            <w:r>
              <w:rPr>
                <w:rFonts w:hint="eastAsia" w:ascii="Times New Roman" w:hAnsi="Times New Roman" w:cs="Times New Roman"/>
                <w:color w:val="auto"/>
                <w:lang w:val="en-US" w:eastAsia="zh-CN"/>
              </w:rPr>
              <w:t>，</w:t>
            </w:r>
            <w:r>
              <w:rPr>
                <w:rFonts w:ascii="Times New Roman" w:hAnsi="Times New Roman" w:cs="Times New Roman"/>
                <w:color w:val="auto"/>
              </w:rPr>
              <w:t>则废含油抹布、劳保</w:t>
            </w:r>
            <w:r>
              <w:rPr>
                <w:rFonts w:ascii="Times New Roman" w:hAnsi="Times New Roman" w:cs="Times New Roman"/>
                <w:color w:val="auto"/>
                <w:sz w:val="24"/>
                <w:szCs w:val="24"/>
              </w:rPr>
              <w:t>用品产生量为0.0</w:t>
            </w:r>
            <w:r>
              <w:rPr>
                <w:rFonts w:hint="eastAsia" w:ascii="Times New Roman" w:hAnsi="Times New Roman" w:cs="Times New Roman"/>
                <w:color w:val="auto"/>
                <w:sz w:val="24"/>
                <w:szCs w:val="24"/>
                <w:lang w:val="en-US" w:eastAsia="zh-CN"/>
              </w:rPr>
              <w:t>6</w:t>
            </w:r>
            <w:r>
              <w:rPr>
                <w:rFonts w:ascii="Times New Roman" w:hAnsi="Times New Roman" w:cs="Times New Roman"/>
                <w:color w:val="auto"/>
                <w:sz w:val="24"/>
                <w:szCs w:val="24"/>
              </w:rPr>
              <w:t>t/a。</w:t>
            </w:r>
          </w:p>
          <w:p w14:paraId="3D3C0EDD">
            <w:pPr>
              <w:pStyle w:val="23"/>
              <w:spacing w:line="360" w:lineRule="auto"/>
              <w:ind w:left="0" w:leftChars="0" w:firstLine="0" w:firstLineChars="0"/>
              <w:jc w:val="center"/>
              <w:rPr>
                <w:rFonts w:ascii="Times New Roman" w:cs="Times New Roman"/>
                <w:color w:val="auto"/>
                <w:sz w:val="21"/>
                <w:szCs w:val="21"/>
              </w:rPr>
            </w:pPr>
            <w:r>
              <w:rPr>
                <w:rFonts w:ascii="Times New Roman" w:cs="Times New Roman"/>
                <w:color w:val="auto"/>
                <w:sz w:val="21"/>
                <w:szCs w:val="21"/>
              </w:rPr>
              <w:t>表</w:t>
            </w:r>
            <w:r>
              <w:rPr>
                <w:rFonts w:hint="eastAsia" w:ascii="Times New Roman" w:cs="Times New Roman"/>
                <w:color w:val="auto"/>
                <w:sz w:val="21"/>
                <w:szCs w:val="21"/>
                <w:lang w:val="en-US" w:eastAsia="zh-CN"/>
              </w:rPr>
              <w:t>4.5-1</w:t>
            </w:r>
            <w:r>
              <w:rPr>
                <w:rFonts w:ascii="Times New Roman" w:cs="Times New Roman"/>
                <w:color w:val="auto"/>
                <w:sz w:val="21"/>
                <w:szCs w:val="21"/>
              </w:rPr>
              <w:t xml:space="preserve"> 危险废物产生情况汇总表</w:t>
            </w:r>
          </w:p>
          <w:tbl>
            <w:tblPr>
              <w:tblStyle w:val="17"/>
              <w:tblW w:w="4995" w:type="pct"/>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821"/>
              <w:gridCol w:w="1405"/>
              <w:gridCol w:w="821"/>
              <w:gridCol w:w="741"/>
              <w:gridCol w:w="1002"/>
              <w:gridCol w:w="626"/>
              <w:gridCol w:w="688"/>
              <w:gridCol w:w="1094"/>
              <w:gridCol w:w="766"/>
            </w:tblGrid>
            <w:tr w14:paraId="628185C1">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73" w:type="pct"/>
                  <w:tcBorders>
                    <w:top w:val="single" w:color="auto" w:sz="6" w:space="0"/>
                    <w:left w:val="nil"/>
                    <w:bottom w:val="single" w:color="auto" w:sz="4" w:space="0"/>
                    <w:right w:val="single" w:color="auto" w:sz="4" w:space="0"/>
                  </w:tcBorders>
                  <w:vAlign w:val="center"/>
                </w:tcPr>
                <w:p w14:paraId="254A9E59">
                  <w:pPr>
                    <w:pStyle w:val="3"/>
                    <w:bidi w:val="0"/>
                    <w:rPr>
                      <w:color w:val="auto"/>
                    </w:rPr>
                  </w:pPr>
                  <w:r>
                    <w:rPr>
                      <w:color w:val="auto"/>
                    </w:rPr>
                    <w:t>序号</w:t>
                  </w:r>
                </w:p>
              </w:tc>
              <w:tc>
                <w:tcPr>
                  <w:tcW w:w="487" w:type="pct"/>
                  <w:tcBorders>
                    <w:top w:val="single" w:color="auto" w:sz="6" w:space="0"/>
                    <w:left w:val="single" w:color="auto" w:sz="4" w:space="0"/>
                    <w:bottom w:val="single" w:color="auto" w:sz="4" w:space="0"/>
                    <w:right w:val="single" w:color="auto" w:sz="4" w:space="0"/>
                  </w:tcBorders>
                  <w:vAlign w:val="center"/>
                </w:tcPr>
                <w:p w14:paraId="77DB2334">
                  <w:pPr>
                    <w:pStyle w:val="3"/>
                    <w:bidi w:val="0"/>
                    <w:rPr>
                      <w:color w:val="auto"/>
                    </w:rPr>
                  </w:pPr>
                  <w:r>
                    <w:rPr>
                      <w:color w:val="auto"/>
                    </w:rPr>
                    <w:t>危废</w:t>
                  </w:r>
                </w:p>
                <w:p w14:paraId="0B6D39F5">
                  <w:pPr>
                    <w:pStyle w:val="3"/>
                    <w:bidi w:val="0"/>
                    <w:rPr>
                      <w:color w:val="auto"/>
                    </w:rPr>
                  </w:pPr>
                  <w:r>
                    <w:rPr>
                      <w:color w:val="auto"/>
                    </w:rPr>
                    <w:t>名称</w:t>
                  </w:r>
                </w:p>
              </w:tc>
              <w:tc>
                <w:tcPr>
                  <w:tcW w:w="833" w:type="pct"/>
                  <w:tcBorders>
                    <w:top w:val="single" w:color="auto" w:sz="6" w:space="0"/>
                    <w:left w:val="single" w:color="auto" w:sz="4" w:space="0"/>
                    <w:bottom w:val="single" w:color="auto" w:sz="4" w:space="0"/>
                    <w:right w:val="single" w:color="auto" w:sz="4" w:space="0"/>
                  </w:tcBorders>
                  <w:vAlign w:val="center"/>
                </w:tcPr>
                <w:p w14:paraId="2E7FC443">
                  <w:pPr>
                    <w:pStyle w:val="3"/>
                    <w:bidi w:val="0"/>
                    <w:rPr>
                      <w:color w:val="auto"/>
                    </w:rPr>
                  </w:pPr>
                  <w:r>
                    <w:rPr>
                      <w:color w:val="auto"/>
                    </w:rPr>
                    <w:t>危废类别、代码及危险特性</w:t>
                  </w:r>
                </w:p>
              </w:tc>
              <w:tc>
                <w:tcPr>
                  <w:tcW w:w="487" w:type="pct"/>
                  <w:tcBorders>
                    <w:top w:val="single" w:color="auto" w:sz="6" w:space="0"/>
                    <w:left w:val="single" w:color="auto" w:sz="4" w:space="0"/>
                    <w:bottom w:val="single" w:color="auto" w:sz="4" w:space="0"/>
                    <w:right w:val="single" w:color="auto" w:sz="4" w:space="0"/>
                  </w:tcBorders>
                  <w:vAlign w:val="center"/>
                </w:tcPr>
                <w:p w14:paraId="27DAC9E4">
                  <w:pPr>
                    <w:pStyle w:val="3"/>
                    <w:bidi w:val="0"/>
                    <w:rPr>
                      <w:color w:val="auto"/>
                    </w:rPr>
                  </w:pPr>
                  <w:r>
                    <w:rPr>
                      <w:rFonts w:hint="eastAsia"/>
                      <w:color w:val="auto"/>
                    </w:rPr>
                    <w:t>产生</w:t>
                  </w:r>
                </w:p>
                <w:p w14:paraId="32A21A63">
                  <w:pPr>
                    <w:pStyle w:val="3"/>
                    <w:bidi w:val="0"/>
                    <w:rPr>
                      <w:color w:val="auto"/>
                    </w:rPr>
                  </w:pPr>
                  <w:r>
                    <w:rPr>
                      <w:rFonts w:hint="eastAsia"/>
                      <w:color w:val="auto"/>
                    </w:rPr>
                    <w:t>环节</w:t>
                  </w:r>
                </w:p>
              </w:tc>
              <w:tc>
                <w:tcPr>
                  <w:tcW w:w="439" w:type="pct"/>
                  <w:tcBorders>
                    <w:top w:val="single" w:color="auto" w:sz="6" w:space="0"/>
                    <w:left w:val="single" w:color="auto" w:sz="4" w:space="0"/>
                    <w:bottom w:val="single" w:color="auto" w:sz="4" w:space="0"/>
                    <w:right w:val="single" w:color="auto" w:sz="4" w:space="0"/>
                  </w:tcBorders>
                  <w:vAlign w:val="center"/>
                </w:tcPr>
                <w:p w14:paraId="218012A9">
                  <w:pPr>
                    <w:pStyle w:val="3"/>
                    <w:bidi w:val="0"/>
                    <w:rPr>
                      <w:color w:val="auto"/>
                    </w:rPr>
                  </w:pPr>
                  <w:r>
                    <w:rPr>
                      <w:color w:val="auto"/>
                    </w:rPr>
                    <w:t>产生量</w:t>
                  </w:r>
                </w:p>
                <w:p w14:paraId="603F8B51">
                  <w:pPr>
                    <w:pStyle w:val="3"/>
                    <w:bidi w:val="0"/>
                    <w:rPr>
                      <w:color w:val="auto"/>
                    </w:rPr>
                  </w:pPr>
                  <w:r>
                    <w:rPr>
                      <w:color w:val="auto"/>
                    </w:rPr>
                    <w:t>(t/a)</w:t>
                  </w:r>
                </w:p>
              </w:tc>
              <w:tc>
                <w:tcPr>
                  <w:tcW w:w="594" w:type="pct"/>
                  <w:tcBorders>
                    <w:top w:val="single" w:color="auto" w:sz="6" w:space="0"/>
                    <w:left w:val="single" w:color="auto" w:sz="4" w:space="0"/>
                    <w:bottom w:val="single" w:color="auto" w:sz="4" w:space="0"/>
                    <w:right w:val="single" w:color="auto" w:sz="4" w:space="0"/>
                  </w:tcBorders>
                  <w:vAlign w:val="center"/>
                </w:tcPr>
                <w:p w14:paraId="588EA696">
                  <w:pPr>
                    <w:pStyle w:val="3"/>
                    <w:bidi w:val="0"/>
                    <w:rPr>
                      <w:color w:val="auto"/>
                    </w:rPr>
                  </w:pPr>
                  <w:r>
                    <w:rPr>
                      <w:color w:val="auto"/>
                    </w:rPr>
                    <w:t>有害</w:t>
                  </w:r>
                </w:p>
                <w:p w14:paraId="40F2D922">
                  <w:pPr>
                    <w:pStyle w:val="3"/>
                    <w:bidi w:val="0"/>
                    <w:rPr>
                      <w:color w:val="auto"/>
                    </w:rPr>
                  </w:pPr>
                  <w:r>
                    <w:rPr>
                      <w:color w:val="auto"/>
                    </w:rPr>
                    <w:t>物质</w:t>
                  </w:r>
                </w:p>
              </w:tc>
              <w:tc>
                <w:tcPr>
                  <w:tcW w:w="371" w:type="pct"/>
                  <w:tcBorders>
                    <w:top w:val="single" w:color="auto" w:sz="6" w:space="0"/>
                    <w:left w:val="single" w:color="auto" w:sz="4" w:space="0"/>
                    <w:bottom w:val="single" w:color="auto" w:sz="4" w:space="0"/>
                    <w:right w:val="single" w:color="auto" w:sz="4" w:space="0"/>
                  </w:tcBorders>
                  <w:vAlign w:val="center"/>
                </w:tcPr>
                <w:p w14:paraId="073AA15D">
                  <w:pPr>
                    <w:pStyle w:val="3"/>
                    <w:bidi w:val="0"/>
                    <w:rPr>
                      <w:color w:val="auto"/>
                    </w:rPr>
                  </w:pPr>
                  <w:r>
                    <w:rPr>
                      <w:rFonts w:hint="eastAsia"/>
                      <w:color w:val="auto"/>
                    </w:rPr>
                    <w:t>物理形状</w:t>
                  </w:r>
                </w:p>
              </w:tc>
              <w:tc>
                <w:tcPr>
                  <w:tcW w:w="408" w:type="pct"/>
                  <w:tcBorders>
                    <w:top w:val="single" w:color="auto" w:sz="6" w:space="0"/>
                    <w:left w:val="single" w:color="auto" w:sz="4" w:space="0"/>
                    <w:bottom w:val="single" w:color="auto" w:sz="4" w:space="0"/>
                    <w:right w:val="single" w:color="auto" w:sz="4" w:space="0"/>
                  </w:tcBorders>
                  <w:vAlign w:val="center"/>
                </w:tcPr>
                <w:p w14:paraId="528D7743">
                  <w:pPr>
                    <w:pStyle w:val="3"/>
                    <w:bidi w:val="0"/>
                    <w:rPr>
                      <w:color w:val="auto"/>
                    </w:rPr>
                  </w:pPr>
                  <w:r>
                    <w:rPr>
                      <w:color w:val="auto"/>
                    </w:rPr>
                    <w:t>产生</w:t>
                  </w:r>
                </w:p>
                <w:p w14:paraId="77354663">
                  <w:pPr>
                    <w:pStyle w:val="3"/>
                    <w:bidi w:val="0"/>
                    <w:rPr>
                      <w:color w:val="auto"/>
                    </w:rPr>
                  </w:pPr>
                  <w:r>
                    <w:rPr>
                      <w:color w:val="auto"/>
                    </w:rPr>
                    <w:t>频次</w:t>
                  </w:r>
                </w:p>
              </w:tc>
              <w:tc>
                <w:tcPr>
                  <w:tcW w:w="649" w:type="pct"/>
                  <w:tcBorders>
                    <w:top w:val="single" w:color="auto" w:sz="6" w:space="0"/>
                    <w:left w:val="single" w:color="auto" w:sz="4" w:space="0"/>
                    <w:bottom w:val="single" w:color="auto" w:sz="4" w:space="0"/>
                    <w:right w:val="single" w:color="auto" w:sz="4" w:space="0"/>
                  </w:tcBorders>
                  <w:vAlign w:val="center"/>
                </w:tcPr>
                <w:p w14:paraId="296D2647">
                  <w:pPr>
                    <w:pStyle w:val="3"/>
                    <w:bidi w:val="0"/>
                    <w:rPr>
                      <w:color w:val="auto"/>
                    </w:rPr>
                  </w:pPr>
                  <w:r>
                    <w:rPr>
                      <w:rFonts w:hint="eastAsia"/>
                      <w:color w:val="auto"/>
                    </w:rPr>
                    <w:t>贮存方</w:t>
                  </w:r>
                </w:p>
                <w:p w14:paraId="7228CEEE">
                  <w:pPr>
                    <w:pStyle w:val="3"/>
                    <w:bidi w:val="0"/>
                    <w:rPr>
                      <w:color w:val="auto"/>
                    </w:rPr>
                  </w:pPr>
                  <w:r>
                    <w:rPr>
                      <w:rFonts w:hint="eastAsia"/>
                      <w:color w:val="auto"/>
                    </w:rPr>
                    <w:t>式及去向</w:t>
                  </w:r>
                </w:p>
              </w:tc>
              <w:tc>
                <w:tcPr>
                  <w:tcW w:w="454" w:type="pct"/>
                  <w:tcBorders>
                    <w:top w:val="single" w:color="auto" w:sz="6" w:space="0"/>
                    <w:left w:val="single" w:color="auto" w:sz="4" w:space="0"/>
                    <w:bottom w:val="single" w:color="auto" w:sz="4" w:space="0"/>
                    <w:right w:val="nil"/>
                  </w:tcBorders>
                  <w:vAlign w:val="center"/>
                </w:tcPr>
                <w:p w14:paraId="5033D099">
                  <w:pPr>
                    <w:pStyle w:val="3"/>
                    <w:bidi w:val="0"/>
                    <w:rPr>
                      <w:color w:val="auto"/>
                    </w:rPr>
                  </w:pPr>
                  <w:r>
                    <w:rPr>
                      <w:rFonts w:hint="eastAsia"/>
                      <w:color w:val="auto"/>
                    </w:rPr>
                    <w:t>处置量</w:t>
                  </w:r>
                  <w:r>
                    <w:rPr>
                      <w:color w:val="auto"/>
                    </w:rPr>
                    <w:t>(t/a)</w:t>
                  </w:r>
                </w:p>
              </w:tc>
            </w:tr>
            <w:tr w14:paraId="4609905B">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73" w:type="pct"/>
                  <w:tcBorders>
                    <w:top w:val="single" w:color="auto" w:sz="6" w:space="0"/>
                    <w:left w:val="nil"/>
                    <w:right w:val="single" w:color="auto" w:sz="4" w:space="0"/>
                  </w:tcBorders>
                  <w:vAlign w:val="center"/>
                </w:tcPr>
                <w:p w14:paraId="60AAC64D">
                  <w:pPr>
                    <w:pStyle w:val="3"/>
                    <w:bidi w:val="0"/>
                    <w:rPr>
                      <w:rFonts w:hint="default"/>
                      <w:color w:val="auto"/>
                      <w:lang w:val="en-US" w:eastAsia="zh-CN"/>
                    </w:rPr>
                  </w:pPr>
                  <w:r>
                    <w:rPr>
                      <w:rFonts w:hint="eastAsia"/>
                      <w:color w:val="auto"/>
                      <w:lang w:val="en-US" w:eastAsia="zh-CN"/>
                    </w:rPr>
                    <w:t>1</w:t>
                  </w:r>
                </w:p>
              </w:tc>
              <w:tc>
                <w:tcPr>
                  <w:tcW w:w="487" w:type="pct"/>
                  <w:tcBorders>
                    <w:top w:val="single" w:color="auto" w:sz="6" w:space="0"/>
                    <w:left w:val="single" w:color="auto" w:sz="4" w:space="0"/>
                    <w:right w:val="single" w:color="auto" w:sz="4" w:space="0"/>
                  </w:tcBorders>
                  <w:vAlign w:val="center"/>
                </w:tcPr>
                <w:p w14:paraId="7AC4951B">
                  <w:pPr>
                    <w:pStyle w:val="3"/>
                    <w:bidi w:val="0"/>
                    <w:rPr>
                      <w:rFonts w:hint="eastAsia"/>
                      <w:color w:val="auto"/>
                      <w:lang w:eastAsia="zh-CN"/>
                    </w:rPr>
                  </w:pPr>
                  <w:r>
                    <w:rPr>
                      <w:rFonts w:hint="eastAsia"/>
                      <w:color w:val="auto"/>
                      <w:lang w:eastAsia="zh-CN"/>
                    </w:rPr>
                    <w:t>废润滑油</w:t>
                  </w:r>
                </w:p>
              </w:tc>
              <w:tc>
                <w:tcPr>
                  <w:tcW w:w="833" w:type="pct"/>
                  <w:tcBorders>
                    <w:top w:val="single" w:color="auto" w:sz="6" w:space="0"/>
                    <w:left w:val="single" w:color="auto" w:sz="4" w:space="0"/>
                    <w:right w:val="single" w:color="auto" w:sz="4" w:space="0"/>
                  </w:tcBorders>
                  <w:vAlign w:val="center"/>
                </w:tcPr>
                <w:p w14:paraId="307A642E">
                  <w:pPr>
                    <w:pStyle w:val="3"/>
                    <w:bidi w:val="0"/>
                    <w:rPr>
                      <w:color w:val="auto"/>
                      <w:highlight w:val="none"/>
                    </w:rPr>
                  </w:pPr>
                  <w:r>
                    <w:rPr>
                      <w:color w:val="auto"/>
                      <w:highlight w:val="none"/>
                    </w:rPr>
                    <w:t>HW</w:t>
                  </w:r>
                  <w:r>
                    <w:rPr>
                      <w:rFonts w:hint="eastAsia"/>
                      <w:color w:val="auto"/>
                      <w:highlight w:val="none"/>
                    </w:rPr>
                    <w:t>08</w:t>
                  </w:r>
                </w:p>
                <w:p w14:paraId="4836801C">
                  <w:pPr>
                    <w:pStyle w:val="3"/>
                    <w:bidi w:val="0"/>
                    <w:rPr>
                      <w:color w:val="auto"/>
                      <w:highlight w:val="yellow"/>
                    </w:rPr>
                  </w:pPr>
                  <w:r>
                    <w:rPr>
                      <w:color w:val="auto"/>
                      <w:highlight w:val="none"/>
                    </w:rPr>
                    <w:t>900-</w:t>
                  </w:r>
                  <w:r>
                    <w:rPr>
                      <w:rFonts w:hint="eastAsia"/>
                      <w:color w:val="auto"/>
                      <w:highlight w:val="none"/>
                    </w:rPr>
                    <w:t>2</w:t>
                  </w:r>
                  <w:r>
                    <w:rPr>
                      <w:rFonts w:hint="eastAsia" w:eastAsia="宋体"/>
                      <w:color w:val="auto"/>
                      <w:highlight w:val="none"/>
                      <w:lang w:val="en-US" w:eastAsia="zh-CN"/>
                    </w:rPr>
                    <w:t>17</w:t>
                  </w:r>
                  <w:r>
                    <w:rPr>
                      <w:color w:val="auto"/>
                      <w:highlight w:val="none"/>
                    </w:rPr>
                    <w:t>-</w:t>
                  </w:r>
                  <w:r>
                    <w:rPr>
                      <w:rFonts w:hint="eastAsia"/>
                      <w:color w:val="auto"/>
                      <w:highlight w:val="none"/>
                    </w:rPr>
                    <w:t>08</w:t>
                  </w:r>
                </w:p>
              </w:tc>
              <w:tc>
                <w:tcPr>
                  <w:tcW w:w="487" w:type="pct"/>
                  <w:tcBorders>
                    <w:top w:val="single" w:color="auto" w:sz="6" w:space="0"/>
                    <w:left w:val="single" w:color="auto" w:sz="4" w:space="0"/>
                    <w:right w:val="single" w:color="auto" w:sz="4" w:space="0"/>
                  </w:tcBorders>
                  <w:vAlign w:val="center"/>
                </w:tcPr>
                <w:p w14:paraId="52E4621E">
                  <w:pPr>
                    <w:pStyle w:val="3"/>
                    <w:bidi w:val="0"/>
                    <w:rPr>
                      <w:color w:val="auto"/>
                    </w:rPr>
                  </w:pPr>
                  <w:r>
                    <w:rPr>
                      <w:rFonts w:hint="eastAsia"/>
                      <w:color w:val="auto"/>
                      <w:lang w:eastAsia="zh-CN"/>
                    </w:rPr>
                    <w:t>设备维护</w:t>
                  </w:r>
                </w:p>
              </w:tc>
              <w:tc>
                <w:tcPr>
                  <w:tcW w:w="439" w:type="pct"/>
                  <w:tcBorders>
                    <w:top w:val="single" w:color="auto" w:sz="6" w:space="0"/>
                    <w:left w:val="single" w:color="auto" w:sz="4" w:space="0"/>
                    <w:right w:val="single" w:color="auto" w:sz="4" w:space="0"/>
                  </w:tcBorders>
                  <w:vAlign w:val="center"/>
                </w:tcPr>
                <w:p w14:paraId="7C3337E3">
                  <w:pPr>
                    <w:pStyle w:val="3"/>
                    <w:bidi w:val="0"/>
                    <w:rPr>
                      <w:rFonts w:hint="default"/>
                      <w:color w:val="auto"/>
                      <w:lang w:val="en-US" w:eastAsia="zh-CN"/>
                    </w:rPr>
                  </w:pPr>
                  <w:r>
                    <w:rPr>
                      <w:rFonts w:hint="eastAsia"/>
                      <w:color w:val="auto"/>
                      <w:lang w:val="en-US" w:eastAsia="zh-CN"/>
                    </w:rPr>
                    <w:t>0.45</w:t>
                  </w:r>
                </w:p>
              </w:tc>
              <w:tc>
                <w:tcPr>
                  <w:tcW w:w="594" w:type="pct"/>
                  <w:tcBorders>
                    <w:top w:val="single" w:color="auto" w:sz="6" w:space="0"/>
                    <w:left w:val="single" w:color="auto" w:sz="4" w:space="0"/>
                    <w:right w:val="single" w:color="auto" w:sz="4" w:space="0"/>
                  </w:tcBorders>
                  <w:vAlign w:val="center"/>
                </w:tcPr>
                <w:p w14:paraId="533B5FA0">
                  <w:pPr>
                    <w:pStyle w:val="3"/>
                    <w:bidi w:val="0"/>
                    <w:rPr>
                      <w:rFonts w:hint="eastAsia" w:eastAsia="宋体"/>
                      <w:color w:val="auto"/>
                      <w:lang w:eastAsia="zh-CN"/>
                    </w:rPr>
                  </w:pPr>
                  <w:r>
                    <w:rPr>
                      <w:rFonts w:hint="eastAsia" w:eastAsia="宋体"/>
                      <w:color w:val="auto"/>
                      <w:lang w:eastAsia="zh-CN"/>
                    </w:rPr>
                    <w:t>机油</w:t>
                  </w:r>
                </w:p>
              </w:tc>
              <w:tc>
                <w:tcPr>
                  <w:tcW w:w="371" w:type="pct"/>
                  <w:tcBorders>
                    <w:top w:val="single" w:color="auto" w:sz="6" w:space="0"/>
                    <w:left w:val="single" w:color="auto" w:sz="4" w:space="0"/>
                    <w:right w:val="single" w:color="auto" w:sz="4" w:space="0"/>
                  </w:tcBorders>
                  <w:vAlign w:val="center"/>
                </w:tcPr>
                <w:p w14:paraId="49803267">
                  <w:pPr>
                    <w:pStyle w:val="3"/>
                    <w:bidi w:val="0"/>
                    <w:rPr>
                      <w:color w:val="auto"/>
                    </w:rPr>
                  </w:pPr>
                  <w:r>
                    <w:rPr>
                      <w:rFonts w:hint="eastAsia"/>
                      <w:color w:val="auto"/>
                    </w:rPr>
                    <w:t>液体</w:t>
                  </w:r>
                </w:p>
              </w:tc>
              <w:tc>
                <w:tcPr>
                  <w:tcW w:w="408" w:type="pct"/>
                  <w:tcBorders>
                    <w:top w:val="single" w:color="auto" w:sz="6" w:space="0"/>
                    <w:left w:val="single" w:color="auto" w:sz="4" w:space="0"/>
                    <w:right w:val="single" w:color="auto" w:sz="4" w:space="0"/>
                  </w:tcBorders>
                  <w:vAlign w:val="center"/>
                </w:tcPr>
                <w:p w14:paraId="51911EB5">
                  <w:pPr>
                    <w:pStyle w:val="3"/>
                    <w:bidi w:val="0"/>
                    <w:rPr>
                      <w:color w:val="auto"/>
                    </w:rPr>
                  </w:pPr>
                  <w:r>
                    <w:rPr>
                      <w:color w:val="auto"/>
                    </w:rPr>
                    <w:t>间歇</w:t>
                  </w:r>
                </w:p>
              </w:tc>
              <w:tc>
                <w:tcPr>
                  <w:tcW w:w="649" w:type="pct"/>
                  <w:vMerge w:val="restart"/>
                  <w:tcBorders>
                    <w:top w:val="single" w:color="auto" w:sz="6" w:space="0"/>
                    <w:left w:val="single" w:color="auto" w:sz="4" w:space="0"/>
                    <w:right w:val="single" w:color="auto" w:sz="4" w:space="0"/>
                  </w:tcBorders>
                  <w:vAlign w:val="center"/>
                </w:tcPr>
                <w:p w14:paraId="32F0FBD6">
                  <w:pPr>
                    <w:pStyle w:val="3"/>
                    <w:bidi w:val="0"/>
                    <w:rPr>
                      <w:color w:val="auto"/>
                    </w:rPr>
                  </w:pPr>
                  <w:r>
                    <w:rPr>
                      <w:color w:val="auto"/>
                    </w:rPr>
                    <w:t>经危险废物</w:t>
                  </w:r>
                  <w:r>
                    <w:rPr>
                      <w:rFonts w:hint="eastAsia" w:eastAsia="宋体" w:cs="Times New Roman"/>
                      <w:color w:val="auto"/>
                      <w:szCs w:val="24"/>
                      <w:lang w:eastAsia="zh-CN"/>
                    </w:rPr>
                    <w:t>贮存库</w:t>
                  </w:r>
                  <w:r>
                    <w:rPr>
                      <w:color w:val="auto"/>
                    </w:rPr>
                    <w:t>暂存后</w:t>
                  </w:r>
                  <w:r>
                    <w:rPr>
                      <w:rFonts w:hint="eastAsia"/>
                      <w:color w:val="auto"/>
                      <w:lang w:eastAsia="zh-CN"/>
                    </w:rPr>
                    <w:t>交由</w:t>
                  </w:r>
                  <w:r>
                    <w:rPr>
                      <w:color w:val="auto"/>
                    </w:rPr>
                    <w:t>危废资质单位处置</w:t>
                  </w:r>
                </w:p>
              </w:tc>
              <w:tc>
                <w:tcPr>
                  <w:tcW w:w="454" w:type="pct"/>
                  <w:tcBorders>
                    <w:top w:val="single" w:color="auto" w:sz="6" w:space="0"/>
                    <w:left w:val="single" w:color="auto" w:sz="4" w:space="0"/>
                    <w:bottom w:val="single" w:color="auto" w:sz="4" w:space="0"/>
                    <w:right w:val="nil"/>
                  </w:tcBorders>
                  <w:vAlign w:val="center"/>
                </w:tcPr>
                <w:p w14:paraId="4EB821BB">
                  <w:pPr>
                    <w:pStyle w:val="3"/>
                    <w:bidi w:val="0"/>
                    <w:rPr>
                      <w:rFonts w:hint="default"/>
                      <w:color w:val="auto"/>
                      <w:lang w:val="en-US" w:eastAsia="zh-CN"/>
                    </w:rPr>
                  </w:pPr>
                  <w:r>
                    <w:rPr>
                      <w:rFonts w:hint="eastAsia"/>
                      <w:color w:val="auto"/>
                      <w:lang w:val="en-US" w:eastAsia="zh-CN"/>
                    </w:rPr>
                    <w:t>0.45</w:t>
                  </w:r>
                </w:p>
              </w:tc>
            </w:tr>
            <w:tr w14:paraId="09B7807E">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273" w:type="pct"/>
                  <w:tcBorders>
                    <w:top w:val="single" w:color="auto" w:sz="4" w:space="0"/>
                    <w:left w:val="nil"/>
                    <w:bottom w:val="single" w:color="auto" w:sz="4" w:space="0"/>
                    <w:right w:val="single" w:color="auto" w:sz="4" w:space="0"/>
                  </w:tcBorders>
                  <w:vAlign w:val="center"/>
                </w:tcPr>
                <w:p w14:paraId="412D5DC4">
                  <w:pPr>
                    <w:pStyle w:val="3"/>
                    <w:bidi w:val="0"/>
                    <w:rPr>
                      <w:rFonts w:hint="default"/>
                      <w:color w:val="auto"/>
                      <w:lang w:val="en-US" w:eastAsia="zh-CN"/>
                    </w:rPr>
                  </w:pPr>
                  <w:r>
                    <w:rPr>
                      <w:rFonts w:hint="eastAsia"/>
                      <w:color w:val="auto"/>
                      <w:lang w:val="en-US" w:eastAsia="zh-CN"/>
                    </w:rPr>
                    <w:t>2</w:t>
                  </w:r>
                </w:p>
              </w:tc>
              <w:tc>
                <w:tcPr>
                  <w:tcW w:w="487" w:type="pct"/>
                  <w:tcBorders>
                    <w:top w:val="single" w:color="auto" w:sz="4" w:space="0"/>
                    <w:left w:val="single" w:color="auto" w:sz="4" w:space="0"/>
                    <w:bottom w:val="single" w:color="auto" w:sz="4" w:space="0"/>
                    <w:right w:val="single" w:color="auto" w:sz="4" w:space="0"/>
                  </w:tcBorders>
                  <w:vAlign w:val="center"/>
                </w:tcPr>
                <w:p w14:paraId="47385A80">
                  <w:pPr>
                    <w:pStyle w:val="3"/>
                    <w:bidi w:val="0"/>
                    <w:rPr>
                      <w:color w:val="auto"/>
                    </w:rPr>
                  </w:pPr>
                  <w:r>
                    <w:rPr>
                      <w:rFonts w:hint="eastAsia"/>
                      <w:color w:val="auto"/>
                    </w:rPr>
                    <w:t>含油抹布、劳保用品</w:t>
                  </w:r>
                </w:p>
              </w:tc>
              <w:tc>
                <w:tcPr>
                  <w:tcW w:w="833" w:type="pct"/>
                  <w:tcBorders>
                    <w:top w:val="single" w:color="auto" w:sz="4" w:space="0"/>
                    <w:left w:val="single" w:color="auto" w:sz="4" w:space="0"/>
                    <w:bottom w:val="single" w:color="auto" w:sz="4" w:space="0"/>
                    <w:right w:val="single" w:color="auto" w:sz="4" w:space="0"/>
                  </w:tcBorders>
                  <w:vAlign w:val="center"/>
                </w:tcPr>
                <w:p w14:paraId="234C2B9C">
                  <w:pPr>
                    <w:pStyle w:val="3"/>
                    <w:bidi w:val="0"/>
                    <w:rPr>
                      <w:color w:val="auto"/>
                    </w:rPr>
                  </w:pPr>
                  <w:r>
                    <w:rPr>
                      <w:color w:val="auto"/>
                    </w:rPr>
                    <w:t>HW</w:t>
                  </w:r>
                  <w:r>
                    <w:rPr>
                      <w:rFonts w:hint="eastAsia"/>
                      <w:color w:val="auto"/>
                    </w:rPr>
                    <w:t>49</w:t>
                  </w:r>
                </w:p>
                <w:p w14:paraId="4F53F19D">
                  <w:pPr>
                    <w:pStyle w:val="3"/>
                    <w:bidi w:val="0"/>
                    <w:rPr>
                      <w:color w:val="auto"/>
                      <w:highlight w:val="yellow"/>
                    </w:rPr>
                  </w:pPr>
                  <w:r>
                    <w:rPr>
                      <w:color w:val="auto"/>
                    </w:rPr>
                    <w:t>900-</w:t>
                  </w:r>
                  <w:r>
                    <w:rPr>
                      <w:rFonts w:hint="eastAsia"/>
                      <w:color w:val="auto"/>
                    </w:rPr>
                    <w:t>041</w:t>
                  </w:r>
                  <w:r>
                    <w:rPr>
                      <w:color w:val="auto"/>
                    </w:rPr>
                    <w:t>-</w:t>
                  </w:r>
                  <w:r>
                    <w:rPr>
                      <w:rFonts w:hint="eastAsia"/>
                      <w:color w:val="auto"/>
                    </w:rPr>
                    <w:t>49</w:t>
                  </w:r>
                </w:p>
              </w:tc>
              <w:tc>
                <w:tcPr>
                  <w:tcW w:w="487" w:type="pct"/>
                  <w:tcBorders>
                    <w:top w:val="single" w:color="auto" w:sz="4" w:space="0"/>
                    <w:left w:val="single" w:color="auto" w:sz="4" w:space="0"/>
                    <w:bottom w:val="single" w:color="auto" w:sz="4" w:space="0"/>
                    <w:right w:val="single" w:color="auto" w:sz="4" w:space="0"/>
                  </w:tcBorders>
                  <w:vAlign w:val="center"/>
                </w:tcPr>
                <w:p w14:paraId="1F14BA76">
                  <w:pPr>
                    <w:pStyle w:val="3"/>
                    <w:bidi w:val="0"/>
                    <w:rPr>
                      <w:color w:val="auto"/>
                    </w:rPr>
                  </w:pPr>
                  <w:r>
                    <w:rPr>
                      <w:color w:val="auto"/>
                    </w:rPr>
                    <w:t>零部件、设备擦拭等</w:t>
                  </w:r>
                </w:p>
              </w:tc>
              <w:tc>
                <w:tcPr>
                  <w:tcW w:w="439" w:type="pct"/>
                  <w:tcBorders>
                    <w:top w:val="single" w:color="auto" w:sz="4" w:space="0"/>
                    <w:left w:val="single" w:color="auto" w:sz="4" w:space="0"/>
                    <w:bottom w:val="single" w:color="auto" w:sz="4" w:space="0"/>
                    <w:right w:val="single" w:color="auto" w:sz="4" w:space="0"/>
                  </w:tcBorders>
                  <w:vAlign w:val="center"/>
                </w:tcPr>
                <w:p w14:paraId="54C0025A">
                  <w:pPr>
                    <w:pStyle w:val="3"/>
                    <w:bidi w:val="0"/>
                    <w:rPr>
                      <w:rFonts w:hint="default"/>
                      <w:color w:val="auto"/>
                      <w:lang w:val="en-US" w:eastAsia="zh-CN"/>
                    </w:rPr>
                  </w:pPr>
                  <w:r>
                    <w:rPr>
                      <w:rFonts w:hint="eastAsia"/>
                      <w:color w:val="auto"/>
                      <w:lang w:val="en-US" w:eastAsia="zh-CN"/>
                    </w:rPr>
                    <w:t>0.06</w:t>
                  </w:r>
                </w:p>
              </w:tc>
              <w:tc>
                <w:tcPr>
                  <w:tcW w:w="594" w:type="pct"/>
                  <w:tcBorders>
                    <w:top w:val="single" w:color="auto" w:sz="4" w:space="0"/>
                    <w:left w:val="single" w:color="auto" w:sz="4" w:space="0"/>
                    <w:bottom w:val="single" w:color="auto" w:sz="4" w:space="0"/>
                    <w:right w:val="single" w:color="auto" w:sz="4" w:space="0"/>
                  </w:tcBorders>
                  <w:vAlign w:val="center"/>
                </w:tcPr>
                <w:p w14:paraId="1D69B0E5">
                  <w:pPr>
                    <w:pStyle w:val="3"/>
                    <w:bidi w:val="0"/>
                    <w:rPr>
                      <w:rFonts w:hint="eastAsia" w:eastAsia="宋体"/>
                      <w:color w:val="auto"/>
                      <w:lang w:eastAsia="zh-CN"/>
                    </w:rPr>
                  </w:pPr>
                  <w:r>
                    <w:rPr>
                      <w:rFonts w:hint="eastAsia" w:eastAsia="宋体"/>
                      <w:color w:val="auto"/>
                      <w:lang w:eastAsia="zh-CN"/>
                    </w:rPr>
                    <w:t>机油</w:t>
                  </w:r>
                </w:p>
              </w:tc>
              <w:tc>
                <w:tcPr>
                  <w:tcW w:w="371" w:type="pct"/>
                  <w:tcBorders>
                    <w:top w:val="single" w:color="auto" w:sz="4" w:space="0"/>
                    <w:left w:val="single" w:color="auto" w:sz="4" w:space="0"/>
                    <w:bottom w:val="single" w:color="auto" w:sz="4" w:space="0"/>
                    <w:right w:val="single" w:color="auto" w:sz="4" w:space="0"/>
                  </w:tcBorders>
                  <w:vAlign w:val="center"/>
                </w:tcPr>
                <w:p w14:paraId="289F6158">
                  <w:pPr>
                    <w:pStyle w:val="3"/>
                    <w:bidi w:val="0"/>
                    <w:rPr>
                      <w:color w:val="auto"/>
                    </w:rPr>
                  </w:pPr>
                  <w:r>
                    <w:rPr>
                      <w:color w:val="auto"/>
                    </w:rPr>
                    <w:t>固体</w:t>
                  </w:r>
                </w:p>
              </w:tc>
              <w:tc>
                <w:tcPr>
                  <w:tcW w:w="408" w:type="pct"/>
                  <w:tcBorders>
                    <w:top w:val="single" w:color="auto" w:sz="4" w:space="0"/>
                    <w:left w:val="single" w:color="auto" w:sz="4" w:space="0"/>
                    <w:bottom w:val="single" w:color="auto" w:sz="4" w:space="0"/>
                    <w:right w:val="single" w:color="auto" w:sz="4" w:space="0"/>
                  </w:tcBorders>
                  <w:vAlign w:val="center"/>
                </w:tcPr>
                <w:p w14:paraId="684504CE">
                  <w:pPr>
                    <w:pStyle w:val="3"/>
                    <w:bidi w:val="0"/>
                    <w:rPr>
                      <w:color w:val="auto"/>
                    </w:rPr>
                  </w:pPr>
                  <w:r>
                    <w:rPr>
                      <w:color w:val="auto"/>
                    </w:rPr>
                    <w:t>间歇</w:t>
                  </w:r>
                </w:p>
              </w:tc>
              <w:tc>
                <w:tcPr>
                  <w:tcW w:w="649" w:type="pct"/>
                  <w:vMerge w:val="continue"/>
                  <w:tcBorders>
                    <w:left w:val="single" w:color="auto" w:sz="4" w:space="0"/>
                    <w:right w:val="single" w:color="auto" w:sz="4" w:space="0"/>
                  </w:tcBorders>
                  <w:vAlign w:val="center"/>
                </w:tcPr>
                <w:p w14:paraId="6A5D166A">
                  <w:pPr>
                    <w:pStyle w:val="3"/>
                    <w:bidi w:val="0"/>
                    <w:rPr>
                      <w:color w:val="auto"/>
                    </w:rPr>
                  </w:pPr>
                </w:p>
              </w:tc>
              <w:tc>
                <w:tcPr>
                  <w:tcW w:w="454" w:type="pct"/>
                  <w:tcBorders>
                    <w:top w:val="single" w:color="auto" w:sz="4" w:space="0"/>
                    <w:left w:val="single" w:color="auto" w:sz="4" w:space="0"/>
                    <w:bottom w:val="single" w:color="auto" w:sz="4" w:space="0"/>
                    <w:right w:val="nil"/>
                  </w:tcBorders>
                  <w:vAlign w:val="center"/>
                </w:tcPr>
                <w:p w14:paraId="2B14AA12">
                  <w:pPr>
                    <w:pStyle w:val="3"/>
                    <w:bidi w:val="0"/>
                    <w:rPr>
                      <w:rFonts w:hint="default"/>
                      <w:color w:val="auto"/>
                      <w:lang w:val="en-US" w:eastAsia="zh-CN"/>
                    </w:rPr>
                  </w:pPr>
                  <w:r>
                    <w:rPr>
                      <w:rFonts w:hint="eastAsia"/>
                      <w:color w:val="auto"/>
                      <w:lang w:val="en-US" w:eastAsia="zh-CN"/>
                    </w:rPr>
                    <w:t>0.06</w:t>
                  </w:r>
                </w:p>
              </w:tc>
            </w:tr>
          </w:tbl>
          <w:p w14:paraId="28A153CF">
            <w:pPr>
              <w:pStyle w:val="23"/>
              <w:jc w:val="center"/>
              <w:rPr>
                <w:rFonts w:ascii="Times New Roman" w:cs="Times New Roman"/>
                <w:color w:val="auto"/>
                <w:sz w:val="21"/>
                <w:szCs w:val="21"/>
              </w:rPr>
            </w:pPr>
            <w:r>
              <w:rPr>
                <w:rFonts w:ascii="Times New Roman" w:cs="Times New Roman"/>
                <w:color w:val="auto"/>
                <w:sz w:val="21"/>
                <w:szCs w:val="21"/>
              </w:rPr>
              <w:t>表4.</w:t>
            </w:r>
            <w:r>
              <w:rPr>
                <w:rFonts w:hint="eastAsia" w:ascii="Times New Roman" w:cs="Times New Roman"/>
                <w:color w:val="auto"/>
                <w:sz w:val="21"/>
                <w:szCs w:val="21"/>
                <w:lang w:val="en-US" w:eastAsia="zh-CN"/>
              </w:rPr>
              <w:t>5-2</w:t>
            </w:r>
            <w:r>
              <w:rPr>
                <w:rFonts w:ascii="Times New Roman" w:cs="Times New Roman"/>
                <w:color w:val="auto"/>
                <w:sz w:val="21"/>
                <w:szCs w:val="21"/>
              </w:rPr>
              <w:t xml:space="preserve"> </w:t>
            </w:r>
            <w:r>
              <w:rPr>
                <w:rFonts w:hint="eastAsia" w:ascii="Times New Roman" w:cs="Times New Roman"/>
                <w:color w:val="auto"/>
                <w:sz w:val="21"/>
                <w:szCs w:val="21"/>
              </w:rPr>
              <w:t>一般</w:t>
            </w:r>
            <w:r>
              <w:rPr>
                <w:rFonts w:ascii="Times New Roman" w:cs="Times New Roman"/>
                <w:color w:val="auto"/>
                <w:sz w:val="21"/>
                <w:szCs w:val="21"/>
              </w:rPr>
              <w:t>固体废物产生处置情况汇总表</w:t>
            </w:r>
          </w:p>
          <w:tbl>
            <w:tblPr>
              <w:tblStyle w:val="17"/>
              <w:tblW w:w="5000" w:type="pct"/>
              <w:tblInd w:w="0" w:type="dxa"/>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30"/>
              <w:gridCol w:w="1794"/>
              <w:gridCol w:w="996"/>
              <w:gridCol w:w="842"/>
              <w:gridCol w:w="694"/>
              <w:gridCol w:w="846"/>
              <w:gridCol w:w="1155"/>
              <w:gridCol w:w="849"/>
            </w:tblGrid>
            <w:tr w14:paraId="6AFEA8AF">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tcBorders>
                    <w:top w:val="single" w:color="auto" w:sz="6" w:space="0"/>
                    <w:left w:val="nil"/>
                    <w:bottom w:val="single" w:color="auto" w:sz="4" w:space="0"/>
                    <w:right w:val="single" w:color="auto" w:sz="4" w:space="0"/>
                  </w:tcBorders>
                  <w:vAlign w:val="center"/>
                </w:tcPr>
                <w:p w14:paraId="5D8F740D">
                  <w:pPr>
                    <w:pStyle w:val="3"/>
                    <w:bidi w:val="0"/>
                    <w:rPr>
                      <w:color w:val="auto"/>
                    </w:rPr>
                  </w:pPr>
                  <w:r>
                    <w:rPr>
                      <w:color w:val="auto"/>
                    </w:rPr>
                    <w:t>序号</w:t>
                  </w:r>
                </w:p>
              </w:tc>
              <w:tc>
                <w:tcPr>
                  <w:tcW w:w="492" w:type="pct"/>
                  <w:tcBorders>
                    <w:top w:val="single" w:color="auto" w:sz="6" w:space="0"/>
                    <w:left w:val="single" w:color="auto" w:sz="4" w:space="0"/>
                    <w:bottom w:val="single" w:color="auto" w:sz="4" w:space="0"/>
                    <w:right w:val="single" w:color="auto" w:sz="4" w:space="0"/>
                  </w:tcBorders>
                  <w:vAlign w:val="center"/>
                </w:tcPr>
                <w:p w14:paraId="19AC7175">
                  <w:pPr>
                    <w:pStyle w:val="3"/>
                    <w:bidi w:val="0"/>
                    <w:rPr>
                      <w:color w:val="auto"/>
                    </w:rPr>
                  </w:pPr>
                  <w:r>
                    <w:rPr>
                      <w:color w:val="auto"/>
                    </w:rPr>
                    <w:t>固废</w:t>
                  </w:r>
                </w:p>
                <w:p w14:paraId="17BC1489">
                  <w:pPr>
                    <w:pStyle w:val="3"/>
                    <w:bidi w:val="0"/>
                    <w:rPr>
                      <w:color w:val="auto"/>
                    </w:rPr>
                  </w:pPr>
                  <w:r>
                    <w:rPr>
                      <w:color w:val="auto"/>
                    </w:rPr>
                    <w:t>名称</w:t>
                  </w:r>
                </w:p>
              </w:tc>
              <w:tc>
                <w:tcPr>
                  <w:tcW w:w="1063" w:type="pct"/>
                  <w:tcBorders>
                    <w:top w:val="single" w:color="auto" w:sz="6" w:space="0"/>
                    <w:left w:val="single" w:color="auto" w:sz="4" w:space="0"/>
                    <w:bottom w:val="single" w:color="auto" w:sz="4" w:space="0"/>
                    <w:right w:val="single" w:color="auto" w:sz="4" w:space="0"/>
                  </w:tcBorders>
                  <w:vAlign w:val="center"/>
                </w:tcPr>
                <w:p w14:paraId="011CF7FE">
                  <w:pPr>
                    <w:pStyle w:val="3"/>
                    <w:bidi w:val="0"/>
                    <w:rPr>
                      <w:color w:val="auto"/>
                    </w:rPr>
                  </w:pPr>
                  <w:r>
                    <w:rPr>
                      <w:rFonts w:hint="eastAsia"/>
                      <w:color w:val="auto"/>
                    </w:rPr>
                    <w:t>一般固体废物代码</w:t>
                  </w:r>
                </w:p>
              </w:tc>
              <w:tc>
                <w:tcPr>
                  <w:tcW w:w="590" w:type="pct"/>
                  <w:tcBorders>
                    <w:top w:val="single" w:color="auto" w:sz="6" w:space="0"/>
                    <w:left w:val="single" w:color="auto" w:sz="4" w:space="0"/>
                    <w:bottom w:val="single" w:color="auto" w:sz="4" w:space="0"/>
                    <w:right w:val="single" w:color="auto" w:sz="4" w:space="0"/>
                  </w:tcBorders>
                  <w:vAlign w:val="center"/>
                </w:tcPr>
                <w:p w14:paraId="4527193F">
                  <w:pPr>
                    <w:pStyle w:val="3"/>
                    <w:bidi w:val="0"/>
                    <w:rPr>
                      <w:color w:val="auto"/>
                    </w:rPr>
                  </w:pPr>
                  <w:r>
                    <w:rPr>
                      <w:color w:val="auto"/>
                    </w:rPr>
                    <w:t>产生</w:t>
                  </w:r>
                </w:p>
                <w:p w14:paraId="6B6C10CF">
                  <w:pPr>
                    <w:pStyle w:val="3"/>
                    <w:bidi w:val="0"/>
                    <w:rPr>
                      <w:color w:val="auto"/>
                    </w:rPr>
                  </w:pPr>
                  <w:r>
                    <w:rPr>
                      <w:color w:val="auto"/>
                    </w:rPr>
                    <w:t>环节</w:t>
                  </w:r>
                </w:p>
              </w:tc>
              <w:tc>
                <w:tcPr>
                  <w:tcW w:w="499" w:type="pct"/>
                  <w:tcBorders>
                    <w:top w:val="single" w:color="auto" w:sz="6" w:space="0"/>
                    <w:left w:val="single" w:color="auto" w:sz="4" w:space="0"/>
                    <w:bottom w:val="single" w:color="auto" w:sz="4" w:space="0"/>
                    <w:right w:val="single" w:color="auto" w:sz="4" w:space="0"/>
                  </w:tcBorders>
                  <w:vAlign w:val="center"/>
                </w:tcPr>
                <w:p w14:paraId="7A7B3188">
                  <w:pPr>
                    <w:pStyle w:val="3"/>
                    <w:bidi w:val="0"/>
                    <w:rPr>
                      <w:color w:val="auto"/>
                    </w:rPr>
                  </w:pPr>
                  <w:r>
                    <w:rPr>
                      <w:color w:val="auto"/>
                    </w:rPr>
                    <w:t>产生量</w:t>
                  </w:r>
                </w:p>
                <w:p w14:paraId="1B926164">
                  <w:pPr>
                    <w:pStyle w:val="3"/>
                    <w:bidi w:val="0"/>
                    <w:rPr>
                      <w:color w:val="auto"/>
                    </w:rPr>
                  </w:pPr>
                  <w:r>
                    <w:rPr>
                      <w:color w:val="auto"/>
                    </w:rPr>
                    <w:t>(t/a)</w:t>
                  </w:r>
                </w:p>
              </w:tc>
              <w:tc>
                <w:tcPr>
                  <w:tcW w:w="411" w:type="pct"/>
                  <w:tcBorders>
                    <w:top w:val="single" w:color="auto" w:sz="6" w:space="0"/>
                    <w:left w:val="single" w:color="auto" w:sz="4" w:space="0"/>
                    <w:bottom w:val="single" w:color="auto" w:sz="4" w:space="0"/>
                    <w:right w:val="single" w:color="auto" w:sz="4" w:space="0"/>
                  </w:tcBorders>
                  <w:vAlign w:val="center"/>
                </w:tcPr>
                <w:p w14:paraId="48669BBC">
                  <w:pPr>
                    <w:pStyle w:val="3"/>
                    <w:bidi w:val="0"/>
                    <w:rPr>
                      <w:color w:val="auto"/>
                    </w:rPr>
                  </w:pPr>
                  <w:r>
                    <w:rPr>
                      <w:color w:val="auto"/>
                    </w:rPr>
                    <w:t>有害</w:t>
                  </w:r>
                </w:p>
                <w:p w14:paraId="3BE4385B">
                  <w:pPr>
                    <w:pStyle w:val="3"/>
                    <w:bidi w:val="0"/>
                    <w:rPr>
                      <w:color w:val="auto"/>
                    </w:rPr>
                  </w:pPr>
                  <w:r>
                    <w:rPr>
                      <w:color w:val="auto"/>
                    </w:rPr>
                    <w:t>物质</w:t>
                  </w:r>
                </w:p>
              </w:tc>
              <w:tc>
                <w:tcPr>
                  <w:tcW w:w="501" w:type="pct"/>
                  <w:tcBorders>
                    <w:top w:val="single" w:color="auto" w:sz="6" w:space="0"/>
                    <w:left w:val="single" w:color="auto" w:sz="4" w:space="0"/>
                    <w:bottom w:val="single" w:color="auto" w:sz="4" w:space="0"/>
                    <w:right w:val="single" w:color="auto" w:sz="4" w:space="0"/>
                  </w:tcBorders>
                  <w:vAlign w:val="center"/>
                </w:tcPr>
                <w:p w14:paraId="72AE41CE">
                  <w:pPr>
                    <w:pStyle w:val="3"/>
                    <w:bidi w:val="0"/>
                    <w:rPr>
                      <w:color w:val="auto"/>
                    </w:rPr>
                  </w:pPr>
                  <w:r>
                    <w:rPr>
                      <w:color w:val="auto"/>
                    </w:rPr>
                    <w:t>物理</w:t>
                  </w:r>
                </w:p>
                <w:p w14:paraId="4E20047D">
                  <w:pPr>
                    <w:pStyle w:val="3"/>
                    <w:bidi w:val="0"/>
                    <w:rPr>
                      <w:color w:val="auto"/>
                    </w:rPr>
                  </w:pPr>
                  <w:r>
                    <w:rPr>
                      <w:color w:val="auto"/>
                    </w:rPr>
                    <w:t>性状</w:t>
                  </w:r>
                </w:p>
              </w:tc>
              <w:tc>
                <w:tcPr>
                  <w:tcW w:w="684" w:type="pct"/>
                  <w:tcBorders>
                    <w:top w:val="single" w:color="auto" w:sz="6" w:space="0"/>
                    <w:left w:val="single" w:color="auto" w:sz="4" w:space="0"/>
                    <w:bottom w:val="single" w:color="auto" w:sz="4" w:space="0"/>
                    <w:right w:val="single" w:color="auto" w:sz="4" w:space="0"/>
                  </w:tcBorders>
                  <w:vAlign w:val="center"/>
                </w:tcPr>
                <w:p w14:paraId="19EC66EC">
                  <w:pPr>
                    <w:pStyle w:val="3"/>
                    <w:bidi w:val="0"/>
                    <w:rPr>
                      <w:color w:val="auto"/>
                    </w:rPr>
                  </w:pPr>
                  <w:r>
                    <w:rPr>
                      <w:color w:val="auto"/>
                    </w:rPr>
                    <w:t>贮存场所及去向</w:t>
                  </w:r>
                </w:p>
              </w:tc>
              <w:tc>
                <w:tcPr>
                  <w:tcW w:w="503" w:type="pct"/>
                  <w:tcBorders>
                    <w:top w:val="single" w:color="auto" w:sz="6" w:space="0"/>
                    <w:left w:val="single" w:color="auto" w:sz="4" w:space="0"/>
                    <w:bottom w:val="single" w:color="auto" w:sz="4" w:space="0"/>
                    <w:right w:val="nil"/>
                  </w:tcBorders>
                  <w:vAlign w:val="center"/>
                </w:tcPr>
                <w:p w14:paraId="6A2A6008">
                  <w:pPr>
                    <w:pStyle w:val="3"/>
                    <w:bidi w:val="0"/>
                    <w:rPr>
                      <w:color w:val="auto"/>
                    </w:rPr>
                  </w:pPr>
                  <w:r>
                    <w:rPr>
                      <w:color w:val="auto"/>
                    </w:rPr>
                    <w:t>处置量(t/a)</w:t>
                  </w:r>
                </w:p>
              </w:tc>
            </w:tr>
            <w:tr w14:paraId="5101A22F">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tcBorders>
                    <w:top w:val="single" w:color="auto" w:sz="6" w:space="0"/>
                    <w:left w:val="nil"/>
                    <w:bottom w:val="single" w:color="auto" w:sz="4" w:space="0"/>
                    <w:right w:val="single" w:color="auto" w:sz="4" w:space="0"/>
                  </w:tcBorders>
                  <w:vAlign w:val="center"/>
                </w:tcPr>
                <w:p w14:paraId="56ADD8B0">
                  <w:pPr>
                    <w:pStyle w:val="3"/>
                    <w:bidi w:val="0"/>
                    <w:rPr>
                      <w:color w:val="auto"/>
                    </w:rPr>
                  </w:pPr>
                  <w:r>
                    <w:rPr>
                      <w:rFonts w:hint="eastAsia"/>
                      <w:color w:val="auto"/>
                    </w:rPr>
                    <w:t>1</w:t>
                  </w:r>
                </w:p>
              </w:tc>
              <w:tc>
                <w:tcPr>
                  <w:tcW w:w="492" w:type="pct"/>
                  <w:tcBorders>
                    <w:top w:val="single" w:color="auto" w:sz="6" w:space="0"/>
                    <w:left w:val="single" w:color="auto" w:sz="4" w:space="0"/>
                    <w:bottom w:val="single" w:color="auto" w:sz="4" w:space="0"/>
                    <w:right w:val="single" w:color="auto" w:sz="4" w:space="0"/>
                  </w:tcBorders>
                  <w:vAlign w:val="center"/>
                </w:tcPr>
                <w:p w14:paraId="2EF6DE34">
                  <w:pPr>
                    <w:pStyle w:val="3"/>
                    <w:bidi w:val="0"/>
                    <w:ind w:firstLine="0" w:firstLineChars="0"/>
                    <w:rPr>
                      <w:rFonts w:hint="eastAsia" w:eastAsia="宋体"/>
                      <w:color w:val="auto"/>
                      <w:lang w:eastAsia="zh-CN"/>
                    </w:rPr>
                  </w:pPr>
                  <w:r>
                    <w:rPr>
                      <w:rFonts w:hint="eastAsia"/>
                      <w:color w:val="auto"/>
                    </w:rPr>
                    <w:t>废</w:t>
                  </w:r>
                  <w:r>
                    <w:rPr>
                      <w:rFonts w:hint="eastAsia" w:eastAsia="宋体"/>
                      <w:color w:val="auto"/>
                      <w:lang w:eastAsia="zh-CN"/>
                    </w:rPr>
                    <w:t>杂质</w:t>
                  </w:r>
                </w:p>
              </w:tc>
              <w:tc>
                <w:tcPr>
                  <w:tcW w:w="1063" w:type="pct"/>
                  <w:tcBorders>
                    <w:top w:val="single" w:color="auto" w:sz="6" w:space="0"/>
                    <w:left w:val="single" w:color="auto" w:sz="4" w:space="0"/>
                    <w:bottom w:val="single" w:color="auto" w:sz="4" w:space="0"/>
                    <w:right w:val="single" w:color="auto" w:sz="4" w:space="0"/>
                  </w:tcBorders>
                  <w:vAlign w:val="center"/>
                </w:tcPr>
                <w:p w14:paraId="685B1098">
                  <w:pPr>
                    <w:pStyle w:val="3"/>
                    <w:bidi w:val="0"/>
                    <w:rPr>
                      <w:rFonts w:hint="default"/>
                      <w:color w:val="auto"/>
                      <w:lang w:val="en-US" w:eastAsia="zh-CN"/>
                    </w:rPr>
                  </w:pPr>
                  <w:r>
                    <w:rPr>
                      <w:rFonts w:hint="eastAsia"/>
                      <w:color w:val="auto"/>
                      <w:lang w:val="en-US" w:eastAsia="zh-CN"/>
                    </w:rPr>
                    <w:t>SW</w:t>
                  </w:r>
                  <w:r>
                    <w:rPr>
                      <w:rFonts w:hint="default"/>
                      <w:color w:val="auto"/>
                      <w:lang w:val="en-US" w:eastAsia="zh-CN"/>
                    </w:rPr>
                    <w:t>62</w:t>
                  </w:r>
                </w:p>
                <w:p w14:paraId="3B370C07">
                  <w:pPr>
                    <w:pStyle w:val="3"/>
                    <w:bidi w:val="0"/>
                    <w:ind w:firstLine="0" w:firstLineChars="0"/>
                    <w:rPr>
                      <w:color w:val="auto"/>
                    </w:rPr>
                  </w:pPr>
                  <w:r>
                    <w:rPr>
                      <w:rFonts w:hint="default"/>
                      <w:color w:val="auto"/>
                      <w:lang w:eastAsia="zh-CN"/>
                    </w:rPr>
                    <w:t>（</w:t>
                  </w:r>
                  <w:r>
                    <w:rPr>
                      <w:rFonts w:hint="default"/>
                      <w:color w:val="auto"/>
                      <w:lang w:val="en-US" w:eastAsia="zh-CN"/>
                    </w:rPr>
                    <w:t>900</w:t>
                  </w:r>
                  <w:r>
                    <w:rPr>
                      <w:rFonts w:hint="default"/>
                      <w:color w:val="auto"/>
                    </w:rPr>
                    <w:t>-00</w:t>
                  </w:r>
                  <w:r>
                    <w:rPr>
                      <w:rFonts w:hint="default"/>
                      <w:color w:val="auto"/>
                      <w:lang w:val="en-US" w:eastAsia="zh-CN"/>
                    </w:rPr>
                    <w:t>3</w:t>
                  </w:r>
                  <w:r>
                    <w:rPr>
                      <w:rFonts w:hint="default"/>
                      <w:color w:val="auto"/>
                    </w:rPr>
                    <w:t>-</w:t>
                  </w:r>
                  <w:r>
                    <w:rPr>
                      <w:rFonts w:hint="default"/>
                      <w:color w:val="auto"/>
                      <w:lang w:val="en-US" w:eastAsia="zh-CN"/>
                    </w:rPr>
                    <w:t>S62</w:t>
                  </w:r>
                  <w:r>
                    <w:rPr>
                      <w:rFonts w:hint="default"/>
                      <w:color w:val="auto"/>
                      <w:lang w:eastAsia="zh-CN"/>
                    </w:rPr>
                    <w:t>）</w:t>
                  </w:r>
                </w:p>
              </w:tc>
              <w:tc>
                <w:tcPr>
                  <w:tcW w:w="590" w:type="pct"/>
                  <w:tcBorders>
                    <w:top w:val="single" w:color="auto" w:sz="6" w:space="0"/>
                    <w:left w:val="single" w:color="auto" w:sz="4" w:space="0"/>
                    <w:bottom w:val="single" w:color="auto" w:sz="4" w:space="0"/>
                    <w:right w:val="single" w:color="auto" w:sz="4" w:space="0"/>
                  </w:tcBorders>
                  <w:vAlign w:val="center"/>
                </w:tcPr>
                <w:p w14:paraId="2DDDD9C5">
                  <w:pPr>
                    <w:pStyle w:val="3"/>
                    <w:bidi w:val="0"/>
                    <w:ind w:firstLine="0" w:firstLineChars="0"/>
                    <w:rPr>
                      <w:rFonts w:hint="eastAsia" w:eastAsia="宋体"/>
                      <w:color w:val="auto"/>
                      <w:lang w:eastAsia="zh-CN"/>
                    </w:rPr>
                  </w:pPr>
                  <w:r>
                    <w:rPr>
                      <w:rFonts w:hint="eastAsia" w:eastAsia="宋体"/>
                      <w:color w:val="auto"/>
                      <w:lang w:eastAsia="zh-CN"/>
                    </w:rPr>
                    <w:t>振动筛分</w:t>
                  </w:r>
                </w:p>
              </w:tc>
              <w:tc>
                <w:tcPr>
                  <w:tcW w:w="499" w:type="pct"/>
                  <w:tcBorders>
                    <w:top w:val="single" w:color="auto" w:sz="6" w:space="0"/>
                    <w:left w:val="single" w:color="auto" w:sz="4" w:space="0"/>
                    <w:bottom w:val="single" w:color="auto" w:sz="4" w:space="0"/>
                    <w:right w:val="single" w:color="auto" w:sz="4" w:space="0"/>
                  </w:tcBorders>
                  <w:vAlign w:val="center"/>
                </w:tcPr>
                <w:p w14:paraId="5C3113EF">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1800</w:t>
                  </w:r>
                </w:p>
              </w:tc>
              <w:tc>
                <w:tcPr>
                  <w:tcW w:w="411" w:type="pct"/>
                  <w:tcBorders>
                    <w:top w:val="single" w:color="auto" w:sz="6" w:space="0"/>
                    <w:left w:val="single" w:color="auto" w:sz="4" w:space="0"/>
                    <w:bottom w:val="single" w:color="auto" w:sz="4" w:space="0"/>
                    <w:right w:val="single" w:color="auto" w:sz="4" w:space="0"/>
                  </w:tcBorders>
                  <w:vAlign w:val="center"/>
                </w:tcPr>
                <w:p w14:paraId="76D6311B">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w:t>
                  </w:r>
                </w:p>
              </w:tc>
              <w:tc>
                <w:tcPr>
                  <w:tcW w:w="501" w:type="pct"/>
                  <w:tcBorders>
                    <w:top w:val="single" w:color="auto" w:sz="6" w:space="0"/>
                    <w:left w:val="single" w:color="auto" w:sz="4" w:space="0"/>
                    <w:bottom w:val="single" w:color="auto" w:sz="4" w:space="0"/>
                    <w:right w:val="single" w:color="auto" w:sz="4" w:space="0"/>
                  </w:tcBorders>
                  <w:vAlign w:val="center"/>
                </w:tcPr>
                <w:p w14:paraId="12EA3751">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固态</w:t>
                  </w:r>
                </w:p>
              </w:tc>
              <w:tc>
                <w:tcPr>
                  <w:tcW w:w="684" w:type="pct"/>
                  <w:vMerge w:val="restart"/>
                  <w:tcBorders>
                    <w:top w:val="single" w:color="auto" w:sz="6" w:space="0"/>
                    <w:left w:val="single" w:color="auto" w:sz="4" w:space="0"/>
                    <w:right w:val="single" w:color="auto" w:sz="4" w:space="0"/>
                  </w:tcBorders>
                  <w:vAlign w:val="center"/>
                </w:tcPr>
                <w:p w14:paraId="4A93799E">
                  <w:pPr>
                    <w:pStyle w:val="3"/>
                    <w:bidi w:val="0"/>
                    <w:rPr>
                      <w:rFonts w:hint="default" w:ascii="Times New Roman" w:hAnsi="Times New Roman" w:cs="Times New Roman"/>
                      <w:color w:val="auto"/>
                      <w:lang w:eastAsia="zh-CN"/>
                    </w:rPr>
                  </w:pPr>
                  <w:r>
                    <w:rPr>
                      <w:rFonts w:hint="eastAsia" w:ascii="Times New Roman" w:hAnsi="Times New Roman" w:cs="Times New Roman"/>
                      <w:color w:val="auto"/>
                      <w:lang w:eastAsia="zh-CN"/>
                    </w:rPr>
                    <w:t>一般工业固体废物填埋场</w:t>
                  </w:r>
                </w:p>
              </w:tc>
              <w:tc>
                <w:tcPr>
                  <w:tcW w:w="503" w:type="pct"/>
                  <w:tcBorders>
                    <w:top w:val="single" w:color="auto" w:sz="6" w:space="0"/>
                    <w:left w:val="single" w:color="auto" w:sz="4" w:space="0"/>
                    <w:bottom w:val="single" w:color="auto" w:sz="4" w:space="0"/>
                    <w:right w:val="nil"/>
                  </w:tcBorders>
                  <w:vAlign w:val="center"/>
                </w:tcPr>
                <w:p w14:paraId="035D97B6">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1800</w:t>
                  </w:r>
                </w:p>
              </w:tc>
            </w:tr>
            <w:tr w14:paraId="548561D9">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tcBorders>
                    <w:top w:val="single" w:color="auto" w:sz="6" w:space="0"/>
                    <w:left w:val="nil"/>
                    <w:bottom w:val="single" w:color="auto" w:sz="6" w:space="0"/>
                    <w:right w:val="single" w:color="auto" w:sz="4" w:space="0"/>
                  </w:tcBorders>
                  <w:vAlign w:val="center"/>
                </w:tcPr>
                <w:p w14:paraId="5F0C6F27">
                  <w:pPr>
                    <w:pStyle w:val="3"/>
                    <w:bidi w:val="0"/>
                    <w:rPr>
                      <w:rFonts w:hint="eastAsia" w:eastAsia="宋体"/>
                      <w:color w:val="auto"/>
                      <w:lang w:val="en-US" w:eastAsia="zh-CN"/>
                    </w:rPr>
                  </w:pPr>
                  <w:r>
                    <w:rPr>
                      <w:rFonts w:hint="eastAsia" w:eastAsia="宋体"/>
                      <w:color w:val="auto"/>
                      <w:lang w:val="en-US" w:eastAsia="zh-CN"/>
                    </w:rPr>
                    <w:t>2</w:t>
                  </w:r>
                </w:p>
              </w:tc>
              <w:tc>
                <w:tcPr>
                  <w:tcW w:w="492" w:type="pct"/>
                  <w:tcBorders>
                    <w:top w:val="single" w:color="auto" w:sz="6" w:space="0"/>
                    <w:left w:val="single" w:color="auto" w:sz="4" w:space="0"/>
                    <w:bottom w:val="single" w:color="auto" w:sz="6" w:space="0"/>
                    <w:right w:val="single" w:color="auto" w:sz="4" w:space="0"/>
                  </w:tcBorders>
                  <w:vAlign w:val="center"/>
                </w:tcPr>
                <w:p w14:paraId="536D2E37">
                  <w:pPr>
                    <w:pStyle w:val="3"/>
                    <w:bidi w:val="0"/>
                    <w:ind w:firstLine="0" w:firstLineChars="0"/>
                    <w:rPr>
                      <w:rFonts w:hint="eastAsia" w:eastAsia="宋体"/>
                      <w:color w:val="auto"/>
                      <w:lang w:eastAsia="zh-CN"/>
                    </w:rPr>
                  </w:pPr>
                  <w:r>
                    <w:rPr>
                      <w:rFonts w:hint="eastAsia" w:eastAsia="宋体"/>
                      <w:color w:val="auto"/>
                      <w:lang w:eastAsia="zh-CN"/>
                    </w:rPr>
                    <w:t>除尘器收集粉尘</w:t>
                  </w:r>
                </w:p>
              </w:tc>
              <w:tc>
                <w:tcPr>
                  <w:tcW w:w="1063" w:type="pct"/>
                  <w:tcBorders>
                    <w:top w:val="single" w:color="auto" w:sz="6" w:space="0"/>
                    <w:left w:val="single" w:color="auto" w:sz="4" w:space="0"/>
                    <w:bottom w:val="single" w:color="auto" w:sz="6" w:space="0"/>
                    <w:right w:val="single" w:color="auto" w:sz="4" w:space="0"/>
                  </w:tcBorders>
                  <w:vAlign w:val="center"/>
                </w:tcPr>
                <w:p w14:paraId="2CB763D2">
                  <w:pPr>
                    <w:pStyle w:val="3"/>
                    <w:bidi w:val="0"/>
                    <w:rPr>
                      <w:rFonts w:hint="default"/>
                      <w:color w:val="auto"/>
                      <w:lang w:val="en-US" w:eastAsia="zh-CN"/>
                    </w:rPr>
                  </w:pPr>
                  <w:r>
                    <w:rPr>
                      <w:rFonts w:hint="eastAsia"/>
                      <w:color w:val="auto"/>
                      <w:lang w:val="en-US" w:eastAsia="zh-CN"/>
                    </w:rPr>
                    <w:t>SW59</w:t>
                  </w:r>
                </w:p>
                <w:p w14:paraId="74D1E0D9">
                  <w:pPr>
                    <w:pStyle w:val="3"/>
                    <w:bidi w:val="0"/>
                    <w:rPr>
                      <w:rFonts w:hint="default"/>
                      <w:color w:val="auto"/>
                      <w:lang w:val="en-US" w:eastAsia="zh-CN"/>
                    </w:rPr>
                  </w:pPr>
                  <w:r>
                    <w:rPr>
                      <w:rFonts w:hint="default"/>
                      <w:color w:val="auto"/>
                      <w:lang w:eastAsia="zh-CN"/>
                    </w:rPr>
                    <w:t>（</w:t>
                  </w:r>
                  <w:r>
                    <w:rPr>
                      <w:rFonts w:hint="default"/>
                      <w:color w:val="auto"/>
                      <w:lang w:val="en-US" w:eastAsia="zh-CN"/>
                    </w:rPr>
                    <w:t>900</w:t>
                  </w:r>
                  <w:r>
                    <w:rPr>
                      <w:rFonts w:hint="default"/>
                      <w:color w:val="auto"/>
                    </w:rPr>
                    <w:t>-00</w:t>
                  </w:r>
                  <w:r>
                    <w:rPr>
                      <w:rFonts w:hint="eastAsia" w:eastAsia="宋体"/>
                      <w:color w:val="auto"/>
                      <w:lang w:val="en-US" w:eastAsia="zh-CN"/>
                    </w:rPr>
                    <w:t>9</w:t>
                  </w:r>
                  <w:r>
                    <w:rPr>
                      <w:rFonts w:hint="default"/>
                      <w:color w:val="auto"/>
                    </w:rPr>
                    <w:t>-</w:t>
                  </w:r>
                  <w:r>
                    <w:rPr>
                      <w:rFonts w:hint="default"/>
                      <w:color w:val="auto"/>
                      <w:lang w:val="en-US" w:eastAsia="zh-CN"/>
                    </w:rPr>
                    <w:t>S</w:t>
                  </w:r>
                  <w:r>
                    <w:rPr>
                      <w:rFonts w:hint="eastAsia"/>
                      <w:color w:val="auto"/>
                      <w:lang w:val="en-US" w:eastAsia="zh-CN"/>
                    </w:rPr>
                    <w:t>59</w:t>
                  </w:r>
                  <w:r>
                    <w:rPr>
                      <w:rFonts w:hint="default"/>
                      <w:color w:val="auto"/>
                      <w:lang w:eastAsia="zh-CN"/>
                    </w:rPr>
                    <w:t>）</w:t>
                  </w:r>
                </w:p>
              </w:tc>
              <w:tc>
                <w:tcPr>
                  <w:tcW w:w="590" w:type="pct"/>
                  <w:tcBorders>
                    <w:top w:val="single" w:color="auto" w:sz="6" w:space="0"/>
                    <w:left w:val="single" w:color="auto" w:sz="4" w:space="0"/>
                    <w:bottom w:val="single" w:color="auto" w:sz="6" w:space="0"/>
                    <w:right w:val="single" w:color="auto" w:sz="4" w:space="0"/>
                  </w:tcBorders>
                  <w:vAlign w:val="center"/>
                </w:tcPr>
                <w:p w14:paraId="30D90EDF">
                  <w:pPr>
                    <w:pStyle w:val="3"/>
                    <w:bidi w:val="0"/>
                    <w:ind w:firstLine="0" w:firstLineChars="0"/>
                    <w:rPr>
                      <w:rFonts w:hint="eastAsia" w:eastAsia="宋体"/>
                      <w:color w:val="auto"/>
                      <w:lang w:eastAsia="zh-CN"/>
                    </w:rPr>
                  </w:pPr>
                  <w:r>
                    <w:rPr>
                      <w:rFonts w:hint="eastAsia" w:eastAsia="宋体"/>
                      <w:color w:val="auto"/>
                      <w:lang w:eastAsia="zh-CN"/>
                    </w:rPr>
                    <w:t>废气治理</w:t>
                  </w:r>
                </w:p>
              </w:tc>
              <w:tc>
                <w:tcPr>
                  <w:tcW w:w="499" w:type="pct"/>
                  <w:tcBorders>
                    <w:top w:val="single" w:color="auto" w:sz="6" w:space="0"/>
                    <w:left w:val="single" w:color="auto" w:sz="4" w:space="0"/>
                    <w:bottom w:val="single" w:color="auto" w:sz="6" w:space="0"/>
                    <w:right w:val="single" w:color="auto" w:sz="4" w:space="0"/>
                  </w:tcBorders>
                  <w:vAlign w:val="center"/>
                </w:tcPr>
                <w:p w14:paraId="33CFE7EE">
                  <w:pPr>
                    <w:pStyle w:val="3"/>
                    <w:bidi w:val="0"/>
                    <w:ind w:firstLine="0" w:firstLineChars="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33.77</w:t>
                  </w:r>
                </w:p>
              </w:tc>
              <w:tc>
                <w:tcPr>
                  <w:tcW w:w="411" w:type="pct"/>
                  <w:tcBorders>
                    <w:top w:val="single" w:color="auto" w:sz="6" w:space="0"/>
                    <w:left w:val="single" w:color="auto" w:sz="4" w:space="0"/>
                    <w:bottom w:val="single" w:color="auto" w:sz="6" w:space="0"/>
                    <w:right w:val="single" w:color="auto" w:sz="4" w:space="0"/>
                  </w:tcBorders>
                  <w:vAlign w:val="center"/>
                </w:tcPr>
                <w:p w14:paraId="778ECDB4">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w:t>
                  </w:r>
                </w:p>
              </w:tc>
              <w:tc>
                <w:tcPr>
                  <w:tcW w:w="501" w:type="pct"/>
                  <w:tcBorders>
                    <w:top w:val="single" w:color="auto" w:sz="6" w:space="0"/>
                    <w:left w:val="single" w:color="auto" w:sz="4" w:space="0"/>
                    <w:bottom w:val="single" w:color="auto" w:sz="6" w:space="0"/>
                    <w:right w:val="single" w:color="auto" w:sz="4" w:space="0"/>
                  </w:tcBorders>
                  <w:vAlign w:val="center"/>
                </w:tcPr>
                <w:p w14:paraId="6171F6BA">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固态</w:t>
                  </w:r>
                </w:p>
              </w:tc>
              <w:tc>
                <w:tcPr>
                  <w:tcW w:w="684" w:type="pct"/>
                  <w:vMerge w:val="continue"/>
                  <w:tcBorders>
                    <w:left w:val="single" w:color="auto" w:sz="4" w:space="0"/>
                    <w:right w:val="single" w:color="auto" w:sz="4" w:space="0"/>
                  </w:tcBorders>
                  <w:vAlign w:val="center"/>
                </w:tcPr>
                <w:p w14:paraId="6CC84459">
                  <w:pPr>
                    <w:pStyle w:val="3"/>
                    <w:bidi w:val="0"/>
                    <w:rPr>
                      <w:rFonts w:hint="default" w:ascii="Times New Roman" w:hAnsi="Times New Roman" w:cs="Times New Roman"/>
                      <w:color w:val="auto"/>
                    </w:rPr>
                  </w:pPr>
                </w:p>
              </w:tc>
              <w:tc>
                <w:tcPr>
                  <w:tcW w:w="503" w:type="pct"/>
                  <w:tcBorders>
                    <w:top w:val="single" w:color="auto" w:sz="6" w:space="0"/>
                    <w:left w:val="single" w:color="auto" w:sz="4" w:space="0"/>
                    <w:bottom w:val="single" w:color="auto" w:sz="6" w:space="0"/>
                    <w:right w:val="nil"/>
                  </w:tcBorders>
                  <w:vAlign w:val="center"/>
                </w:tcPr>
                <w:p w14:paraId="738F692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33.77</w:t>
                  </w:r>
                </w:p>
              </w:tc>
            </w:tr>
            <w:tr w14:paraId="1B382079">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2" w:type="pct"/>
                  <w:tcBorders>
                    <w:top w:val="single" w:color="auto" w:sz="6" w:space="0"/>
                    <w:left w:val="nil"/>
                    <w:bottom w:val="single" w:color="auto" w:sz="4" w:space="0"/>
                    <w:right w:val="single" w:color="auto" w:sz="4" w:space="0"/>
                  </w:tcBorders>
                  <w:vAlign w:val="center"/>
                </w:tcPr>
                <w:p w14:paraId="2E2BD7F4">
                  <w:pPr>
                    <w:pStyle w:val="3"/>
                    <w:bidi w:val="0"/>
                    <w:rPr>
                      <w:rFonts w:hint="default" w:eastAsia="宋体"/>
                      <w:color w:val="auto"/>
                      <w:lang w:val="en-US" w:eastAsia="zh-CN"/>
                    </w:rPr>
                  </w:pPr>
                  <w:r>
                    <w:rPr>
                      <w:rFonts w:hint="eastAsia" w:eastAsia="宋体"/>
                      <w:color w:val="auto"/>
                      <w:lang w:val="en-US" w:eastAsia="zh-CN"/>
                    </w:rPr>
                    <w:t>3</w:t>
                  </w:r>
                </w:p>
              </w:tc>
              <w:tc>
                <w:tcPr>
                  <w:tcW w:w="492" w:type="pct"/>
                  <w:tcBorders>
                    <w:top w:val="single" w:color="auto" w:sz="6" w:space="0"/>
                    <w:left w:val="single" w:color="auto" w:sz="4" w:space="0"/>
                    <w:bottom w:val="single" w:color="auto" w:sz="4" w:space="0"/>
                    <w:right w:val="single" w:color="auto" w:sz="4" w:space="0"/>
                  </w:tcBorders>
                  <w:vAlign w:val="center"/>
                </w:tcPr>
                <w:p w14:paraId="4A89C984">
                  <w:pPr>
                    <w:pStyle w:val="3"/>
                    <w:bidi w:val="0"/>
                    <w:ind w:firstLine="0" w:firstLineChars="0"/>
                    <w:rPr>
                      <w:rFonts w:hint="eastAsia" w:eastAsia="宋体"/>
                      <w:color w:val="auto"/>
                      <w:lang w:eastAsia="zh-CN"/>
                    </w:rPr>
                  </w:pPr>
                  <w:r>
                    <w:rPr>
                      <w:rFonts w:hint="eastAsia" w:eastAsia="宋体"/>
                      <w:color w:val="auto"/>
                      <w:lang w:eastAsia="zh-CN"/>
                    </w:rPr>
                    <w:t>污泥</w:t>
                  </w:r>
                </w:p>
              </w:tc>
              <w:tc>
                <w:tcPr>
                  <w:tcW w:w="1063" w:type="pct"/>
                  <w:tcBorders>
                    <w:top w:val="single" w:color="auto" w:sz="6" w:space="0"/>
                    <w:left w:val="single" w:color="auto" w:sz="4" w:space="0"/>
                    <w:bottom w:val="single" w:color="auto" w:sz="4" w:space="0"/>
                    <w:right w:val="single" w:color="auto" w:sz="4" w:space="0"/>
                  </w:tcBorders>
                  <w:vAlign w:val="center"/>
                </w:tcPr>
                <w:p w14:paraId="20C12931">
                  <w:pPr>
                    <w:pStyle w:val="3"/>
                    <w:bidi w:val="0"/>
                    <w:rPr>
                      <w:rFonts w:hint="default"/>
                      <w:color w:val="auto"/>
                      <w:lang w:val="en-US" w:eastAsia="zh-CN"/>
                    </w:rPr>
                  </w:pPr>
                  <w:r>
                    <w:rPr>
                      <w:rFonts w:hint="eastAsia"/>
                      <w:color w:val="auto"/>
                      <w:lang w:val="en-US" w:eastAsia="zh-CN"/>
                    </w:rPr>
                    <w:t>SW07</w:t>
                  </w:r>
                </w:p>
                <w:p w14:paraId="23F2AEDF">
                  <w:pPr>
                    <w:pStyle w:val="3"/>
                    <w:bidi w:val="0"/>
                    <w:rPr>
                      <w:rFonts w:hint="default"/>
                      <w:color w:val="auto"/>
                      <w:lang w:eastAsia="zh-CN"/>
                    </w:rPr>
                  </w:pPr>
                  <w:r>
                    <w:rPr>
                      <w:rFonts w:hint="default"/>
                      <w:color w:val="auto"/>
                      <w:lang w:eastAsia="zh-CN"/>
                    </w:rPr>
                    <w:t>（</w:t>
                  </w:r>
                  <w:r>
                    <w:rPr>
                      <w:rFonts w:hint="eastAsia"/>
                      <w:color w:val="auto"/>
                      <w:lang w:val="en-US" w:eastAsia="zh-CN"/>
                    </w:rPr>
                    <w:t>140</w:t>
                  </w:r>
                  <w:r>
                    <w:rPr>
                      <w:rFonts w:hint="default"/>
                      <w:color w:val="auto"/>
                    </w:rPr>
                    <w:t>-00</w:t>
                  </w:r>
                  <w:r>
                    <w:rPr>
                      <w:rFonts w:hint="eastAsia" w:eastAsia="宋体"/>
                      <w:color w:val="auto"/>
                      <w:lang w:val="en-US" w:eastAsia="zh-CN"/>
                    </w:rPr>
                    <w:t>1</w:t>
                  </w:r>
                  <w:r>
                    <w:rPr>
                      <w:rFonts w:hint="default"/>
                      <w:color w:val="auto"/>
                    </w:rPr>
                    <w:t>-</w:t>
                  </w:r>
                  <w:r>
                    <w:rPr>
                      <w:rFonts w:hint="default"/>
                      <w:color w:val="auto"/>
                      <w:lang w:val="en-US" w:eastAsia="zh-CN"/>
                    </w:rPr>
                    <w:t>S</w:t>
                  </w:r>
                  <w:r>
                    <w:rPr>
                      <w:rFonts w:hint="eastAsia"/>
                      <w:color w:val="auto"/>
                      <w:lang w:val="en-US" w:eastAsia="zh-CN"/>
                    </w:rPr>
                    <w:t>07</w:t>
                  </w:r>
                  <w:r>
                    <w:rPr>
                      <w:rFonts w:hint="default"/>
                      <w:color w:val="auto"/>
                      <w:lang w:eastAsia="zh-CN"/>
                    </w:rPr>
                    <w:t>）</w:t>
                  </w:r>
                </w:p>
              </w:tc>
              <w:tc>
                <w:tcPr>
                  <w:tcW w:w="590" w:type="pct"/>
                  <w:tcBorders>
                    <w:top w:val="single" w:color="auto" w:sz="6" w:space="0"/>
                    <w:left w:val="single" w:color="auto" w:sz="4" w:space="0"/>
                    <w:bottom w:val="single" w:color="auto" w:sz="4" w:space="0"/>
                    <w:right w:val="single" w:color="auto" w:sz="4" w:space="0"/>
                  </w:tcBorders>
                  <w:vAlign w:val="center"/>
                </w:tcPr>
                <w:p w14:paraId="65569C7A">
                  <w:pPr>
                    <w:pStyle w:val="3"/>
                    <w:bidi w:val="0"/>
                    <w:ind w:firstLine="0" w:firstLineChars="0"/>
                    <w:rPr>
                      <w:rFonts w:hint="eastAsia" w:eastAsia="宋体"/>
                      <w:color w:val="auto"/>
                      <w:lang w:eastAsia="zh-CN"/>
                    </w:rPr>
                  </w:pPr>
                  <w:r>
                    <w:rPr>
                      <w:rFonts w:hint="eastAsia" w:eastAsia="宋体"/>
                      <w:color w:val="auto"/>
                      <w:lang w:eastAsia="zh-CN"/>
                    </w:rPr>
                    <w:t>废水处理</w:t>
                  </w:r>
                </w:p>
              </w:tc>
              <w:tc>
                <w:tcPr>
                  <w:tcW w:w="499" w:type="pct"/>
                  <w:tcBorders>
                    <w:top w:val="single" w:color="auto" w:sz="6" w:space="0"/>
                    <w:left w:val="single" w:color="auto" w:sz="4" w:space="0"/>
                    <w:bottom w:val="single" w:color="auto" w:sz="4" w:space="0"/>
                    <w:right w:val="single" w:color="auto" w:sz="4" w:space="0"/>
                  </w:tcBorders>
                  <w:vAlign w:val="center"/>
                </w:tcPr>
                <w:p w14:paraId="2B72C94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highlight w:val="none"/>
                      <w:lang w:val="en-US" w:eastAsia="zh-CN"/>
                    </w:rPr>
                    <w:t>200</w:t>
                  </w:r>
                </w:p>
              </w:tc>
              <w:tc>
                <w:tcPr>
                  <w:tcW w:w="411" w:type="pct"/>
                  <w:tcBorders>
                    <w:top w:val="single" w:color="auto" w:sz="6" w:space="0"/>
                    <w:left w:val="single" w:color="auto" w:sz="4" w:space="0"/>
                    <w:bottom w:val="single" w:color="auto" w:sz="4" w:space="0"/>
                    <w:right w:val="single" w:color="auto" w:sz="4" w:space="0"/>
                  </w:tcBorders>
                  <w:vAlign w:val="center"/>
                </w:tcPr>
                <w:p w14:paraId="6C933E5F">
                  <w:pPr>
                    <w:pStyle w:val="3"/>
                    <w:bidi w:val="0"/>
                    <w:ind w:firstLine="0" w:firstLineChars="0"/>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w:t>
                  </w:r>
                </w:p>
              </w:tc>
              <w:tc>
                <w:tcPr>
                  <w:tcW w:w="501" w:type="pct"/>
                  <w:tcBorders>
                    <w:top w:val="single" w:color="auto" w:sz="6" w:space="0"/>
                    <w:left w:val="single" w:color="auto" w:sz="4" w:space="0"/>
                    <w:bottom w:val="single" w:color="auto" w:sz="4" w:space="0"/>
                    <w:right w:val="single" w:color="auto" w:sz="4" w:space="0"/>
                  </w:tcBorders>
                  <w:vAlign w:val="center"/>
                </w:tcPr>
                <w:p w14:paraId="2DD7AC53">
                  <w:pPr>
                    <w:pStyle w:val="3"/>
                    <w:bidi w:val="0"/>
                    <w:ind w:firstLine="0" w:firstLineChars="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固体</w:t>
                  </w:r>
                  <w:r>
                    <w:rPr>
                      <w:rFonts w:hint="eastAsia" w:ascii="Times New Roman" w:hAnsi="Times New Roman" w:eastAsia="宋体" w:cs="Times New Roman"/>
                      <w:color w:val="auto"/>
                      <w:lang w:val="en-US" w:eastAsia="zh-CN"/>
                    </w:rPr>
                    <w:t xml:space="preserve"> </w:t>
                  </w:r>
                </w:p>
              </w:tc>
              <w:tc>
                <w:tcPr>
                  <w:tcW w:w="684" w:type="pct"/>
                  <w:vMerge w:val="continue"/>
                  <w:tcBorders>
                    <w:left w:val="single" w:color="auto" w:sz="4" w:space="0"/>
                    <w:right w:val="single" w:color="auto" w:sz="4" w:space="0"/>
                  </w:tcBorders>
                  <w:vAlign w:val="center"/>
                </w:tcPr>
                <w:p w14:paraId="762A537E">
                  <w:pPr>
                    <w:pStyle w:val="3"/>
                    <w:bidi w:val="0"/>
                    <w:rPr>
                      <w:rFonts w:hint="default" w:ascii="Times New Roman" w:hAnsi="Times New Roman" w:cs="Times New Roman"/>
                      <w:color w:val="auto"/>
                    </w:rPr>
                  </w:pPr>
                </w:p>
              </w:tc>
              <w:tc>
                <w:tcPr>
                  <w:tcW w:w="503" w:type="pct"/>
                  <w:tcBorders>
                    <w:top w:val="single" w:color="auto" w:sz="6" w:space="0"/>
                    <w:left w:val="single" w:color="auto" w:sz="4" w:space="0"/>
                    <w:bottom w:val="single" w:color="auto" w:sz="4" w:space="0"/>
                    <w:right w:val="nil"/>
                  </w:tcBorders>
                  <w:vAlign w:val="center"/>
                </w:tcPr>
                <w:p w14:paraId="3AABF3F3">
                  <w:pPr>
                    <w:pStyle w:val="3"/>
                    <w:bidi w:val="0"/>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200</w:t>
                  </w:r>
                </w:p>
              </w:tc>
            </w:tr>
          </w:tbl>
          <w:p w14:paraId="6BA0679B">
            <w:pPr>
              <w:pStyle w:val="23"/>
              <w:spacing w:line="360" w:lineRule="auto"/>
              <w:ind w:left="0" w:leftChars="0" w:firstLine="480" w:firstLineChars="200"/>
              <w:rPr>
                <w:rFonts w:ascii="Times New Roman" w:cs="Times New Roman"/>
                <w:color w:val="auto"/>
                <w:highlight w:val="none"/>
              </w:rPr>
            </w:pPr>
            <w:r>
              <w:rPr>
                <w:rFonts w:ascii="Times New Roman" w:cs="Times New Roman"/>
                <w:color w:val="auto"/>
                <w:highlight w:val="none"/>
              </w:rPr>
              <w:t>（2）环境管理要求</w:t>
            </w:r>
          </w:p>
          <w:p w14:paraId="1905CC49">
            <w:pPr>
              <w:adjustRightInd w:val="0"/>
              <w:snapToGrid w:val="0"/>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①危险废物</w:t>
            </w:r>
          </w:p>
          <w:p w14:paraId="430B58BD">
            <w:pPr>
              <w:adjustRightInd w:val="0"/>
              <w:snapToGrid w:val="0"/>
              <w:spacing w:line="360" w:lineRule="auto"/>
              <w:ind w:firstLine="480" w:firstLineChars="200"/>
              <w:rPr>
                <w:rFonts w:ascii="Times New Roman" w:cs="Times New Roman"/>
                <w:color w:val="auto"/>
                <w:sz w:val="21"/>
                <w:szCs w:val="21"/>
              </w:rPr>
            </w:pPr>
            <w:r>
              <w:rPr>
                <w:rFonts w:hint="eastAsia"/>
                <w:color w:val="auto"/>
                <w:sz w:val="24"/>
              </w:rPr>
              <w:t>本项目</w:t>
            </w:r>
            <w:r>
              <w:rPr>
                <w:rFonts w:hint="eastAsia" w:eastAsia="宋体"/>
                <w:color w:val="auto"/>
                <w:sz w:val="24"/>
                <w:lang w:eastAsia="zh-CN"/>
              </w:rPr>
              <w:t>产生的危险废物依托厂区现有废润滑油贮存库（编号</w:t>
            </w:r>
            <w:r>
              <w:rPr>
                <w:rFonts w:hint="eastAsia" w:eastAsia="宋体"/>
                <w:color w:val="auto"/>
                <w:sz w:val="24"/>
                <w:lang w:val="en-US" w:eastAsia="zh-CN"/>
              </w:rPr>
              <w:t>TS003</w:t>
            </w:r>
            <w:r>
              <w:rPr>
                <w:rFonts w:hint="eastAsia" w:eastAsia="宋体"/>
                <w:color w:val="auto"/>
                <w:sz w:val="24"/>
                <w:lang w:eastAsia="zh-CN"/>
              </w:rPr>
              <w:t>）暂存，废润滑油贮存库</w:t>
            </w:r>
            <w:r>
              <w:rPr>
                <w:color w:val="auto"/>
                <w:sz w:val="24"/>
              </w:rPr>
              <w:t>设置情况见表</w:t>
            </w:r>
            <w:r>
              <w:rPr>
                <w:rFonts w:hint="eastAsia" w:eastAsia="宋体"/>
                <w:color w:val="auto"/>
                <w:sz w:val="24"/>
                <w:lang w:val="en-US" w:eastAsia="zh-CN"/>
              </w:rPr>
              <w:t>4.5-3</w:t>
            </w:r>
            <w:r>
              <w:rPr>
                <w:rFonts w:hint="eastAsia"/>
                <w:color w:val="auto"/>
                <w:sz w:val="24"/>
              </w:rPr>
              <w:t>。</w:t>
            </w:r>
          </w:p>
          <w:p w14:paraId="4C4514BB">
            <w:pPr>
              <w:pStyle w:val="23"/>
              <w:spacing w:line="360" w:lineRule="auto"/>
              <w:ind w:left="0" w:leftChars="0" w:firstLine="0" w:firstLineChars="0"/>
              <w:jc w:val="center"/>
              <w:rPr>
                <w:rFonts w:ascii="Times New Roman" w:cs="Times New Roman"/>
                <w:color w:val="auto"/>
                <w:sz w:val="21"/>
                <w:szCs w:val="21"/>
              </w:rPr>
            </w:pPr>
            <w:r>
              <w:rPr>
                <w:rFonts w:ascii="Times New Roman" w:cs="Times New Roman"/>
                <w:color w:val="auto"/>
                <w:sz w:val="21"/>
                <w:szCs w:val="21"/>
              </w:rPr>
              <w:t>表</w:t>
            </w:r>
            <w:r>
              <w:rPr>
                <w:rFonts w:hint="eastAsia" w:ascii="Times New Roman" w:cs="Times New Roman"/>
                <w:color w:val="auto"/>
                <w:sz w:val="21"/>
                <w:szCs w:val="21"/>
                <w:lang w:val="en-US" w:eastAsia="zh-CN"/>
              </w:rPr>
              <w:t>4.5-3</w:t>
            </w:r>
            <w:r>
              <w:rPr>
                <w:rFonts w:ascii="Times New Roman" w:cs="Times New Roman"/>
                <w:color w:val="auto"/>
                <w:sz w:val="21"/>
                <w:szCs w:val="21"/>
              </w:rPr>
              <w:t xml:space="preserve"> 危险废物贮存场所（设施）基本情况表</w:t>
            </w:r>
          </w:p>
          <w:tbl>
            <w:tblPr>
              <w:tblStyle w:val="17"/>
              <w:tblW w:w="4994" w:type="pct"/>
              <w:tblInd w:w="0"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449"/>
              <w:gridCol w:w="831"/>
              <w:gridCol w:w="1268"/>
              <w:gridCol w:w="1177"/>
              <w:gridCol w:w="1266"/>
              <w:gridCol w:w="656"/>
              <w:gridCol w:w="942"/>
              <w:gridCol w:w="946"/>
              <w:gridCol w:w="887"/>
            </w:tblGrid>
            <w:tr w14:paraId="2E319D2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864" w:hRule="atLeast"/>
              </w:trPr>
              <w:tc>
                <w:tcPr>
                  <w:tcW w:w="267" w:type="pct"/>
                  <w:tcBorders>
                    <w:top w:val="single" w:color="auto" w:sz="6" w:space="0"/>
                    <w:left w:val="nil"/>
                    <w:bottom w:val="single" w:color="auto" w:sz="6" w:space="0"/>
                    <w:right w:val="single" w:color="auto" w:sz="6" w:space="0"/>
                  </w:tcBorders>
                  <w:vAlign w:val="center"/>
                </w:tcPr>
                <w:p w14:paraId="5660B238">
                  <w:pPr>
                    <w:pStyle w:val="3"/>
                    <w:bidi w:val="0"/>
                    <w:rPr>
                      <w:color w:val="auto"/>
                    </w:rPr>
                  </w:pPr>
                  <w:r>
                    <w:rPr>
                      <w:color w:val="auto"/>
                    </w:rPr>
                    <w:t>序号</w:t>
                  </w:r>
                </w:p>
              </w:tc>
              <w:tc>
                <w:tcPr>
                  <w:tcW w:w="493" w:type="pct"/>
                  <w:tcBorders>
                    <w:top w:val="single" w:color="auto" w:sz="6" w:space="0"/>
                    <w:left w:val="single" w:color="auto" w:sz="6" w:space="0"/>
                    <w:bottom w:val="single" w:color="auto" w:sz="6" w:space="0"/>
                    <w:right w:val="single" w:color="auto" w:sz="6" w:space="0"/>
                  </w:tcBorders>
                  <w:vAlign w:val="center"/>
                </w:tcPr>
                <w:p w14:paraId="2B892D8C">
                  <w:pPr>
                    <w:pStyle w:val="3"/>
                    <w:bidi w:val="0"/>
                    <w:rPr>
                      <w:color w:val="auto"/>
                    </w:rPr>
                  </w:pPr>
                  <w:r>
                    <w:rPr>
                      <w:color w:val="auto"/>
                    </w:rPr>
                    <w:t>贮存场所（设施）名称</w:t>
                  </w:r>
                </w:p>
              </w:tc>
              <w:tc>
                <w:tcPr>
                  <w:tcW w:w="752" w:type="pct"/>
                  <w:tcBorders>
                    <w:top w:val="single" w:color="auto" w:sz="6" w:space="0"/>
                    <w:left w:val="single" w:color="auto" w:sz="6" w:space="0"/>
                    <w:bottom w:val="single" w:color="auto" w:sz="6" w:space="0"/>
                    <w:right w:val="single" w:color="auto" w:sz="6" w:space="0"/>
                  </w:tcBorders>
                  <w:vAlign w:val="center"/>
                </w:tcPr>
                <w:p w14:paraId="692DE677">
                  <w:pPr>
                    <w:pStyle w:val="3"/>
                    <w:bidi w:val="0"/>
                    <w:rPr>
                      <w:color w:val="auto"/>
                    </w:rPr>
                  </w:pPr>
                  <w:r>
                    <w:rPr>
                      <w:color w:val="auto"/>
                    </w:rPr>
                    <w:t>危险废</w:t>
                  </w:r>
                </w:p>
                <w:p w14:paraId="60CC2491">
                  <w:pPr>
                    <w:pStyle w:val="3"/>
                    <w:bidi w:val="0"/>
                    <w:rPr>
                      <w:color w:val="auto"/>
                    </w:rPr>
                  </w:pPr>
                  <w:r>
                    <w:rPr>
                      <w:color w:val="auto"/>
                    </w:rPr>
                    <w:t>物名称</w:t>
                  </w:r>
                </w:p>
              </w:tc>
              <w:tc>
                <w:tcPr>
                  <w:tcW w:w="698" w:type="pct"/>
                  <w:tcBorders>
                    <w:top w:val="single" w:color="auto" w:sz="6" w:space="0"/>
                    <w:left w:val="single" w:color="auto" w:sz="6" w:space="0"/>
                    <w:bottom w:val="single" w:color="auto" w:sz="6" w:space="0"/>
                    <w:right w:val="single" w:color="auto" w:sz="6" w:space="0"/>
                  </w:tcBorders>
                  <w:vAlign w:val="center"/>
                </w:tcPr>
                <w:p w14:paraId="682903B6">
                  <w:pPr>
                    <w:pStyle w:val="3"/>
                    <w:bidi w:val="0"/>
                    <w:rPr>
                      <w:color w:val="auto"/>
                    </w:rPr>
                  </w:pPr>
                  <w:r>
                    <w:rPr>
                      <w:color w:val="auto"/>
                    </w:rPr>
                    <w:t>危险废物类别</w:t>
                  </w:r>
                </w:p>
              </w:tc>
              <w:tc>
                <w:tcPr>
                  <w:tcW w:w="751" w:type="pct"/>
                  <w:tcBorders>
                    <w:top w:val="single" w:color="auto" w:sz="6" w:space="0"/>
                    <w:left w:val="single" w:color="auto" w:sz="6" w:space="0"/>
                    <w:bottom w:val="single" w:color="auto" w:sz="6" w:space="0"/>
                    <w:right w:val="single" w:color="auto" w:sz="6" w:space="0"/>
                  </w:tcBorders>
                  <w:vAlign w:val="center"/>
                </w:tcPr>
                <w:p w14:paraId="6F5FE35B">
                  <w:pPr>
                    <w:pStyle w:val="3"/>
                    <w:bidi w:val="0"/>
                    <w:rPr>
                      <w:color w:val="auto"/>
                    </w:rPr>
                  </w:pPr>
                  <w:r>
                    <w:rPr>
                      <w:color w:val="auto"/>
                    </w:rPr>
                    <w:t>危险废</w:t>
                  </w:r>
                </w:p>
                <w:p w14:paraId="4C0F6A99">
                  <w:pPr>
                    <w:pStyle w:val="3"/>
                    <w:bidi w:val="0"/>
                    <w:rPr>
                      <w:color w:val="auto"/>
                    </w:rPr>
                  </w:pPr>
                  <w:r>
                    <w:rPr>
                      <w:color w:val="auto"/>
                    </w:rPr>
                    <w:t>物代码</w:t>
                  </w:r>
                </w:p>
              </w:tc>
              <w:tc>
                <w:tcPr>
                  <w:tcW w:w="389" w:type="pct"/>
                  <w:tcBorders>
                    <w:top w:val="single" w:color="auto" w:sz="6" w:space="0"/>
                    <w:left w:val="single" w:color="auto" w:sz="6" w:space="0"/>
                    <w:bottom w:val="single" w:color="auto" w:sz="6" w:space="0"/>
                    <w:right w:val="single" w:color="auto" w:sz="6" w:space="0"/>
                  </w:tcBorders>
                  <w:vAlign w:val="center"/>
                </w:tcPr>
                <w:p w14:paraId="51791BF7">
                  <w:pPr>
                    <w:pStyle w:val="3"/>
                    <w:bidi w:val="0"/>
                    <w:rPr>
                      <w:color w:val="auto"/>
                    </w:rPr>
                  </w:pPr>
                  <w:r>
                    <w:rPr>
                      <w:color w:val="auto"/>
                    </w:rPr>
                    <w:t>位置</w:t>
                  </w:r>
                </w:p>
              </w:tc>
              <w:tc>
                <w:tcPr>
                  <w:tcW w:w="559" w:type="pct"/>
                  <w:tcBorders>
                    <w:top w:val="single" w:color="auto" w:sz="6" w:space="0"/>
                    <w:left w:val="single" w:color="auto" w:sz="6" w:space="0"/>
                    <w:bottom w:val="single" w:color="auto" w:sz="6" w:space="0"/>
                    <w:right w:val="single" w:color="auto" w:sz="6" w:space="0"/>
                  </w:tcBorders>
                  <w:vAlign w:val="center"/>
                </w:tcPr>
                <w:p w14:paraId="462DC96C">
                  <w:pPr>
                    <w:pStyle w:val="3"/>
                    <w:bidi w:val="0"/>
                    <w:rPr>
                      <w:color w:val="auto"/>
                    </w:rPr>
                  </w:pPr>
                  <w:r>
                    <w:rPr>
                      <w:color w:val="auto"/>
                    </w:rPr>
                    <w:t>储存</w:t>
                  </w:r>
                </w:p>
                <w:p w14:paraId="58EFE6B0">
                  <w:pPr>
                    <w:pStyle w:val="3"/>
                    <w:bidi w:val="0"/>
                    <w:rPr>
                      <w:color w:val="auto"/>
                    </w:rPr>
                  </w:pPr>
                  <w:r>
                    <w:rPr>
                      <w:color w:val="auto"/>
                    </w:rPr>
                    <w:t>面积</w:t>
                  </w:r>
                </w:p>
              </w:tc>
              <w:tc>
                <w:tcPr>
                  <w:tcW w:w="561" w:type="pct"/>
                  <w:tcBorders>
                    <w:top w:val="single" w:color="auto" w:sz="6" w:space="0"/>
                    <w:left w:val="single" w:color="auto" w:sz="6" w:space="0"/>
                    <w:bottom w:val="single" w:color="auto" w:sz="6" w:space="0"/>
                    <w:right w:val="single" w:color="auto" w:sz="6" w:space="0"/>
                  </w:tcBorders>
                  <w:vAlign w:val="center"/>
                </w:tcPr>
                <w:p w14:paraId="29490BD1">
                  <w:pPr>
                    <w:pStyle w:val="3"/>
                    <w:bidi w:val="0"/>
                    <w:rPr>
                      <w:color w:val="auto"/>
                    </w:rPr>
                  </w:pPr>
                  <w:r>
                    <w:rPr>
                      <w:color w:val="auto"/>
                    </w:rPr>
                    <w:t>贮存</w:t>
                  </w:r>
                </w:p>
                <w:p w14:paraId="24B6ACFC">
                  <w:pPr>
                    <w:pStyle w:val="3"/>
                    <w:bidi w:val="0"/>
                    <w:rPr>
                      <w:color w:val="auto"/>
                    </w:rPr>
                  </w:pPr>
                  <w:r>
                    <w:rPr>
                      <w:color w:val="auto"/>
                    </w:rPr>
                    <w:t>方式</w:t>
                  </w:r>
                </w:p>
              </w:tc>
              <w:tc>
                <w:tcPr>
                  <w:tcW w:w="526" w:type="pct"/>
                  <w:tcBorders>
                    <w:top w:val="single" w:color="auto" w:sz="6" w:space="0"/>
                    <w:left w:val="single" w:color="auto" w:sz="6" w:space="0"/>
                    <w:bottom w:val="single" w:color="auto" w:sz="6" w:space="0"/>
                    <w:right w:val="nil"/>
                  </w:tcBorders>
                  <w:vAlign w:val="center"/>
                </w:tcPr>
                <w:p w14:paraId="409C80BE">
                  <w:pPr>
                    <w:pStyle w:val="3"/>
                    <w:bidi w:val="0"/>
                    <w:rPr>
                      <w:color w:val="auto"/>
                    </w:rPr>
                  </w:pPr>
                  <w:r>
                    <w:rPr>
                      <w:color w:val="auto"/>
                    </w:rPr>
                    <w:t>贮存</w:t>
                  </w:r>
                </w:p>
                <w:p w14:paraId="4B453BD0">
                  <w:pPr>
                    <w:pStyle w:val="3"/>
                    <w:bidi w:val="0"/>
                    <w:rPr>
                      <w:color w:val="auto"/>
                    </w:rPr>
                  </w:pPr>
                  <w:r>
                    <w:rPr>
                      <w:color w:val="auto"/>
                    </w:rPr>
                    <w:t>周期</w:t>
                  </w:r>
                </w:p>
              </w:tc>
            </w:tr>
            <w:tr w14:paraId="2197C7F7">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267" w:type="pct"/>
                  <w:tcBorders>
                    <w:top w:val="single" w:color="auto" w:sz="6" w:space="0"/>
                    <w:left w:val="nil"/>
                    <w:bottom w:val="single" w:color="auto" w:sz="6" w:space="0"/>
                    <w:right w:val="single" w:color="auto" w:sz="6" w:space="0"/>
                  </w:tcBorders>
                  <w:vAlign w:val="center"/>
                </w:tcPr>
                <w:p w14:paraId="6EF648C6">
                  <w:pPr>
                    <w:pStyle w:val="3"/>
                    <w:bidi w:val="0"/>
                    <w:rPr>
                      <w:rFonts w:hint="default"/>
                      <w:color w:val="auto"/>
                      <w:lang w:val="en-US" w:eastAsia="zh-CN"/>
                    </w:rPr>
                  </w:pPr>
                  <w:r>
                    <w:rPr>
                      <w:rFonts w:hint="eastAsia"/>
                      <w:color w:val="auto"/>
                      <w:lang w:val="en-US" w:eastAsia="zh-CN"/>
                    </w:rPr>
                    <w:t>1</w:t>
                  </w:r>
                </w:p>
              </w:tc>
              <w:tc>
                <w:tcPr>
                  <w:tcW w:w="493" w:type="pct"/>
                  <w:vMerge w:val="restart"/>
                  <w:tcBorders>
                    <w:left w:val="single" w:color="auto" w:sz="6" w:space="0"/>
                    <w:right w:val="single" w:color="auto" w:sz="6" w:space="0"/>
                  </w:tcBorders>
                  <w:vAlign w:val="center"/>
                </w:tcPr>
                <w:p w14:paraId="1C0F79B0">
                  <w:pPr>
                    <w:pStyle w:val="3"/>
                    <w:bidi w:val="0"/>
                    <w:rPr>
                      <w:rFonts w:hint="default" w:eastAsia="宋体"/>
                      <w:color w:val="auto"/>
                      <w:lang w:val="en-US" w:eastAsia="zh-CN"/>
                    </w:rPr>
                  </w:pPr>
                  <w:r>
                    <w:rPr>
                      <w:rFonts w:hint="eastAsia" w:eastAsia="宋体"/>
                      <w:color w:val="auto"/>
                      <w:lang w:val="en-US" w:eastAsia="zh-CN"/>
                    </w:rPr>
                    <w:t>废润滑油贮存库</w:t>
                  </w:r>
                </w:p>
              </w:tc>
              <w:tc>
                <w:tcPr>
                  <w:tcW w:w="752" w:type="pct"/>
                  <w:tcBorders>
                    <w:top w:val="single" w:color="auto" w:sz="6" w:space="0"/>
                    <w:left w:val="single" w:color="auto" w:sz="6" w:space="0"/>
                    <w:bottom w:val="single" w:color="auto" w:sz="6" w:space="0"/>
                    <w:right w:val="single" w:color="auto" w:sz="6" w:space="0"/>
                  </w:tcBorders>
                  <w:vAlign w:val="center"/>
                </w:tcPr>
                <w:p w14:paraId="79076356">
                  <w:pPr>
                    <w:pStyle w:val="3"/>
                    <w:bidi w:val="0"/>
                    <w:ind w:firstLine="0" w:firstLineChars="0"/>
                    <w:rPr>
                      <w:rFonts w:hint="eastAsia"/>
                      <w:color w:val="auto"/>
                    </w:rPr>
                  </w:pPr>
                  <w:r>
                    <w:rPr>
                      <w:rFonts w:hint="eastAsia"/>
                      <w:color w:val="auto"/>
                      <w:lang w:eastAsia="zh-CN"/>
                    </w:rPr>
                    <w:t>废润滑油</w:t>
                  </w:r>
                </w:p>
              </w:tc>
              <w:tc>
                <w:tcPr>
                  <w:tcW w:w="698" w:type="pct"/>
                  <w:tcBorders>
                    <w:top w:val="single" w:color="auto" w:sz="6" w:space="0"/>
                    <w:left w:val="single" w:color="auto" w:sz="6" w:space="0"/>
                    <w:bottom w:val="single" w:color="auto" w:sz="6" w:space="0"/>
                    <w:right w:val="single" w:color="auto" w:sz="6" w:space="0"/>
                  </w:tcBorders>
                  <w:vAlign w:val="center"/>
                </w:tcPr>
                <w:p w14:paraId="72F53F15">
                  <w:pPr>
                    <w:pStyle w:val="3"/>
                    <w:bidi w:val="0"/>
                    <w:rPr>
                      <w:rFonts w:hint="default" w:ascii="Times New Roman" w:hAnsi="Times New Roman" w:cs="Times New Roman"/>
                      <w:color w:val="auto"/>
                    </w:rPr>
                  </w:pPr>
                  <w:r>
                    <w:rPr>
                      <w:rFonts w:hint="default" w:ascii="Times New Roman" w:hAnsi="Times New Roman" w:cs="Times New Roman"/>
                      <w:color w:val="auto"/>
                      <w:highlight w:val="none"/>
                    </w:rPr>
                    <w:t>HW08</w:t>
                  </w:r>
                </w:p>
              </w:tc>
              <w:tc>
                <w:tcPr>
                  <w:tcW w:w="751" w:type="pct"/>
                  <w:tcBorders>
                    <w:top w:val="single" w:color="auto" w:sz="6" w:space="0"/>
                    <w:left w:val="single" w:color="auto" w:sz="6" w:space="0"/>
                    <w:bottom w:val="single" w:color="auto" w:sz="6" w:space="0"/>
                    <w:right w:val="single" w:color="auto" w:sz="6" w:space="0"/>
                  </w:tcBorders>
                  <w:vAlign w:val="center"/>
                </w:tcPr>
                <w:p w14:paraId="697D3F2D">
                  <w:pPr>
                    <w:pStyle w:val="3"/>
                    <w:bidi w:val="0"/>
                    <w:rPr>
                      <w:rFonts w:hint="default" w:ascii="Times New Roman" w:hAnsi="Times New Roman" w:cs="Times New Roman"/>
                      <w:color w:val="auto"/>
                    </w:rPr>
                  </w:pPr>
                  <w:r>
                    <w:rPr>
                      <w:rFonts w:hint="default" w:ascii="Times New Roman" w:hAnsi="Times New Roman" w:cs="Times New Roman"/>
                      <w:color w:val="auto"/>
                      <w:highlight w:val="none"/>
                    </w:rPr>
                    <w:t>900-2</w:t>
                  </w:r>
                  <w:r>
                    <w:rPr>
                      <w:rFonts w:hint="default" w:ascii="Times New Roman" w:hAnsi="Times New Roman" w:eastAsia="宋体" w:cs="Times New Roman"/>
                      <w:color w:val="auto"/>
                      <w:highlight w:val="none"/>
                      <w:lang w:val="en-US" w:eastAsia="zh-CN"/>
                    </w:rPr>
                    <w:t>17</w:t>
                  </w:r>
                  <w:r>
                    <w:rPr>
                      <w:rFonts w:hint="default" w:ascii="Times New Roman" w:hAnsi="Times New Roman" w:cs="Times New Roman"/>
                      <w:color w:val="auto"/>
                      <w:highlight w:val="none"/>
                    </w:rPr>
                    <w:t>-08</w:t>
                  </w:r>
                </w:p>
              </w:tc>
              <w:tc>
                <w:tcPr>
                  <w:tcW w:w="389" w:type="pct"/>
                  <w:vMerge w:val="restart"/>
                  <w:tcBorders>
                    <w:left w:val="single" w:color="auto" w:sz="6" w:space="0"/>
                    <w:right w:val="single" w:color="auto" w:sz="6" w:space="0"/>
                  </w:tcBorders>
                  <w:vAlign w:val="center"/>
                </w:tcPr>
                <w:p w14:paraId="7168DF67">
                  <w:pPr>
                    <w:pStyle w:val="3"/>
                    <w:bidi w:val="0"/>
                    <w:rPr>
                      <w:rFonts w:hint="eastAsia" w:eastAsia="宋体"/>
                      <w:color w:val="auto"/>
                      <w:lang w:eastAsia="zh-CN"/>
                    </w:rPr>
                  </w:pPr>
                  <w:r>
                    <w:rPr>
                      <w:rFonts w:hint="eastAsia" w:eastAsia="宋体"/>
                      <w:color w:val="auto"/>
                      <w:lang w:eastAsia="zh-CN"/>
                    </w:rPr>
                    <w:t>厂区东南角</w:t>
                  </w:r>
                </w:p>
              </w:tc>
              <w:tc>
                <w:tcPr>
                  <w:tcW w:w="559" w:type="pct"/>
                  <w:vMerge w:val="restart"/>
                  <w:tcBorders>
                    <w:left w:val="single" w:color="auto" w:sz="6" w:space="0"/>
                    <w:right w:val="single" w:color="auto" w:sz="6" w:space="0"/>
                  </w:tcBorders>
                  <w:vAlign w:val="center"/>
                </w:tcPr>
                <w:p w14:paraId="45A2CA79">
                  <w:pPr>
                    <w:pStyle w:val="3"/>
                    <w:bidi w:val="0"/>
                    <w:rPr>
                      <w:rFonts w:hint="default" w:eastAsia="宋体"/>
                      <w:color w:val="auto"/>
                      <w:lang w:val="en-US" w:eastAsia="zh-CN"/>
                    </w:rPr>
                  </w:pPr>
                  <w:r>
                    <w:rPr>
                      <w:rFonts w:hint="default" w:ascii="Times New Roman" w:hAnsi="Times New Roman" w:eastAsia="宋体" w:cs="Times New Roman"/>
                      <w:color w:val="auto"/>
                      <w:lang w:val="en-US" w:eastAsia="zh-CN"/>
                    </w:rPr>
                    <w:t>17m</w:t>
                  </w:r>
                  <w:r>
                    <w:rPr>
                      <w:rFonts w:hint="default" w:ascii="Times New Roman" w:hAnsi="Times New Roman" w:eastAsia="宋体" w:cs="Times New Roman"/>
                      <w:color w:val="auto"/>
                      <w:vertAlign w:val="superscript"/>
                      <w:lang w:val="en-US" w:eastAsia="zh-CN"/>
                    </w:rPr>
                    <w:t>2</w:t>
                  </w:r>
                </w:p>
              </w:tc>
              <w:tc>
                <w:tcPr>
                  <w:tcW w:w="561" w:type="pct"/>
                  <w:tcBorders>
                    <w:top w:val="single" w:color="auto" w:sz="6" w:space="0"/>
                    <w:left w:val="single" w:color="auto" w:sz="6" w:space="0"/>
                    <w:bottom w:val="single" w:color="auto" w:sz="6" w:space="0"/>
                    <w:right w:val="single" w:color="auto" w:sz="6" w:space="0"/>
                  </w:tcBorders>
                  <w:vAlign w:val="center"/>
                </w:tcPr>
                <w:p w14:paraId="601CA45D">
                  <w:pPr>
                    <w:pStyle w:val="3"/>
                    <w:bidi w:val="0"/>
                    <w:rPr>
                      <w:color w:val="auto"/>
                    </w:rPr>
                  </w:pPr>
                  <w:r>
                    <w:rPr>
                      <w:color w:val="auto"/>
                    </w:rPr>
                    <w:t>桶装</w:t>
                  </w:r>
                </w:p>
              </w:tc>
              <w:tc>
                <w:tcPr>
                  <w:tcW w:w="526" w:type="pct"/>
                  <w:vMerge w:val="restart"/>
                  <w:tcBorders>
                    <w:left w:val="single" w:color="auto" w:sz="6" w:space="0"/>
                    <w:right w:val="nil"/>
                  </w:tcBorders>
                  <w:vAlign w:val="center"/>
                </w:tcPr>
                <w:p w14:paraId="376F33BD">
                  <w:pPr>
                    <w:pStyle w:val="3"/>
                    <w:bidi w:val="0"/>
                    <w:rPr>
                      <w:rFonts w:hint="default" w:eastAsia="宋体"/>
                      <w:color w:val="auto"/>
                      <w:lang w:val="en-US" w:eastAsia="zh-CN"/>
                    </w:rPr>
                  </w:pPr>
                  <w:r>
                    <w:rPr>
                      <w:rFonts w:hint="eastAsia" w:eastAsia="宋体"/>
                      <w:color w:val="auto"/>
                      <w:lang w:val="en-US" w:eastAsia="zh-CN"/>
                    </w:rPr>
                    <w:t>3月</w:t>
                  </w:r>
                </w:p>
              </w:tc>
            </w:tr>
            <w:tr w14:paraId="57A985F1">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67" w:type="pct"/>
                  <w:tcBorders>
                    <w:top w:val="single" w:color="auto" w:sz="6" w:space="0"/>
                    <w:left w:val="nil"/>
                    <w:bottom w:val="single" w:color="auto" w:sz="6" w:space="0"/>
                    <w:right w:val="single" w:color="auto" w:sz="6" w:space="0"/>
                  </w:tcBorders>
                  <w:vAlign w:val="center"/>
                </w:tcPr>
                <w:p w14:paraId="08357408">
                  <w:pPr>
                    <w:pStyle w:val="3"/>
                    <w:bidi w:val="0"/>
                    <w:rPr>
                      <w:rFonts w:hint="default"/>
                      <w:color w:val="auto"/>
                      <w:lang w:val="en-US" w:eastAsia="zh-CN"/>
                    </w:rPr>
                  </w:pPr>
                  <w:r>
                    <w:rPr>
                      <w:rFonts w:hint="eastAsia"/>
                      <w:color w:val="auto"/>
                      <w:lang w:val="en-US" w:eastAsia="zh-CN"/>
                    </w:rPr>
                    <w:t>2</w:t>
                  </w:r>
                </w:p>
              </w:tc>
              <w:tc>
                <w:tcPr>
                  <w:tcW w:w="493" w:type="pct"/>
                  <w:vMerge w:val="continue"/>
                  <w:tcBorders>
                    <w:left w:val="single" w:color="auto" w:sz="6" w:space="0"/>
                    <w:right w:val="single" w:color="auto" w:sz="6" w:space="0"/>
                  </w:tcBorders>
                  <w:vAlign w:val="center"/>
                </w:tcPr>
                <w:p w14:paraId="4421DDD7">
                  <w:pPr>
                    <w:pStyle w:val="3"/>
                    <w:bidi w:val="0"/>
                    <w:rPr>
                      <w:color w:val="auto"/>
                    </w:rPr>
                  </w:pPr>
                </w:p>
              </w:tc>
              <w:tc>
                <w:tcPr>
                  <w:tcW w:w="752" w:type="pct"/>
                  <w:tcBorders>
                    <w:top w:val="single" w:color="auto" w:sz="6" w:space="0"/>
                    <w:left w:val="single" w:color="auto" w:sz="6" w:space="0"/>
                    <w:bottom w:val="single" w:color="auto" w:sz="6" w:space="0"/>
                    <w:right w:val="single" w:color="auto" w:sz="6" w:space="0"/>
                  </w:tcBorders>
                  <w:vAlign w:val="center"/>
                </w:tcPr>
                <w:p w14:paraId="4AC1B920">
                  <w:pPr>
                    <w:pStyle w:val="3"/>
                    <w:bidi w:val="0"/>
                    <w:ind w:firstLine="0" w:firstLineChars="0"/>
                    <w:rPr>
                      <w:rFonts w:hint="eastAsia"/>
                      <w:color w:val="auto"/>
                    </w:rPr>
                  </w:pPr>
                  <w:r>
                    <w:rPr>
                      <w:rFonts w:hint="eastAsia"/>
                      <w:color w:val="auto"/>
                    </w:rPr>
                    <w:t>含油抹布、劳保用品</w:t>
                  </w:r>
                </w:p>
              </w:tc>
              <w:tc>
                <w:tcPr>
                  <w:tcW w:w="698" w:type="pct"/>
                  <w:tcBorders>
                    <w:top w:val="single" w:color="auto" w:sz="6" w:space="0"/>
                    <w:left w:val="single" w:color="auto" w:sz="6" w:space="0"/>
                    <w:bottom w:val="single" w:color="auto" w:sz="6" w:space="0"/>
                    <w:right w:val="single" w:color="auto" w:sz="6" w:space="0"/>
                  </w:tcBorders>
                  <w:vAlign w:val="center"/>
                </w:tcPr>
                <w:p w14:paraId="07A1734B">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HW49</w:t>
                  </w:r>
                </w:p>
              </w:tc>
              <w:tc>
                <w:tcPr>
                  <w:tcW w:w="751" w:type="pct"/>
                  <w:tcBorders>
                    <w:top w:val="single" w:color="auto" w:sz="6" w:space="0"/>
                    <w:left w:val="single" w:color="auto" w:sz="6" w:space="0"/>
                    <w:bottom w:val="single" w:color="auto" w:sz="6" w:space="0"/>
                    <w:right w:val="single" w:color="auto" w:sz="6" w:space="0"/>
                  </w:tcBorders>
                  <w:vAlign w:val="center"/>
                </w:tcPr>
                <w:p w14:paraId="6DF619CE">
                  <w:pPr>
                    <w:pStyle w:val="3"/>
                    <w:bidi w:val="0"/>
                    <w:ind w:firstLine="0" w:firstLineChars="0"/>
                    <w:rPr>
                      <w:rFonts w:hint="default" w:ascii="Times New Roman" w:hAnsi="Times New Roman" w:cs="Times New Roman"/>
                      <w:color w:val="auto"/>
                    </w:rPr>
                  </w:pPr>
                  <w:r>
                    <w:rPr>
                      <w:rFonts w:hint="default" w:ascii="Times New Roman" w:hAnsi="Times New Roman" w:cs="Times New Roman"/>
                      <w:color w:val="auto"/>
                    </w:rPr>
                    <w:t>900-041-49</w:t>
                  </w:r>
                </w:p>
              </w:tc>
              <w:tc>
                <w:tcPr>
                  <w:tcW w:w="389" w:type="pct"/>
                  <w:vMerge w:val="continue"/>
                  <w:tcBorders>
                    <w:left w:val="single" w:color="auto" w:sz="6" w:space="0"/>
                    <w:right w:val="single" w:color="auto" w:sz="6" w:space="0"/>
                  </w:tcBorders>
                  <w:vAlign w:val="center"/>
                </w:tcPr>
                <w:p w14:paraId="7AABFCB9">
                  <w:pPr>
                    <w:pStyle w:val="3"/>
                    <w:bidi w:val="0"/>
                    <w:rPr>
                      <w:color w:val="auto"/>
                    </w:rPr>
                  </w:pPr>
                </w:p>
              </w:tc>
              <w:tc>
                <w:tcPr>
                  <w:tcW w:w="559" w:type="pct"/>
                  <w:vMerge w:val="continue"/>
                  <w:tcBorders>
                    <w:left w:val="single" w:color="auto" w:sz="6" w:space="0"/>
                    <w:right w:val="single" w:color="auto" w:sz="6" w:space="0"/>
                  </w:tcBorders>
                  <w:vAlign w:val="center"/>
                </w:tcPr>
                <w:p w14:paraId="19072A03">
                  <w:pPr>
                    <w:pStyle w:val="3"/>
                    <w:bidi w:val="0"/>
                    <w:rPr>
                      <w:color w:val="auto"/>
                    </w:rPr>
                  </w:pPr>
                </w:p>
              </w:tc>
              <w:tc>
                <w:tcPr>
                  <w:tcW w:w="561" w:type="pct"/>
                  <w:tcBorders>
                    <w:top w:val="single" w:color="auto" w:sz="6" w:space="0"/>
                    <w:left w:val="single" w:color="auto" w:sz="6" w:space="0"/>
                    <w:bottom w:val="single" w:color="auto" w:sz="6" w:space="0"/>
                    <w:right w:val="single" w:color="auto" w:sz="6" w:space="0"/>
                  </w:tcBorders>
                  <w:vAlign w:val="center"/>
                </w:tcPr>
                <w:p w14:paraId="3E60ECC4">
                  <w:pPr>
                    <w:pStyle w:val="3"/>
                    <w:bidi w:val="0"/>
                    <w:rPr>
                      <w:color w:val="auto"/>
                    </w:rPr>
                  </w:pPr>
                  <w:r>
                    <w:rPr>
                      <w:color w:val="auto"/>
                    </w:rPr>
                    <w:t>桶装</w:t>
                  </w:r>
                </w:p>
              </w:tc>
              <w:tc>
                <w:tcPr>
                  <w:tcW w:w="526" w:type="pct"/>
                  <w:vMerge w:val="continue"/>
                  <w:tcBorders>
                    <w:left w:val="single" w:color="auto" w:sz="6" w:space="0"/>
                    <w:right w:val="nil"/>
                  </w:tcBorders>
                  <w:vAlign w:val="center"/>
                </w:tcPr>
                <w:p w14:paraId="297B299B">
                  <w:pPr>
                    <w:pStyle w:val="3"/>
                    <w:bidi w:val="0"/>
                    <w:rPr>
                      <w:color w:val="auto"/>
                    </w:rPr>
                  </w:pPr>
                </w:p>
              </w:tc>
            </w:tr>
          </w:tbl>
          <w:p w14:paraId="6DEDF1E7">
            <w:pPr>
              <w:pStyle w:val="23"/>
              <w:spacing w:line="360" w:lineRule="auto"/>
              <w:ind w:firstLine="480" w:firstLineChars="200"/>
              <w:rPr>
                <w:rFonts w:hint="eastAsia" w:ascii="Times New Roman" w:eastAsia="等线" w:cs="Times New Roman"/>
                <w:color w:val="auto"/>
                <w:lang w:eastAsia="zh-CN"/>
              </w:rPr>
            </w:pPr>
            <w:r>
              <w:rPr>
                <w:rFonts w:ascii="Times New Roman" w:cs="Times New Roman"/>
                <w:color w:val="auto"/>
              </w:rPr>
              <w:t>本项目危废存放场所的设置必须严格按照《危险废物污染防治技术政策》和《危险废物贮存污染控制标准》（GB18597-20</w:t>
            </w:r>
            <w:r>
              <w:rPr>
                <w:rFonts w:hint="eastAsia" w:ascii="Times New Roman" w:cs="Times New Roman"/>
                <w:color w:val="auto"/>
                <w:lang w:val="en-US" w:eastAsia="zh-CN"/>
              </w:rPr>
              <w:t>23</w:t>
            </w:r>
            <w:r>
              <w:rPr>
                <w:rFonts w:ascii="Times New Roman" w:cs="Times New Roman"/>
                <w:color w:val="auto"/>
              </w:rPr>
              <w:t>），危废转运按照《危险废物转移联单管理办法》进行，最终得到安全处置。危险废物存储和转运过程需满足以下要求：</w:t>
            </w:r>
          </w:p>
          <w:p w14:paraId="6CAEEEAA">
            <w:pPr>
              <w:adjustRightInd w:val="0"/>
              <w:snapToGrid w:val="0"/>
              <w:spacing w:line="360" w:lineRule="auto"/>
              <w:ind w:firstLine="480" w:firstLineChars="200"/>
              <w:rPr>
                <w:rFonts w:hint="eastAsia" w:eastAsia="宋体"/>
                <w:color w:val="auto"/>
                <w:sz w:val="24"/>
                <w:szCs w:val="24"/>
                <w:lang w:eastAsia="zh-CN"/>
              </w:rPr>
            </w:pPr>
            <w:r>
              <w:rPr>
                <w:rFonts w:hint="eastAsia"/>
                <w:color w:val="auto"/>
                <w:sz w:val="24"/>
              </w:rPr>
              <w:t>a.</w:t>
            </w:r>
            <w:r>
              <w:rPr>
                <w:color w:val="auto"/>
                <w:sz w:val="24"/>
              </w:rPr>
              <w:t>分类收集：危险废物应及时收集，并按照类别分别置于防渗漏、防锐器穿透的专用包装物或者密闭的</w:t>
            </w:r>
            <w:r>
              <w:rPr>
                <w:color w:val="auto"/>
                <w:sz w:val="24"/>
                <w:szCs w:val="24"/>
              </w:rPr>
              <w:t>容器内（包装桶）。分类收集危废的塑料袋或容器的材质、规格均应符合国家有关规定的要求。</w:t>
            </w:r>
          </w:p>
          <w:p w14:paraId="6527CDD3">
            <w:pPr>
              <w:adjustRightInd w:val="0"/>
              <w:snapToGrid w:val="0"/>
              <w:spacing w:line="360" w:lineRule="auto"/>
              <w:ind w:firstLine="482"/>
              <w:rPr>
                <w:color w:val="auto"/>
                <w:sz w:val="24"/>
              </w:rPr>
            </w:pPr>
            <w:r>
              <w:rPr>
                <w:rFonts w:hint="eastAsia"/>
                <w:color w:val="auto"/>
                <w:sz w:val="24"/>
                <w:szCs w:val="24"/>
              </w:rPr>
              <w:t>b.</w:t>
            </w:r>
            <w:r>
              <w:rPr>
                <w:color w:val="auto"/>
                <w:sz w:val="24"/>
                <w:szCs w:val="24"/>
              </w:rPr>
              <w:t>暂存：</w:t>
            </w:r>
            <w:r>
              <w:rPr>
                <w:rFonts w:hint="eastAsia" w:eastAsia="宋体" w:cs="Times New Roman"/>
                <w:color w:val="auto"/>
                <w:szCs w:val="24"/>
                <w:lang w:eastAsia="zh-CN"/>
              </w:rPr>
              <w:t>贮存库</w:t>
            </w:r>
            <w:r>
              <w:rPr>
                <w:color w:val="auto"/>
                <w:sz w:val="24"/>
                <w:szCs w:val="24"/>
              </w:rPr>
              <w:t>应符合《危险废物贮存污染控制标准》</w:t>
            </w:r>
            <w:r>
              <w:rPr>
                <w:rFonts w:ascii="Times New Roman" w:cs="Times New Roman"/>
                <w:color w:val="auto"/>
                <w:sz w:val="24"/>
                <w:szCs w:val="24"/>
              </w:rPr>
              <w:t>（GB18597-20</w:t>
            </w:r>
            <w:r>
              <w:rPr>
                <w:rFonts w:hint="eastAsia" w:ascii="Times New Roman" w:cs="Times New Roman"/>
                <w:color w:val="auto"/>
                <w:sz w:val="24"/>
                <w:szCs w:val="24"/>
                <w:lang w:val="en-US" w:eastAsia="zh-CN"/>
              </w:rPr>
              <w:t>23）</w:t>
            </w:r>
            <w:r>
              <w:rPr>
                <w:color w:val="auto"/>
                <w:sz w:val="24"/>
                <w:szCs w:val="24"/>
              </w:rPr>
              <w:t>的环保要求：</w:t>
            </w:r>
            <w:r>
              <w:rPr>
                <w:rFonts w:hint="eastAsia" w:eastAsia="宋体" w:cs="Times New Roman"/>
                <w:color w:val="auto"/>
                <w:szCs w:val="24"/>
                <w:lang w:eastAsia="zh-CN"/>
              </w:rPr>
              <w:t>贮存库</w:t>
            </w:r>
            <w:r>
              <w:rPr>
                <w:color w:val="auto"/>
                <w:sz w:val="24"/>
                <w:szCs w:val="24"/>
              </w:rPr>
              <w:t>地面与裙脚要用坚固、防渗的材料建造，建筑材料必须与危险废物相容；危险废物暂存地面及内墙采取防渗措施，地面作防渗、防漏、防酸碱腐蚀处理，危险废物</w:t>
            </w:r>
            <w:r>
              <w:rPr>
                <w:rFonts w:hint="eastAsia" w:eastAsia="宋体" w:cs="Times New Roman"/>
                <w:color w:val="auto"/>
                <w:szCs w:val="24"/>
                <w:lang w:eastAsia="zh-CN"/>
              </w:rPr>
              <w:t>贮存库</w:t>
            </w:r>
            <w:r>
              <w:rPr>
                <w:rFonts w:hint="eastAsia" w:eastAsia="宋体"/>
                <w:color w:val="auto"/>
                <w:sz w:val="24"/>
                <w:szCs w:val="24"/>
                <w:lang w:eastAsia="zh-CN"/>
              </w:rPr>
              <w:t>设置托盘，托盘容积足够大，保证危险废物不外漏</w:t>
            </w:r>
            <w:r>
              <w:rPr>
                <w:color w:val="auto"/>
                <w:sz w:val="24"/>
                <w:szCs w:val="24"/>
              </w:rPr>
              <w:t>。不</w:t>
            </w:r>
            <w:r>
              <w:rPr>
                <w:color w:val="auto"/>
                <w:sz w:val="24"/>
              </w:rPr>
              <w:t>相容的危险废物必须分开存放，并设有隔离</w:t>
            </w:r>
            <w:r>
              <w:rPr>
                <w:rFonts w:hint="eastAsia" w:eastAsia="宋体"/>
                <w:color w:val="auto"/>
                <w:sz w:val="24"/>
                <w:lang w:eastAsia="zh-CN"/>
              </w:rPr>
              <w:t>间隔</w:t>
            </w:r>
            <w:r>
              <w:rPr>
                <w:color w:val="auto"/>
                <w:sz w:val="24"/>
              </w:rPr>
              <w:t>。</w:t>
            </w:r>
          </w:p>
          <w:p w14:paraId="00EF5D9F">
            <w:pPr>
              <w:adjustRightInd w:val="0"/>
              <w:snapToGrid w:val="0"/>
              <w:spacing w:line="360" w:lineRule="auto"/>
              <w:ind w:firstLine="482"/>
              <w:rPr>
                <w:color w:val="auto"/>
                <w:sz w:val="24"/>
              </w:rPr>
            </w:pPr>
            <w:r>
              <w:rPr>
                <w:rFonts w:hint="eastAsia"/>
                <w:color w:val="auto"/>
                <w:sz w:val="24"/>
              </w:rPr>
              <w:t>c.</w:t>
            </w:r>
            <w:r>
              <w:rPr>
                <w:color w:val="auto"/>
                <w:sz w:val="24"/>
              </w:rPr>
              <w:t>转运：内部转运应当使用防渗漏、防遗撒的专用运送工具。转运尽量选择人少的时间转运，转运过程中正确装卸，避免遗撒。转运工作人员做好个人保护措施。</w:t>
            </w:r>
          </w:p>
          <w:p w14:paraId="689369CE">
            <w:pPr>
              <w:adjustRightInd w:val="0"/>
              <w:snapToGrid w:val="0"/>
              <w:spacing w:line="360" w:lineRule="auto"/>
              <w:ind w:firstLine="482"/>
              <w:rPr>
                <w:color w:val="auto"/>
                <w:sz w:val="24"/>
              </w:rPr>
            </w:pPr>
            <w:r>
              <w:rPr>
                <w:rFonts w:hint="eastAsia"/>
                <w:color w:val="auto"/>
                <w:sz w:val="24"/>
              </w:rPr>
              <w:t>d.</w:t>
            </w:r>
            <w:r>
              <w:rPr>
                <w:color w:val="auto"/>
                <w:sz w:val="24"/>
              </w:rPr>
              <w:t>做好危废转移记录及相关转移联单，制定环保管理制度。</w:t>
            </w:r>
          </w:p>
          <w:p w14:paraId="107FF810">
            <w:pPr>
              <w:adjustRightInd w:val="0"/>
              <w:snapToGrid w:val="0"/>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②</w:t>
            </w:r>
            <w:r>
              <w:rPr>
                <w:rFonts w:hint="eastAsia" w:ascii="宋体" w:hAnsi="宋体" w:eastAsia="宋体" w:cs="宋体"/>
                <w:color w:val="auto"/>
                <w:sz w:val="24"/>
                <w:lang w:eastAsia="zh-CN"/>
              </w:rPr>
              <w:t>一般工业固废</w:t>
            </w:r>
          </w:p>
          <w:p w14:paraId="62DAF0E9">
            <w:pPr>
              <w:adjustRightInd w:val="0"/>
              <w:snapToGrid w:val="0"/>
              <w:spacing w:line="360" w:lineRule="auto"/>
              <w:ind w:firstLine="480" w:firstLineChars="200"/>
              <w:rPr>
                <w:rFonts w:hint="default" w:eastAsia="宋体"/>
                <w:color w:val="auto"/>
                <w:lang w:val="en-US" w:eastAsia="zh-CN"/>
              </w:rPr>
            </w:pPr>
            <w:r>
              <w:rPr>
                <w:rFonts w:hint="eastAsia" w:eastAsia="宋体"/>
                <w:color w:val="auto"/>
                <w:lang w:eastAsia="zh-CN"/>
              </w:rPr>
              <w:t>本项目产生的一般工业固废依托厂区现有豆梗暂存间（</w:t>
            </w:r>
            <w:r>
              <w:rPr>
                <w:rFonts w:hint="eastAsia" w:eastAsia="宋体"/>
                <w:color w:val="auto"/>
                <w:lang w:val="en-US" w:eastAsia="zh-CN"/>
              </w:rPr>
              <w:t>TS007</w:t>
            </w:r>
            <w:r>
              <w:rPr>
                <w:rFonts w:hint="eastAsia" w:eastAsia="宋体"/>
                <w:color w:val="auto"/>
                <w:lang w:eastAsia="zh-CN"/>
              </w:rPr>
              <w:t>）、废铁暂存间（</w:t>
            </w:r>
            <w:r>
              <w:rPr>
                <w:rFonts w:hint="eastAsia" w:eastAsia="宋体"/>
                <w:color w:val="auto"/>
                <w:lang w:val="en-US" w:eastAsia="zh-CN"/>
              </w:rPr>
              <w:t>TS009</w:t>
            </w:r>
            <w:r>
              <w:rPr>
                <w:rFonts w:hint="eastAsia" w:eastAsia="宋体"/>
                <w:color w:val="auto"/>
                <w:lang w:eastAsia="zh-CN"/>
              </w:rPr>
              <w:t>）暂存后，豆梗暂存间、废铁暂存间设置在厂区东南角，建筑面积分别为</w:t>
            </w:r>
            <w:r>
              <w:rPr>
                <w:rFonts w:hint="eastAsia" w:eastAsia="宋体"/>
                <w:color w:val="auto"/>
                <w:lang w:val="en-US" w:eastAsia="zh-CN"/>
              </w:rPr>
              <w:t>33.45m</w:t>
            </w:r>
            <w:r>
              <w:rPr>
                <w:rFonts w:hint="eastAsia" w:eastAsia="宋体"/>
                <w:color w:val="auto"/>
                <w:vertAlign w:val="superscript"/>
                <w:lang w:val="en-US" w:eastAsia="zh-CN"/>
              </w:rPr>
              <w:t>2</w:t>
            </w:r>
            <w:r>
              <w:rPr>
                <w:rFonts w:hint="eastAsia" w:eastAsia="宋体"/>
                <w:color w:val="auto"/>
                <w:lang w:val="en-US" w:eastAsia="zh-CN"/>
              </w:rPr>
              <w:t>、500m</w:t>
            </w:r>
            <w:r>
              <w:rPr>
                <w:rFonts w:hint="eastAsia" w:eastAsia="宋体"/>
                <w:color w:val="auto"/>
                <w:vertAlign w:val="superscript"/>
                <w:lang w:val="en-US" w:eastAsia="zh-CN"/>
              </w:rPr>
              <w:t>2</w:t>
            </w:r>
            <w:r>
              <w:rPr>
                <w:rFonts w:hint="eastAsia" w:eastAsia="宋体"/>
                <w:color w:val="auto"/>
                <w:lang w:val="en-US" w:eastAsia="zh-CN"/>
              </w:rPr>
              <w:t>，一般工业固废经暂存后送一般工业固废填埋场填埋。</w:t>
            </w:r>
          </w:p>
          <w:p w14:paraId="73EAEC82">
            <w:pPr>
              <w:pStyle w:val="23"/>
              <w:ind w:left="0" w:leftChars="0" w:firstLine="0" w:firstLineChars="0"/>
              <w:rPr>
                <w:rFonts w:hint="default" w:ascii="Times New Roman" w:cs="Times New Roman"/>
                <w:b/>
                <w:bCs/>
                <w:color w:val="auto"/>
                <w:lang w:val="en-US" w:eastAsia="zh-CN"/>
              </w:rPr>
            </w:pPr>
            <w:r>
              <w:rPr>
                <w:rFonts w:hint="eastAsia" w:ascii="Times New Roman" w:cs="Times New Roman"/>
                <w:b/>
                <w:bCs/>
                <w:color w:val="auto"/>
                <w:lang w:val="en-US" w:eastAsia="zh-CN"/>
              </w:rPr>
              <w:t>6.地下水、土壤</w:t>
            </w:r>
          </w:p>
          <w:p w14:paraId="07537EC5">
            <w:pPr>
              <w:widowControl/>
              <w:adjustRightInd w:val="0"/>
              <w:snapToGrid w:val="0"/>
              <w:spacing w:line="360" w:lineRule="auto"/>
              <w:ind w:firstLine="480" w:firstLineChars="200"/>
              <w:rPr>
                <w:color w:val="auto"/>
                <w:sz w:val="24"/>
              </w:rPr>
            </w:pPr>
            <w:r>
              <w:rPr>
                <w:rFonts w:hint="eastAsia" w:eastAsia="宋体"/>
                <w:color w:val="auto"/>
                <w:kern w:val="0"/>
                <w:sz w:val="24"/>
                <w:lang w:eastAsia="zh-CN" w:bidi="ar"/>
              </w:rPr>
              <w:t>本项目利用现有生产厂房进行扩建，涉及的原辅材料储存、产品储存、固体废物的暂存以及生产废水的处理均依托厂区现有设施。根据</w:t>
            </w:r>
            <w:r>
              <w:rPr>
                <w:rFonts w:hint="default" w:ascii="Times New Roman" w:hAnsi="Times New Roman" w:eastAsia="宋体" w:cs="Times New Roman"/>
                <w:b w:val="0"/>
                <w:bCs/>
                <w:color w:val="auto"/>
                <w:kern w:val="2"/>
                <w:sz w:val="24"/>
                <w:szCs w:val="24"/>
                <w:lang w:val="en-US" w:eastAsia="zh-CN" w:bidi="ar-SA"/>
              </w:rPr>
              <w:t>《</w:t>
            </w:r>
            <w:r>
              <w:rPr>
                <w:rFonts w:hint="default" w:ascii="Times New Roman" w:hAnsi="Times New Roman" w:eastAsia="宋体" w:cs="Times New Roman"/>
                <w:b w:val="0"/>
                <w:bCs/>
                <w:color w:val="auto"/>
                <w:sz w:val="24"/>
                <w:szCs w:val="24"/>
              </w:rPr>
              <w:t>重庆市涪陵区龙桥镇中粮油脂（重庆）有限公司2020年技改项目竣工环境保护验收监测报告表</w:t>
            </w:r>
            <w:r>
              <w:rPr>
                <w:rFonts w:hint="default" w:ascii="Times New Roman" w:hAnsi="Times New Roman" w:eastAsia="宋体" w:cs="Times New Roman"/>
                <w:b w:val="0"/>
                <w:bCs/>
                <w:color w:val="auto"/>
                <w:kern w:val="2"/>
                <w:sz w:val="24"/>
                <w:szCs w:val="24"/>
                <w:lang w:val="en-US" w:eastAsia="zh-CN" w:bidi="ar-SA"/>
              </w:rPr>
              <w:t>》</w:t>
            </w:r>
            <w:r>
              <w:rPr>
                <w:rFonts w:hint="eastAsia" w:ascii="Times New Roman" w:hAnsi="Times New Roman" w:eastAsia="宋体" w:cs="Times New Roman"/>
                <w:b w:val="0"/>
                <w:bCs/>
                <w:color w:val="auto"/>
                <w:kern w:val="2"/>
                <w:sz w:val="24"/>
                <w:szCs w:val="24"/>
                <w:lang w:val="en-US" w:eastAsia="zh-CN" w:bidi="ar-SA"/>
              </w:rPr>
              <w:t>，现有工程已根据</w:t>
            </w:r>
            <w:r>
              <w:rPr>
                <w:color w:val="auto"/>
                <w:kern w:val="0"/>
                <w:sz w:val="24"/>
                <w:lang w:bidi="ar"/>
              </w:rPr>
              <w:t>《环境影响评价技术导则</w:t>
            </w:r>
            <w:r>
              <w:rPr>
                <w:rFonts w:hint="eastAsia"/>
                <w:color w:val="auto"/>
                <w:kern w:val="0"/>
                <w:sz w:val="24"/>
                <w:lang w:bidi="ar"/>
              </w:rPr>
              <w:t>—</w:t>
            </w:r>
            <w:r>
              <w:rPr>
                <w:color w:val="auto"/>
                <w:kern w:val="0"/>
                <w:sz w:val="24"/>
                <w:lang w:bidi="ar"/>
              </w:rPr>
              <w:t>地下水环境》（HJ610-2016）中“地下水环境保护措施及对策”的相关内容，并参照《危险废物填埋污染控制标准》（GB18598-20</w:t>
            </w:r>
            <w:r>
              <w:rPr>
                <w:rFonts w:hint="eastAsia"/>
                <w:color w:val="auto"/>
                <w:kern w:val="0"/>
                <w:sz w:val="24"/>
                <w:lang w:val="en-US" w:eastAsia="zh-CN" w:bidi="ar"/>
              </w:rPr>
              <w:t>23</w:t>
            </w:r>
            <w:r>
              <w:rPr>
                <w:color w:val="auto"/>
                <w:kern w:val="0"/>
                <w:sz w:val="24"/>
                <w:lang w:bidi="ar"/>
              </w:rPr>
              <w:t>）</w:t>
            </w:r>
            <w:r>
              <w:rPr>
                <w:rFonts w:hint="eastAsia" w:eastAsia="宋体"/>
                <w:color w:val="auto"/>
                <w:kern w:val="0"/>
                <w:sz w:val="24"/>
                <w:lang w:eastAsia="zh-CN" w:bidi="ar"/>
              </w:rPr>
              <w:t>，</w:t>
            </w:r>
            <w:r>
              <w:rPr>
                <w:rFonts w:hint="eastAsia" w:ascii="Times New Roman" w:hAnsi="Times New Roman" w:eastAsia="宋体" w:cs="Times New Roman"/>
                <w:b w:val="0"/>
                <w:bCs/>
                <w:color w:val="auto"/>
                <w:kern w:val="2"/>
                <w:sz w:val="24"/>
                <w:szCs w:val="24"/>
                <w:lang w:val="en-US" w:eastAsia="zh-CN" w:bidi="ar-SA"/>
              </w:rPr>
              <w:t>采取分区防渗措施，其中重点防渗区包括：各储</w:t>
            </w:r>
            <w:r>
              <w:rPr>
                <w:rFonts w:hint="eastAsia" w:ascii="Times New Roman" w:hAnsi="Times New Roman" w:cs="Times New Roman"/>
                <w:bCs/>
                <w:color w:val="auto"/>
                <w:kern w:val="0"/>
                <w:sz w:val="24"/>
                <w:lang w:eastAsia="zh-CN"/>
              </w:rPr>
              <w:t>罐区围堰、</w:t>
            </w:r>
            <w:r>
              <w:rPr>
                <w:rFonts w:hint="default" w:ascii="Times New Roman" w:hAnsi="Times New Roman" w:cs="Times New Roman"/>
                <w:bCs/>
                <w:color w:val="auto"/>
                <w:kern w:val="0"/>
                <w:sz w:val="24"/>
              </w:rPr>
              <w:t>精炼车间、浸出车间、</w:t>
            </w:r>
            <w:r>
              <w:rPr>
                <w:rFonts w:hint="eastAsia" w:ascii="Times New Roman" w:hAnsi="Times New Roman" w:eastAsia="宋体" w:cs="Times New Roman"/>
                <w:bCs/>
                <w:color w:val="auto"/>
                <w:kern w:val="0"/>
                <w:sz w:val="24"/>
                <w:lang w:eastAsia="zh-CN"/>
              </w:rPr>
              <w:t>品控室、</w:t>
            </w:r>
            <w:r>
              <w:rPr>
                <w:rFonts w:hint="default" w:ascii="Times New Roman" w:hAnsi="Times New Roman" w:cs="Times New Roman"/>
                <w:bCs/>
                <w:color w:val="auto"/>
                <w:kern w:val="0"/>
                <w:sz w:val="24"/>
              </w:rPr>
              <w:t>包装车间、</w:t>
            </w:r>
            <w:r>
              <w:rPr>
                <w:rFonts w:hint="eastAsia" w:ascii="Times New Roman" w:hAnsi="Times New Roman" w:eastAsia="宋体" w:cs="Times New Roman"/>
                <w:bCs/>
                <w:color w:val="auto"/>
                <w:kern w:val="0"/>
                <w:sz w:val="24"/>
                <w:lang w:eastAsia="zh-CN"/>
              </w:rPr>
              <w:t>危险废物贮存库、综合污水处理站；一般防渗区包括：预处理车间、</w:t>
            </w:r>
            <w:r>
              <w:rPr>
                <w:rFonts w:hint="default" w:ascii="Times New Roman" w:hAnsi="Times New Roman" w:cs="Times New Roman"/>
                <w:bCs/>
                <w:color w:val="auto"/>
                <w:kern w:val="0"/>
                <w:sz w:val="24"/>
              </w:rPr>
              <w:t>一般工业固体废物暂存区</w:t>
            </w:r>
            <w:r>
              <w:rPr>
                <w:rFonts w:hint="eastAsia" w:ascii="Times New Roman" w:hAnsi="Times New Roman" w:eastAsia="宋体" w:cs="Times New Roman"/>
                <w:bCs/>
                <w:color w:val="auto"/>
                <w:kern w:val="0"/>
                <w:sz w:val="24"/>
                <w:lang w:eastAsia="zh-CN"/>
              </w:rPr>
              <w:t>；简单防渗区包括：</w:t>
            </w:r>
            <w:r>
              <w:rPr>
                <w:rFonts w:hint="default" w:ascii="Times New Roman" w:hAnsi="Times New Roman" w:cs="Times New Roman"/>
                <w:color w:val="auto"/>
                <w:sz w:val="24"/>
                <w:szCs w:val="24"/>
              </w:rPr>
              <w:t>杂物区及办公区</w:t>
            </w:r>
            <w:r>
              <w:rPr>
                <w:rFonts w:hint="eastAsia" w:ascii="Times New Roman" w:hAnsi="Times New Roman" w:eastAsia="宋体" w:cs="Times New Roman"/>
                <w:color w:val="auto"/>
                <w:sz w:val="24"/>
                <w:szCs w:val="24"/>
                <w:lang w:eastAsia="zh-CN"/>
              </w:rPr>
              <w:t>。厂区的</w:t>
            </w:r>
            <w:r>
              <w:rPr>
                <w:color w:val="auto"/>
                <w:kern w:val="0"/>
                <w:sz w:val="24"/>
                <w:lang w:bidi="ar"/>
              </w:rPr>
              <w:t>地下水</w:t>
            </w:r>
            <w:r>
              <w:rPr>
                <w:rFonts w:hint="eastAsia" w:eastAsia="宋体"/>
                <w:color w:val="auto"/>
                <w:kern w:val="0"/>
                <w:sz w:val="24"/>
                <w:lang w:eastAsia="zh-CN" w:bidi="ar"/>
              </w:rPr>
              <w:t>、土壤</w:t>
            </w:r>
            <w:r>
              <w:rPr>
                <w:color w:val="auto"/>
                <w:kern w:val="0"/>
                <w:sz w:val="24"/>
                <w:lang w:bidi="ar"/>
              </w:rPr>
              <w:t>污染防渗措施以水平防渗为主，</w:t>
            </w:r>
            <w:r>
              <w:rPr>
                <w:rFonts w:hint="eastAsia"/>
                <w:color w:val="auto"/>
                <w:kern w:val="0"/>
                <w:sz w:val="24"/>
                <w:lang w:bidi="ar"/>
              </w:rPr>
              <w:t>具体分区防渗措施</w:t>
            </w:r>
            <w:r>
              <w:rPr>
                <w:color w:val="auto"/>
                <w:kern w:val="0"/>
                <w:sz w:val="24"/>
                <w:lang w:bidi="ar"/>
              </w:rPr>
              <w:t>如下：</w:t>
            </w:r>
          </w:p>
          <w:p w14:paraId="38804395">
            <w:pPr>
              <w:bidi w:val="0"/>
              <w:rPr>
                <w:rFonts w:hint="default"/>
                <w:color w:val="auto"/>
              </w:rPr>
            </w:pPr>
            <w:r>
              <w:rPr>
                <w:rFonts w:hint="default"/>
                <w:color w:val="auto"/>
                <w:lang w:eastAsia="zh-CN"/>
              </w:rPr>
              <w:t>（</w:t>
            </w:r>
            <w:r>
              <w:rPr>
                <w:rFonts w:hint="default"/>
                <w:color w:val="auto"/>
                <w:lang w:val="en-US" w:eastAsia="zh-CN"/>
              </w:rPr>
              <w:t>1</w:t>
            </w:r>
            <w:r>
              <w:rPr>
                <w:rFonts w:hint="default"/>
                <w:color w:val="auto"/>
                <w:lang w:eastAsia="zh-CN"/>
              </w:rPr>
              <w:t>）</w:t>
            </w:r>
            <w:r>
              <w:rPr>
                <w:rFonts w:hint="default"/>
                <w:color w:val="auto"/>
              </w:rPr>
              <w:t>重点防渗区</w:t>
            </w:r>
          </w:p>
          <w:p w14:paraId="6D874B71">
            <w:pPr>
              <w:bidi w:val="0"/>
              <w:rPr>
                <w:rFonts w:hint="default"/>
                <w:color w:val="auto"/>
              </w:rPr>
            </w:pPr>
            <w:r>
              <w:rPr>
                <w:rFonts w:hint="default"/>
                <w:color w:val="auto"/>
              </w:rPr>
              <w:t>重点防渗区地坪防渗性能要求为渗透系数小于10</w:t>
            </w:r>
            <w:r>
              <w:rPr>
                <w:rFonts w:hint="default"/>
                <w:color w:val="auto"/>
                <w:vertAlign w:val="superscript"/>
              </w:rPr>
              <w:t>-7</w:t>
            </w:r>
            <w:r>
              <w:rPr>
                <w:rFonts w:hint="default"/>
                <w:color w:val="auto"/>
              </w:rPr>
              <w:t>cm/s，等效粘土层厚度不小于6m，防渗措施如下：</w:t>
            </w:r>
          </w:p>
          <w:p w14:paraId="520ABEE5">
            <w:pPr>
              <w:bidi w:val="0"/>
              <w:rPr>
                <w:rFonts w:hint="default" w:ascii="Times New Roman" w:hAnsi="Times New Roman" w:cs="Times New Roman"/>
                <w:color w:val="auto"/>
                <w:kern w:val="0"/>
                <w:lang w:bidi="ar"/>
              </w:rPr>
            </w:pPr>
            <w:r>
              <w:rPr>
                <w:rFonts w:hint="default"/>
                <w:color w:val="auto"/>
              </w:rPr>
              <w:t>①</w:t>
            </w:r>
            <w:r>
              <w:rPr>
                <w:rFonts w:hint="eastAsia"/>
                <w:color w:val="auto"/>
                <w:lang w:eastAsia="zh-CN"/>
              </w:rPr>
              <w:t>重点防渗区</w:t>
            </w:r>
            <w:r>
              <w:rPr>
                <w:rFonts w:hint="default"/>
                <w:color w:val="auto"/>
              </w:rPr>
              <w:t>地面及裙角采用特殊防腐、防渗处理，经防渗处理后等效黏土防渗层Mb≥6.0m，渗透系数≤1.0×10-7cm/s。耐久性应符合现行国家标准《混凝土结构设计规范》（GB50010）的有关规定：混</w:t>
            </w:r>
            <w:r>
              <w:rPr>
                <w:rFonts w:hint="default" w:ascii="Times New Roman" w:hAnsi="Times New Roman" w:cs="Times New Roman"/>
                <w:color w:val="auto"/>
                <w:kern w:val="0"/>
                <w:lang w:bidi="ar"/>
              </w:rPr>
              <w:t>凝土强度等级不宜低于C30；结构厚度不应小于250mm；混凝土的抗渗等级不应低于P8，且水池的内表面应涂刷水泥基渗透结晶型或喷涂聚脲等防水涂料，或在混凝土内掺加水泥基渗透结晶型防水剂；水泥基渗透结晶型防水涂料厚度不应小于1.0mm，喷涂聚脲防水涂料厚度不应小于1.5mm；当混凝土内掺加水泥基渗透结晶型防水剂时，掺量宜为胶凝材料总量的1%~2%。</w:t>
            </w:r>
            <w:r>
              <w:rPr>
                <w:rFonts w:hint="eastAsia" w:ascii="Times New Roman" w:hAnsi="Times New Roman" w:eastAsia="宋体" w:cs="Times New Roman"/>
                <w:color w:val="auto"/>
                <w:kern w:val="0"/>
                <w:lang w:eastAsia="zh-CN" w:bidi="ar"/>
              </w:rPr>
              <w:t>品控室</w:t>
            </w:r>
            <w:r>
              <w:rPr>
                <w:rFonts w:hint="default" w:ascii="Times New Roman" w:hAnsi="Times New Roman" w:cs="Times New Roman"/>
                <w:color w:val="auto"/>
                <w:kern w:val="0"/>
                <w:lang w:bidi="ar"/>
              </w:rPr>
              <w:t>设置专用桶进行</w:t>
            </w:r>
            <w:r>
              <w:rPr>
                <w:rFonts w:hint="default" w:ascii="Times New Roman" w:hAnsi="Times New Roman" w:eastAsia="宋体" w:cs="Times New Roman"/>
                <w:color w:val="auto"/>
                <w:kern w:val="0"/>
                <w:lang w:eastAsia="zh-CN" w:bidi="ar"/>
              </w:rPr>
              <w:t>收集</w:t>
            </w:r>
            <w:r>
              <w:rPr>
                <w:rFonts w:hint="default" w:ascii="Times New Roman" w:hAnsi="Times New Roman" w:cs="Times New Roman"/>
                <w:color w:val="auto"/>
                <w:kern w:val="0"/>
                <w:lang w:bidi="ar"/>
              </w:rPr>
              <w:t>（随时观察收集量，并及时转运、更换收集桶）。</w:t>
            </w:r>
          </w:p>
          <w:p w14:paraId="090E937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eastAsia="宋体"/>
                <w:color w:val="auto"/>
                <w:sz w:val="24"/>
                <w:lang w:val="en-US" w:eastAsia="zh-CN"/>
              </w:rPr>
            </w:pPr>
            <w:r>
              <w:rPr>
                <w:rFonts w:hint="default" w:ascii="Times New Roman" w:hAnsi="Times New Roman" w:eastAsia="微软雅黑" w:cs="Times New Roman"/>
                <w:color w:val="auto"/>
                <w:kern w:val="0"/>
                <w:sz w:val="24"/>
                <w:lang w:bidi="ar"/>
              </w:rPr>
              <w:t>②</w:t>
            </w:r>
            <w:r>
              <w:rPr>
                <w:rFonts w:hint="default" w:ascii="Times New Roman" w:hAnsi="Times New Roman" w:cs="Times New Roman"/>
                <w:color w:val="auto"/>
                <w:kern w:val="0"/>
                <w:sz w:val="24"/>
                <w:lang w:bidi="ar"/>
              </w:rPr>
              <w:t>危险废物</w:t>
            </w:r>
            <w:r>
              <w:rPr>
                <w:rFonts w:hint="eastAsia" w:eastAsia="宋体" w:cs="Times New Roman"/>
                <w:color w:val="auto"/>
                <w:szCs w:val="24"/>
                <w:lang w:eastAsia="zh-CN"/>
              </w:rPr>
              <w:t>贮存库</w:t>
            </w:r>
            <w:r>
              <w:rPr>
                <w:rFonts w:hint="default" w:ascii="Times New Roman" w:hAnsi="Times New Roman" w:cs="Times New Roman"/>
                <w:color w:val="auto"/>
                <w:kern w:val="0"/>
                <w:sz w:val="24"/>
                <w:lang w:bidi="ar"/>
              </w:rPr>
              <w:t>参照《危险废物贮存污染控制标准》（GB18597-20</w:t>
            </w:r>
            <w:r>
              <w:rPr>
                <w:rFonts w:hint="default" w:ascii="Times New Roman" w:hAnsi="Times New Roman" w:cs="Times New Roman"/>
                <w:color w:val="auto"/>
                <w:kern w:val="0"/>
                <w:sz w:val="24"/>
                <w:lang w:val="en-US" w:eastAsia="zh-CN" w:bidi="ar"/>
              </w:rPr>
              <w:t>23</w:t>
            </w:r>
            <w:r>
              <w:rPr>
                <w:rFonts w:hint="default" w:ascii="Times New Roman" w:hAnsi="Times New Roman" w:cs="Times New Roman"/>
                <w:color w:val="auto"/>
                <w:kern w:val="0"/>
                <w:sz w:val="24"/>
                <w:lang w:bidi="ar"/>
              </w:rPr>
              <w:t>），并结合危险废物类别进行分区。危险废物</w:t>
            </w:r>
            <w:r>
              <w:rPr>
                <w:rFonts w:hint="eastAsia" w:eastAsia="宋体" w:cs="Times New Roman"/>
                <w:color w:val="auto"/>
                <w:szCs w:val="24"/>
                <w:lang w:eastAsia="zh-CN"/>
              </w:rPr>
              <w:t>贮存库</w:t>
            </w:r>
            <w:r>
              <w:rPr>
                <w:rFonts w:hint="default" w:ascii="Times New Roman" w:hAnsi="Times New Roman" w:cs="Times New Roman"/>
                <w:color w:val="auto"/>
                <w:kern w:val="0"/>
                <w:sz w:val="24"/>
                <w:lang w:bidi="ar"/>
              </w:rPr>
              <w:t>设置收集沟、收集井；液态危废暂存区域围堰内铺设厚度约2mm的高密度聚乙烯膜进一步防渗，内设专用容器对各类废液进行分类收集暂存</w:t>
            </w:r>
            <w:r>
              <w:rPr>
                <w:color w:val="auto"/>
                <w:kern w:val="0"/>
                <w:sz w:val="24"/>
                <w:lang w:bidi="ar"/>
              </w:rPr>
              <w:t>。</w:t>
            </w:r>
          </w:p>
          <w:p w14:paraId="46D1DCB8">
            <w:pPr>
              <w:widowControl/>
              <w:adjustRightInd w:val="0"/>
              <w:snapToGrid w:val="0"/>
              <w:spacing w:line="360" w:lineRule="auto"/>
              <w:ind w:firstLine="480" w:firstLineChars="200"/>
              <w:rPr>
                <w:rFonts w:hint="default" w:ascii="Times New Roman" w:hAnsi="Times New Roman" w:eastAsia="宋体" w:cs="Times New Roman"/>
                <w:color w:val="auto"/>
                <w:kern w:val="0"/>
                <w:sz w:val="24"/>
                <w:lang w:eastAsia="zh-CN" w:bidi="ar"/>
              </w:rPr>
            </w:pPr>
            <w:r>
              <w:rPr>
                <w:rFonts w:hint="default" w:ascii="Times New Roman" w:hAnsi="Times New Roman" w:eastAsia="宋体" w:cs="Times New Roman"/>
                <w:color w:val="auto"/>
                <w:kern w:val="0"/>
                <w:sz w:val="24"/>
                <w:lang w:eastAsia="zh-CN" w:bidi="ar"/>
              </w:rPr>
              <w:t>（</w:t>
            </w:r>
            <w:r>
              <w:rPr>
                <w:rFonts w:hint="default" w:ascii="Times New Roman" w:hAnsi="Times New Roman" w:eastAsia="宋体" w:cs="Times New Roman"/>
                <w:color w:val="auto"/>
                <w:kern w:val="0"/>
                <w:sz w:val="24"/>
                <w:lang w:val="en-US" w:eastAsia="zh-CN" w:bidi="ar"/>
              </w:rPr>
              <w:t>2</w:t>
            </w:r>
            <w:r>
              <w:rPr>
                <w:rFonts w:hint="default" w:ascii="Times New Roman" w:hAnsi="Times New Roman" w:eastAsia="宋体" w:cs="Times New Roman"/>
                <w:color w:val="auto"/>
                <w:kern w:val="0"/>
                <w:sz w:val="24"/>
                <w:lang w:eastAsia="zh-CN" w:bidi="ar"/>
              </w:rPr>
              <w:t>）一般防渗区</w:t>
            </w:r>
          </w:p>
          <w:p w14:paraId="38D2ED11">
            <w:pPr>
              <w:adjustRightInd w:val="0"/>
              <w:snapToGrid w:val="0"/>
              <w:spacing w:line="360" w:lineRule="auto"/>
              <w:ind w:firstLine="480" w:firstLineChars="200"/>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bCs/>
                <w:color w:val="auto"/>
                <w:kern w:val="0"/>
                <w:sz w:val="24"/>
                <w:lang w:eastAsia="zh-CN"/>
              </w:rPr>
              <w:t>预处理车间、</w:t>
            </w:r>
            <w:r>
              <w:rPr>
                <w:rFonts w:hint="default" w:ascii="Times New Roman" w:hAnsi="Times New Roman" w:cs="Times New Roman"/>
                <w:bCs/>
                <w:color w:val="auto"/>
                <w:kern w:val="0"/>
                <w:sz w:val="24"/>
              </w:rPr>
              <w:t>一般工业固体废物暂存区</w:t>
            </w:r>
            <w:r>
              <w:rPr>
                <w:rFonts w:hint="default" w:ascii="Times New Roman" w:hAnsi="Times New Roman" w:cs="Times New Roman"/>
                <w:color w:val="auto"/>
                <w:kern w:val="0"/>
                <w:sz w:val="24"/>
              </w:rPr>
              <w:t>作为一般防渗区，地坪防渗性能要求为等效黏土防渗层Mb≥1.5m，K≤1×10</w:t>
            </w:r>
            <w:r>
              <w:rPr>
                <w:rFonts w:hint="default" w:ascii="Times New Roman" w:hAnsi="Times New Roman" w:cs="Times New Roman"/>
                <w:color w:val="auto"/>
                <w:kern w:val="0"/>
                <w:sz w:val="24"/>
                <w:vertAlign w:val="superscript"/>
              </w:rPr>
              <w:t>-7</w:t>
            </w:r>
            <w:r>
              <w:rPr>
                <w:rFonts w:hint="default" w:ascii="Times New Roman" w:hAnsi="Times New Roman" w:cs="Times New Roman"/>
                <w:color w:val="auto"/>
                <w:kern w:val="0"/>
                <w:sz w:val="24"/>
              </w:rPr>
              <w:t>cm/s。</w:t>
            </w:r>
            <w:r>
              <w:rPr>
                <w:rFonts w:hint="eastAsia" w:ascii="Times New Roman" w:hAnsi="Times New Roman" w:eastAsia="宋体" w:cs="Times New Roman"/>
                <w:bCs/>
                <w:color w:val="auto"/>
                <w:kern w:val="0"/>
                <w:sz w:val="24"/>
                <w:lang w:eastAsia="zh-CN"/>
              </w:rPr>
              <w:t>预处理车间、</w:t>
            </w:r>
            <w:r>
              <w:rPr>
                <w:rFonts w:hint="default" w:ascii="Times New Roman" w:hAnsi="Times New Roman" w:cs="Times New Roman"/>
                <w:color w:val="auto"/>
                <w:kern w:val="0"/>
                <w:sz w:val="24"/>
                <w:lang w:val="en-US" w:eastAsia="zh-CN"/>
              </w:rPr>
              <w:t>一般固废暂存间</w:t>
            </w:r>
            <w:r>
              <w:rPr>
                <w:rFonts w:hint="default" w:ascii="Times New Roman" w:hAnsi="Times New Roman" w:cs="Times New Roman"/>
                <w:color w:val="auto"/>
                <w:kern w:val="0"/>
                <w:sz w:val="24"/>
              </w:rPr>
              <w:t>地坪为混凝土地坪，满足一般防渗区防渗要求。</w:t>
            </w:r>
          </w:p>
          <w:p w14:paraId="2815310B">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eastAsia="新宋体" w:cs="Times New Roman"/>
                <w:color w:val="auto"/>
                <w:kern w:val="0"/>
                <w:sz w:val="24"/>
                <w:szCs w:val="24"/>
                <w:lang w:eastAsia="zh-CN" w:bidi="ar"/>
              </w:rPr>
              <w:t>（</w:t>
            </w:r>
            <w:r>
              <w:rPr>
                <w:rFonts w:hint="default" w:ascii="Times New Roman" w:hAnsi="Times New Roman" w:eastAsia="新宋体" w:cs="Times New Roman"/>
                <w:color w:val="auto"/>
                <w:kern w:val="0"/>
                <w:sz w:val="24"/>
                <w:szCs w:val="24"/>
                <w:lang w:val="en-US" w:eastAsia="zh-CN" w:bidi="ar"/>
              </w:rPr>
              <w:t>3</w:t>
            </w:r>
            <w:r>
              <w:rPr>
                <w:rFonts w:hint="default" w:ascii="Times New Roman" w:hAnsi="Times New Roman" w:eastAsia="新宋体" w:cs="Times New Roman"/>
                <w:color w:val="auto"/>
                <w:kern w:val="0"/>
                <w:sz w:val="24"/>
                <w:szCs w:val="24"/>
                <w:lang w:eastAsia="zh-CN" w:bidi="ar"/>
              </w:rPr>
              <w:t>）简</w:t>
            </w:r>
            <w:r>
              <w:rPr>
                <w:rFonts w:hint="default" w:ascii="Times New Roman" w:hAnsi="Times New Roman" w:eastAsia="宋体" w:cs="Times New Roman"/>
                <w:color w:val="auto"/>
                <w:kern w:val="0"/>
                <w:sz w:val="24"/>
                <w:lang w:eastAsia="zh-CN" w:bidi="ar"/>
              </w:rPr>
              <w:t>单防渗</w:t>
            </w:r>
            <w:r>
              <w:rPr>
                <w:rFonts w:hint="default" w:ascii="Times New Roman" w:hAnsi="Times New Roman" w:cs="Times New Roman"/>
                <w:color w:val="auto"/>
                <w:kern w:val="0"/>
                <w:sz w:val="24"/>
                <w:lang w:bidi="ar"/>
              </w:rPr>
              <w:t>区</w:t>
            </w:r>
          </w:p>
          <w:p w14:paraId="57DCE87F">
            <w:pPr>
              <w:widowControl/>
              <w:adjustRightInd w:val="0"/>
              <w:snapToGrid w:val="0"/>
              <w:spacing w:line="360" w:lineRule="auto"/>
              <w:ind w:firstLine="480" w:firstLineChars="200"/>
              <w:rPr>
                <w:rFonts w:hint="eastAsia" w:eastAsia="宋体"/>
                <w:b/>
                <w:bCs/>
                <w:color w:val="auto"/>
                <w:kern w:val="0"/>
                <w:lang w:val="en-US" w:eastAsia="zh-CN"/>
              </w:rPr>
            </w:pPr>
            <w:r>
              <w:rPr>
                <w:rFonts w:hint="eastAsia" w:ascii="Times New Roman" w:hAnsi="Times New Roman" w:eastAsia="宋体" w:cs="Times New Roman"/>
                <w:color w:val="auto"/>
                <w:kern w:val="0"/>
                <w:sz w:val="24"/>
                <w:lang w:eastAsia="zh-CN" w:bidi="ar"/>
              </w:rPr>
              <w:t>厂区内的</w:t>
            </w:r>
            <w:r>
              <w:rPr>
                <w:rFonts w:hint="eastAsia" w:eastAsia="宋体" w:cs="Times New Roman"/>
                <w:color w:val="auto"/>
                <w:kern w:val="0"/>
                <w:sz w:val="24"/>
                <w:lang w:eastAsia="zh-CN" w:bidi="ar"/>
              </w:rPr>
              <w:t>其他</w:t>
            </w:r>
            <w:r>
              <w:rPr>
                <w:rFonts w:hint="default" w:ascii="Times New Roman" w:hAnsi="Times New Roman" w:cs="Times New Roman"/>
                <w:color w:val="auto"/>
                <w:kern w:val="0"/>
                <w:sz w:val="24"/>
                <w:lang w:bidi="ar"/>
              </w:rPr>
              <w:t>区域</w:t>
            </w:r>
            <w:r>
              <w:rPr>
                <w:rFonts w:hint="default" w:ascii="Times New Roman" w:hAnsi="Times New Roman" w:eastAsia="宋体" w:cs="Times New Roman"/>
                <w:color w:val="auto"/>
                <w:kern w:val="0"/>
                <w:sz w:val="24"/>
                <w:lang w:eastAsia="zh-CN" w:bidi="ar"/>
              </w:rPr>
              <w:t>进行简单防渗</w:t>
            </w:r>
            <w:r>
              <w:rPr>
                <w:rFonts w:hint="default" w:ascii="Times New Roman" w:hAnsi="Times New Roman" w:cs="Times New Roman"/>
                <w:color w:val="auto"/>
                <w:kern w:val="0"/>
                <w:sz w:val="24"/>
                <w:lang w:bidi="ar"/>
              </w:rPr>
              <w:t>，</w:t>
            </w:r>
            <w:r>
              <w:rPr>
                <w:rFonts w:hint="default" w:ascii="Times New Roman" w:hAnsi="Times New Roman" w:eastAsia="宋体" w:cs="Times New Roman"/>
                <w:color w:val="auto"/>
                <w:kern w:val="0"/>
                <w:sz w:val="24"/>
                <w:lang w:eastAsia="zh-CN" w:bidi="ar"/>
              </w:rPr>
              <w:t>其</w:t>
            </w:r>
            <w:r>
              <w:rPr>
                <w:rFonts w:hint="default" w:ascii="Times New Roman" w:hAnsi="Times New Roman" w:cs="Times New Roman"/>
                <w:color w:val="auto"/>
                <w:kern w:val="0"/>
                <w:sz w:val="24"/>
                <w:lang w:bidi="ar"/>
              </w:rPr>
              <w:t>地面除采用混凝土地坪。</w:t>
            </w:r>
          </w:p>
          <w:p w14:paraId="04303ACE">
            <w:pPr>
              <w:ind w:left="0" w:leftChars="0" w:firstLine="0" w:firstLineChars="0"/>
              <w:rPr>
                <w:b/>
                <w:bCs/>
                <w:color w:val="auto"/>
                <w:kern w:val="0"/>
              </w:rPr>
            </w:pPr>
            <w:r>
              <w:rPr>
                <w:rFonts w:hint="eastAsia" w:eastAsia="宋体"/>
                <w:b/>
                <w:bCs/>
                <w:color w:val="auto"/>
                <w:kern w:val="0"/>
                <w:lang w:val="en-US" w:eastAsia="zh-CN"/>
              </w:rPr>
              <w:t>7</w:t>
            </w:r>
            <w:r>
              <w:rPr>
                <w:rFonts w:hint="eastAsia"/>
                <w:b/>
                <w:bCs/>
                <w:color w:val="auto"/>
                <w:kern w:val="0"/>
              </w:rPr>
              <w:t>.环境风险</w:t>
            </w:r>
          </w:p>
          <w:p w14:paraId="6EE2DD4B">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hint="eastAsia" w:eastAsia="宋体"/>
                <w:color w:val="auto"/>
                <w:kern w:val="0"/>
                <w:sz w:val="24"/>
                <w:szCs w:val="20"/>
                <w:lang w:eastAsia="zh-CN"/>
              </w:rPr>
            </w:pPr>
            <w:r>
              <w:rPr>
                <w:rFonts w:hint="eastAsia" w:ascii="Times New Roman" w:hAnsi="Times New Roman" w:cs="Times New Roman"/>
                <w:color w:val="auto"/>
                <w:sz w:val="24"/>
                <w:szCs w:val="24"/>
                <w:lang w:val="en-US" w:eastAsia="zh-CN"/>
              </w:rPr>
              <w:t>通过调查，</w:t>
            </w:r>
            <w:r>
              <w:rPr>
                <w:rFonts w:hint="eastAsia" w:ascii="Times New Roman" w:cs="Times New Roman"/>
                <w:color w:val="auto"/>
                <w:sz w:val="24"/>
                <w:szCs w:val="24"/>
                <w:lang w:val="en-US" w:eastAsia="zh-CN"/>
              </w:rPr>
              <w:t>现有工程</w:t>
            </w:r>
            <w:r>
              <w:rPr>
                <w:rFonts w:hint="eastAsia" w:ascii="Times New Roman" w:hAnsi="Times New Roman" w:cs="Times New Roman"/>
                <w:color w:val="auto"/>
                <w:sz w:val="24"/>
                <w:szCs w:val="24"/>
                <w:lang w:val="en-US" w:eastAsia="zh-CN"/>
              </w:rPr>
              <w:t>涉及的环境风险物质主要为</w:t>
            </w:r>
            <w:r>
              <w:rPr>
                <w:rFonts w:hint="default" w:ascii="Times New Roman" w:hAnsi="Times New Roman" w:cs="Times New Roman"/>
                <w:color w:val="auto"/>
                <w:lang w:val="en-US" w:eastAsia="zh-CN"/>
              </w:rPr>
              <w:t>磷酸、</w:t>
            </w:r>
            <w:r>
              <w:rPr>
                <w:rFonts w:hint="default" w:ascii="Times New Roman" w:hAnsi="Times New Roman" w:cs="Times New Roman"/>
                <w:color w:val="auto"/>
              </w:rPr>
              <w:t>正己烷</w:t>
            </w:r>
            <w:r>
              <w:rPr>
                <w:rFonts w:hint="default" w:ascii="Times New Roman" w:hAnsi="Times New Roman" w:cs="Times New Roman"/>
                <w:color w:val="auto"/>
                <w:lang w:eastAsia="zh-CN"/>
              </w:rPr>
              <w:t>、异丙醇、丙酮、三氯甲烷、柴油、盐酸、硫酸</w:t>
            </w:r>
            <w:r>
              <w:rPr>
                <w:rFonts w:hint="eastAsia" w:ascii="Times New Roman" w:hAnsi="Times New Roman" w:cs="Times New Roman"/>
                <w:color w:val="auto"/>
                <w:sz w:val="24"/>
                <w:szCs w:val="24"/>
                <w:lang w:eastAsia="zh-CN"/>
              </w:rPr>
              <w:t>，</w:t>
            </w:r>
            <w:r>
              <w:rPr>
                <w:rFonts w:hint="eastAsia" w:ascii="Times New Roman" w:cs="Times New Roman"/>
                <w:color w:val="auto"/>
                <w:sz w:val="24"/>
                <w:szCs w:val="24"/>
                <w:lang w:eastAsia="zh-CN"/>
              </w:rPr>
              <w:t>其中</w:t>
            </w:r>
            <w:r>
              <w:rPr>
                <w:rFonts w:hint="eastAsia" w:ascii="宋体" w:hAnsi="宋体" w:cs="宋体"/>
                <w:color w:val="auto"/>
                <w:kern w:val="0"/>
                <w:sz w:val="24"/>
                <w:szCs w:val="24"/>
                <w:lang w:eastAsia="zh-CN"/>
              </w:rPr>
              <w:t>磷酸、正己烷存储量超过临界量，应设置环境风险评价专题。本项目的建设不会导致环境风险物质的储存情况发生变化。</w:t>
            </w:r>
            <w:r>
              <w:rPr>
                <w:rFonts w:hint="eastAsia"/>
                <w:color w:val="auto"/>
                <w:kern w:val="0"/>
                <w:sz w:val="24"/>
                <w:szCs w:val="20"/>
                <w:lang w:eastAsia="zh-CN"/>
              </w:rPr>
              <w:t>本项目环境风险环境影响分析及环境风险防范措施见</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中粮油脂重庆新建</w:t>
            </w:r>
            <w:r>
              <w:rPr>
                <w:rFonts w:hint="default" w:ascii="Times New Roman" w:hAnsi="Times New Roman" w:eastAsia="宋体" w:cs="Times New Roman"/>
                <w:color w:val="auto"/>
                <w:sz w:val="24"/>
                <w:szCs w:val="24"/>
                <w:lang w:val="en-US" w:eastAsia="zh-CN"/>
              </w:rPr>
              <w:t>膨化大豆粉生产线及磷脂生产线项目</w:t>
            </w:r>
            <w:r>
              <w:rPr>
                <w:rFonts w:hint="eastAsia" w:cs="Times New Roman"/>
                <w:color w:val="auto"/>
                <w:sz w:val="24"/>
                <w:szCs w:val="24"/>
                <w:lang w:eastAsia="zh-CN"/>
              </w:rPr>
              <w:t>环境风险影响专项评价》，</w:t>
            </w:r>
            <w:r>
              <w:rPr>
                <w:rFonts w:hint="eastAsia"/>
                <w:color w:val="auto"/>
                <w:kern w:val="0"/>
                <w:sz w:val="24"/>
                <w:szCs w:val="20"/>
                <w:lang w:eastAsia="zh-CN"/>
              </w:rPr>
              <w:t>其专项评价结论如下：</w:t>
            </w:r>
          </w:p>
          <w:p w14:paraId="36388A64">
            <w:pPr>
              <w:keepNext w:val="0"/>
              <w:keepLines w:val="0"/>
              <w:pageBreakBefore w:val="0"/>
              <w:kinsoku/>
              <w:wordWrap/>
              <w:overflowPunct/>
              <w:topLinePunct w:val="0"/>
              <w:autoSpaceDE w:val="0"/>
              <w:autoSpaceDN w:val="0"/>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val="en-US" w:eastAsia="zh-CN"/>
              </w:rPr>
              <w:t>本</w:t>
            </w:r>
            <w:r>
              <w:rPr>
                <w:rFonts w:hint="default" w:ascii="Times New Roman" w:hAnsi="Times New Roman" w:eastAsia="宋体" w:cs="Times New Roman"/>
                <w:color w:val="auto"/>
                <w:sz w:val="24"/>
                <w:szCs w:val="24"/>
              </w:rPr>
              <w:t>项目涉及</w:t>
            </w:r>
            <w:r>
              <w:rPr>
                <w:rFonts w:hint="eastAsia" w:ascii="Times New Roman" w:hAnsi="Times New Roman" w:eastAsia="宋体" w:cs="Times New Roman"/>
                <w:color w:val="auto"/>
                <w:sz w:val="24"/>
                <w:szCs w:val="24"/>
                <w:lang w:eastAsia="zh-CN"/>
              </w:rPr>
              <w:t>的磷酸、正己烷、柴油、硫酸等风险物质</w:t>
            </w:r>
            <w:r>
              <w:rPr>
                <w:rFonts w:hint="default" w:ascii="Times New Roman" w:hAnsi="Times New Roman" w:eastAsia="宋体" w:cs="Times New Roman"/>
                <w:color w:val="auto"/>
                <w:sz w:val="24"/>
                <w:szCs w:val="24"/>
              </w:rPr>
              <w:t>具有一定的</w:t>
            </w:r>
            <w:r>
              <w:rPr>
                <w:rFonts w:hint="eastAsia" w:ascii="Times New Roman" w:hAnsi="Times New Roman" w:eastAsia="宋体" w:cs="Times New Roman"/>
                <w:color w:val="auto"/>
                <w:sz w:val="24"/>
                <w:szCs w:val="24"/>
                <w:lang w:val="en-US" w:eastAsia="zh-CN"/>
              </w:rPr>
              <w:t>危险性</w:t>
            </w:r>
            <w:r>
              <w:rPr>
                <w:rFonts w:hint="default" w:ascii="Times New Roman" w:hAnsi="Times New Roman" w:eastAsia="宋体" w:cs="Times New Roman"/>
                <w:color w:val="auto"/>
                <w:sz w:val="24"/>
                <w:szCs w:val="24"/>
              </w:rPr>
              <w:t>，项目存在一定的环境风险，本次评价针对项目所存在的风险提出了严格的风险防范措施，因此在建设单位严格落实项目风险防范措施、制定和完善环境风险应急预案、加强事故演练，同时加强与</w:t>
            </w:r>
            <w:r>
              <w:rPr>
                <w:rFonts w:hint="eastAsia" w:ascii="Times New Roman" w:hAnsi="Times New Roman" w:eastAsia="宋体" w:cs="Times New Roman"/>
                <w:color w:val="auto"/>
                <w:sz w:val="24"/>
                <w:szCs w:val="24"/>
                <w:lang w:val="en-US" w:eastAsia="zh-CN"/>
              </w:rPr>
              <w:t>龙桥园区、涪陵区</w:t>
            </w:r>
            <w:r>
              <w:rPr>
                <w:rFonts w:hint="default" w:ascii="Times New Roman" w:hAnsi="Times New Roman" w:eastAsia="宋体" w:cs="Times New Roman"/>
                <w:color w:val="auto"/>
                <w:sz w:val="24"/>
                <w:szCs w:val="24"/>
              </w:rPr>
              <w:t>突发环境事件应急预案实施对接与联动的前提下，项目环境风险总体可控</w:t>
            </w:r>
            <w:r>
              <w:rPr>
                <w:rFonts w:hint="eastAsia" w:ascii="Times New Roman" w:hAnsi="Times New Roman" w:eastAsia="宋体" w:cs="Times New Roman"/>
                <w:color w:val="auto"/>
                <w:sz w:val="24"/>
                <w:szCs w:val="24"/>
                <w:lang w:eastAsia="zh-CN"/>
              </w:rPr>
              <w:t>。</w:t>
            </w:r>
          </w:p>
          <w:p w14:paraId="0BBBA651">
            <w:pPr>
              <w:tabs>
                <w:tab w:val="left" w:pos="1611"/>
              </w:tabs>
              <w:bidi w:val="0"/>
              <w:ind w:left="0" w:leftChars="0" w:firstLine="0" w:firstLineChars="0"/>
              <w:jc w:val="left"/>
              <w:rPr>
                <w:rFonts w:hint="eastAsia" w:eastAsia="宋体"/>
                <w:color w:val="auto"/>
                <w:lang w:eastAsia="zh-CN"/>
              </w:rPr>
            </w:pPr>
          </w:p>
        </w:tc>
      </w:tr>
    </w:tbl>
    <w:p w14:paraId="08A94CBA">
      <w:pPr>
        <w:rPr>
          <w:rFonts w:hint="eastAsia" w:ascii="黑体" w:hAnsi="黑体" w:eastAsia="黑体"/>
          <w:snapToGrid w:val="0"/>
          <w:color w:val="auto"/>
          <w:kern w:val="0"/>
          <w:sz w:val="30"/>
          <w:szCs w:val="30"/>
        </w:rPr>
      </w:pPr>
      <w:r>
        <w:rPr>
          <w:rFonts w:hint="eastAsia" w:ascii="黑体" w:hAnsi="黑体" w:eastAsia="黑体"/>
          <w:snapToGrid w:val="0"/>
          <w:color w:val="auto"/>
          <w:kern w:val="0"/>
          <w:sz w:val="30"/>
          <w:szCs w:val="30"/>
        </w:rPr>
        <w:br w:type="page"/>
      </w:r>
    </w:p>
    <w:p w14:paraId="49B68ED0">
      <w:pPr>
        <w:ind w:left="0" w:leftChars="0" w:firstLine="0" w:firstLineChars="0"/>
        <w:jc w:val="center"/>
        <w:outlineLvl w:val="0"/>
        <w:rPr>
          <w:rFonts w:ascii="黑体" w:hAnsi="黑体" w:eastAsia="黑体"/>
          <w:snapToGrid w:val="0"/>
          <w:color w:val="auto"/>
          <w:kern w:val="0"/>
          <w:sz w:val="30"/>
          <w:szCs w:val="30"/>
        </w:rPr>
      </w:pPr>
      <w:r>
        <w:rPr>
          <w:rFonts w:hint="eastAsia" w:ascii="黑体" w:hAnsi="黑体" w:eastAsia="黑体"/>
          <w:snapToGrid w:val="0"/>
          <w:color w:val="auto"/>
          <w:kern w:val="0"/>
          <w:sz w:val="30"/>
          <w:szCs w:val="30"/>
        </w:rPr>
        <w:t>五、</w:t>
      </w:r>
      <w:bookmarkStart w:id="4" w:name="_Hlk54167917"/>
      <w:r>
        <w:rPr>
          <w:rFonts w:hint="eastAsia" w:ascii="黑体" w:hAnsi="黑体" w:eastAsia="黑体"/>
          <w:snapToGrid w:val="0"/>
          <w:color w:val="auto"/>
          <w:kern w:val="0"/>
          <w:sz w:val="30"/>
          <w:szCs w:val="30"/>
        </w:rPr>
        <w:t>环境保护措施监督检查清单</w:t>
      </w:r>
      <w:bookmarkEnd w:id="4"/>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525"/>
        <w:gridCol w:w="1292"/>
        <w:gridCol w:w="1963"/>
        <w:gridCol w:w="2377"/>
      </w:tblGrid>
      <w:tr w14:paraId="4DD024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643" w:type="dxa"/>
            <w:tcBorders>
              <w:tl2br w:val="single" w:color="auto" w:sz="4" w:space="0"/>
            </w:tcBorders>
          </w:tcPr>
          <w:p w14:paraId="55A6D436">
            <w:pPr>
              <w:spacing w:line="240" w:lineRule="auto"/>
              <w:ind w:firstLine="0" w:firstLineChars="0"/>
              <w:jc w:val="right"/>
              <w:rPr>
                <w:rFonts w:ascii="宋体" w:hAnsi="宋体" w:cs="宋体"/>
                <w:color w:val="auto"/>
                <w:kern w:val="0"/>
                <w:sz w:val="21"/>
                <w:szCs w:val="21"/>
              </w:rPr>
            </w:pPr>
            <w:r>
              <w:rPr>
                <w:rFonts w:hint="eastAsia" w:ascii="宋体" w:hAnsi="宋体" w:cs="宋体"/>
                <w:color w:val="auto"/>
                <w:kern w:val="0"/>
                <w:sz w:val="21"/>
                <w:szCs w:val="21"/>
              </w:rPr>
              <w:t>内容</w:t>
            </w:r>
          </w:p>
          <w:p w14:paraId="6AE12462">
            <w:pPr>
              <w:spacing w:line="240" w:lineRule="auto"/>
              <w:ind w:firstLine="0" w:firstLineChars="0"/>
              <w:rPr>
                <w:rFonts w:ascii="宋体" w:hAnsi="宋体" w:cs="宋体"/>
                <w:color w:val="auto"/>
                <w:kern w:val="0"/>
                <w:sz w:val="21"/>
                <w:szCs w:val="21"/>
              </w:rPr>
            </w:pPr>
            <w:r>
              <w:rPr>
                <w:rFonts w:hint="eastAsia" w:ascii="宋体" w:hAnsi="宋体" w:cs="宋体"/>
                <w:color w:val="auto"/>
                <w:kern w:val="0"/>
                <w:sz w:val="21"/>
                <w:szCs w:val="21"/>
              </w:rPr>
              <w:t>要素</w:t>
            </w:r>
          </w:p>
        </w:tc>
        <w:tc>
          <w:tcPr>
            <w:tcW w:w="1525" w:type="dxa"/>
            <w:vAlign w:val="center"/>
          </w:tcPr>
          <w:p w14:paraId="39EDDA6E">
            <w:pPr>
              <w:spacing w:line="240" w:lineRule="auto"/>
              <w:ind w:firstLine="0" w:firstLineChars="0"/>
              <w:jc w:val="center"/>
              <w:rPr>
                <w:color w:val="auto"/>
                <w:kern w:val="0"/>
                <w:sz w:val="21"/>
                <w:szCs w:val="21"/>
              </w:rPr>
            </w:pPr>
            <w:r>
              <w:rPr>
                <w:color w:val="auto"/>
                <w:kern w:val="0"/>
                <w:sz w:val="21"/>
                <w:szCs w:val="21"/>
              </w:rPr>
              <w:t>排放口(编号、</w:t>
            </w:r>
          </w:p>
          <w:p w14:paraId="6CB0DD57">
            <w:pPr>
              <w:spacing w:line="240" w:lineRule="auto"/>
              <w:ind w:firstLine="0" w:firstLineChars="0"/>
              <w:jc w:val="center"/>
              <w:rPr>
                <w:color w:val="auto"/>
                <w:kern w:val="0"/>
                <w:sz w:val="21"/>
                <w:szCs w:val="21"/>
              </w:rPr>
            </w:pPr>
            <w:r>
              <w:rPr>
                <w:color w:val="auto"/>
                <w:kern w:val="0"/>
                <w:sz w:val="21"/>
                <w:szCs w:val="21"/>
              </w:rPr>
              <w:t>名称)/污染源</w:t>
            </w:r>
          </w:p>
        </w:tc>
        <w:tc>
          <w:tcPr>
            <w:tcW w:w="1292" w:type="dxa"/>
            <w:vAlign w:val="center"/>
          </w:tcPr>
          <w:p w14:paraId="0A65A1C2">
            <w:pPr>
              <w:spacing w:line="240" w:lineRule="auto"/>
              <w:ind w:firstLine="0" w:firstLineChars="0"/>
              <w:jc w:val="center"/>
              <w:rPr>
                <w:color w:val="auto"/>
                <w:kern w:val="0"/>
                <w:sz w:val="21"/>
                <w:szCs w:val="21"/>
              </w:rPr>
            </w:pPr>
            <w:r>
              <w:rPr>
                <w:color w:val="auto"/>
                <w:kern w:val="0"/>
                <w:sz w:val="21"/>
                <w:szCs w:val="21"/>
              </w:rPr>
              <w:t>污染物项目</w:t>
            </w:r>
          </w:p>
        </w:tc>
        <w:tc>
          <w:tcPr>
            <w:tcW w:w="1963" w:type="dxa"/>
            <w:vAlign w:val="center"/>
          </w:tcPr>
          <w:p w14:paraId="599F41EA">
            <w:pPr>
              <w:spacing w:line="240" w:lineRule="auto"/>
              <w:ind w:firstLine="0" w:firstLineChars="0"/>
              <w:jc w:val="center"/>
              <w:rPr>
                <w:color w:val="auto"/>
                <w:kern w:val="0"/>
                <w:sz w:val="21"/>
                <w:szCs w:val="21"/>
              </w:rPr>
            </w:pPr>
            <w:r>
              <w:rPr>
                <w:color w:val="auto"/>
                <w:kern w:val="0"/>
                <w:sz w:val="21"/>
                <w:szCs w:val="21"/>
              </w:rPr>
              <w:t>环境保护措施</w:t>
            </w:r>
          </w:p>
        </w:tc>
        <w:tc>
          <w:tcPr>
            <w:tcW w:w="2377" w:type="dxa"/>
            <w:vAlign w:val="center"/>
          </w:tcPr>
          <w:p w14:paraId="62A77AD4">
            <w:pPr>
              <w:spacing w:line="240" w:lineRule="auto"/>
              <w:ind w:firstLine="0" w:firstLineChars="0"/>
              <w:jc w:val="center"/>
              <w:rPr>
                <w:color w:val="auto"/>
                <w:kern w:val="0"/>
                <w:sz w:val="21"/>
                <w:szCs w:val="21"/>
              </w:rPr>
            </w:pPr>
            <w:r>
              <w:rPr>
                <w:color w:val="auto"/>
                <w:kern w:val="0"/>
                <w:sz w:val="21"/>
                <w:szCs w:val="21"/>
              </w:rPr>
              <w:t>执行标准</w:t>
            </w:r>
          </w:p>
        </w:tc>
      </w:tr>
      <w:tr w14:paraId="32186C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44" w:hRule="atLeast"/>
          <w:jc w:val="center"/>
        </w:trPr>
        <w:tc>
          <w:tcPr>
            <w:tcW w:w="1643" w:type="dxa"/>
            <w:vMerge w:val="restart"/>
            <w:vAlign w:val="center"/>
          </w:tcPr>
          <w:p w14:paraId="00A9A15A">
            <w:pPr>
              <w:spacing w:line="240" w:lineRule="auto"/>
              <w:ind w:firstLine="0" w:firstLineChars="0"/>
              <w:jc w:val="center"/>
              <w:rPr>
                <w:rFonts w:ascii="宋体" w:hAnsi="宋体" w:cs="宋体"/>
                <w:color w:val="auto"/>
                <w:kern w:val="0"/>
                <w:sz w:val="21"/>
                <w:szCs w:val="21"/>
              </w:rPr>
            </w:pPr>
            <w:r>
              <w:rPr>
                <w:rFonts w:hint="eastAsia" w:ascii="宋体" w:hAnsi="宋体" w:cs="宋体"/>
                <w:color w:val="auto"/>
                <w:kern w:val="0"/>
                <w:sz w:val="21"/>
                <w:szCs w:val="21"/>
              </w:rPr>
              <w:t>大气环境</w:t>
            </w:r>
          </w:p>
        </w:tc>
        <w:tc>
          <w:tcPr>
            <w:tcW w:w="1525" w:type="dxa"/>
            <w:vAlign w:val="center"/>
          </w:tcPr>
          <w:p w14:paraId="3B7A8AA6">
            <w:pPr>
              <w:spacing w:line="240" w:lineRule="auto"/>
              <w:ind w:firstLine="0" w:firstLineChars="0"/>
              <w:jc w:val="center"/>
              <w:rPr>
                <w:rFonts w:hint="default"/>
                <w:color w:val="auto"/>
                <w:sz w:val="21"/>
                <w:szCs w:val="21"/>
                <w:lang w:val="en-US" w:eastAsia="zh-CN"/>
              </w:rPr>
            </w:pPr>
            <w:r>
              <w:rPr>
                <w:rFonts w:hint="eastAsia" w:eastAsia="宋体"/>
                <w:color w:val="auto"/>
                <w:kern w:val="0"/>
                <w:sz w:val="21"/>
                <w:szCs w:val="21"/>
                <w:lang w:val="en-US" w:eastAsia="zh-CN"/>
              </w:rPr>
              <w:t>DA022排气筒（</w:t>
            </w:r>
            <w:r>
              <w:rPr>
                <w:rStyle w:val="22"/>
                <w:rFonts w:hint="default"/>
                <w:color w:val="auto"/>
                <w:sz w:val="21"/>
                <w:szCs w:val="21"/>
                <w:lang w:eastAsia="zh-CN"/>
              </w:rPr>
              <w:t>称量、振动清理、初破、筛分、成品破碎、打包</w:t>
            </w:r>
            <w:r>
              <w:rPr>
                <w:rFonts w:hint="eastAsia" w:eastAsia="宋体"/>
                <w:color w:val="auto"/>
                <w:kern w:val="0"/>
                <w:sz w:val="21"/>
                <w:szCs w:val="21"/>
                <w:lang w:val="en-US" w:eastAsia="zh-CN"/>
              </w:rPr>
              <w:t>）</w:t>
            </w:r>
          </w:p>
        </w:tc>
        <w:tc>
          <w:tcPr>
            <w:tcW w:w="1292" w:type="dxa"/>
            <w:vAlign w:val="center"/>
          </w:tcPr>
          <w:p w14:paraId="7AD7FB79">
            <w:pPr>
              <w:pStyle w:val="3"/>
              <w:bidi w:val="0"/>
              <w:rPr>
                <w:rFonts w:hint="eastAsia" w:eastAsia="宋体"/>
                <w:color w:val="auto"/>
                <w:lang w:val="en-US" w:eastAsia="zh-CN"/>
              </w:rPr>
            </w:pPr>
            <w:r>
              <w:rPr>
                <w:rFonts w:hint="eastAsia" w:eastAsia="宋体"/>
                <w:color w:val="auto"/>
                <w:lang w:eastAsia="zh-CN"/>
              </w:rPr>
              <w:t>颗粒物</w:t>
            </w:r>
          </w:p>
        </w:tc>
        <w:tc>
          <w:tcPr>
            <w:tcW w:w="1963" w:type="dxa"/>
            <w:vAlign w:val="center"/>
          </w:tcPr>
          <w:p w14:paraId="3EF4117B">
            <w:pPr>
              <w:pStyle w:val="3"/>
              <w:bidi w:val="0"/>
              <w:jc w:val="both"/>
              <w:rPr>
                <w:rFonts w:hint="eastAsia" w:eastAsia="宋体"/>
                <w:color w:val="auto"/>
                <w:lang w:val="en-US" w:eastAsia="zh-CN"/>
              </w:rPr>
            </w:pPr>
            <w:r>
              <w:rPr>
                <w:rFonts w:hint="default" w:ascii="Times New Roman" w:hAnsi="Times New Roman" w:cs="Times New Roman"/>
                <w:color w:val="auto"/>
                <w:sz w:val="21"/>
                <w:szCs w:val="21"/>
                <w:lang w:eastAsia="zh-CN"/>
              </w:rPr>
              <w:t>采用</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布袋除尘器</w:t>
            </w:r>
            <w:r>
              <w:rPr>
                <w:rFonts w:hint="eastAsia" w:ascii="Times New Roman" w:hAnsi="Times New Roman" w:cs="Times New Roman"/>
                <w:color w:val="auto"/>
                <w:sz w:val="21"/>
                <w:szCs w:val="21"/>
                <w:lang w:eastAsia="zh-CN"/>
              </w:rPr>
              <w:t>”</w:t>
            </w:r>
            <w:r>
              <w:rPr>
                <w:rFonts w:hint="default" w:ascii="Times New Roman" w:hAnsi="Times New Roman" w:cs="Times New Roman"/>
                <w:bCs/>
                <w:color w:val="auto"/>
                <w:szCs w:val="21"/>
              </w:rPr>
              <w:t>处理</w:t>
            </w:r>
            <w:r>
              <w:rPr>
                <w:rFonts w:hint="default" w:ascii="Times New Roman" w:hAnsi="Times New Roman" w:cs="Times New Roman"/>
                <w:color w:val="auto"/>
                <w:szCs w:val="21"/>
              </w:rPr>
              <w:t>后引至</w:t>
            </w:r>
            <w:r>
              <w:rPr>
                <w:rFonts w:hint="eastAsia" w:ascii="Times New Roman" w:hAnsi="Times New Roman" w:eastAsia="宋体" w:cs="Times New Roman"/>
                <w:color w:val="auto"/>
                <w:szCs w:val="21"/>
                <w:lang w:val="en-US" w:eastAsia="zh-CN"/>
              </w:rPr>
              <w:t>20</w:t>
            </w:r>
            <w:r>
              <w:rPr>
                <w:rFonts w:hint="default" w:ascii="Times New Roman" w:hAnsi="Times New Roman" w:cs="Times New Roman"/>
                <w:color w:val="auto"/>
                <w:szCs w:val="21"/>
              </w:rPr>
              <w:t>m高空排放</w:t>
            </w:r>
            <w:r>
              <w:rPr>
                <w:rFonts w:hint="default" w:ascii="Times New Roman" w:hAnsi="Times New Roman" w:eastAsia="宋体" w:cs="Times New Roman"/>
                <w:color w:val="auto"/>
                <w:szCs w:val="21"/>
                <w:lang w:val="en-US" w:eastAsia="zh-CN"/>
              </w:rPr>
              <w:t>。</w:t>
            </w:r>
          </w:p>
        </w:tc>
        <w:tc>
          <w:tcPr>
            <w:tcW w:w="2377" w:type="dxa"/>
            <w:vMerge w:val="restart"/>
            <w:vAlign w:val="center"/>
          </w:tcPr>
          <w:p w14:paraId="15C6489F">
            <w:pPr>
              <w:pStyle w:val="3"/>
              <w:bidi w:val="0"/>
              <w:jc w:val="both"/>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大气污染物综合排放标准》(DB50/418－2016)</w:t>
            </w:r>
          </w:p>
        </w:tc>
      </w:tr>
      <w:tr w14:paraId="44D1A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643" w:type="dxa"/>
            <w:vMerge w:val="continue"/>
            <w:vAlign w:val="center"/>
          </w:tcPr>
          <w:p w14:paraId="22C24A79">
            <w:pPr>
              <w:spacing w:line="240" w:lineRule="auto"/>
              <w:ind w:firstLine="0" w:firstLineChars="0"/>
              <w:jc w:val="center"/>
              <w:rPr>
                <w:rFonts w:hint="eastAsia" w:ascii="宋体" w:hAnsi="宋体" w:cs="宋体"/>
                <w:color w:val="auto"/>
                <w:kern w:val="0"/>
                <w:sz w:val="21"/>
                <w:szCs w:val="21"/>
              </w:rPr>
            </w:pPr>
          </w:p>
        </w:tc>
        <w:tc>
          <w:tcPr>
            <w:tcW w:w="1525" w:type="dxa"/>
            <w:vAlign w:val="center"/>
          </w:tcPr>
          <w:p w14:paraId="6E214A00">
            <w:pPr>
              <w:spacing w:line="240" w:lineRule="auto"/>
              <w:ind w:firstLine="0" w:firstLineChars="0"/>
              <w:jc w:val="center"/>
              <w:rPr>
                <w:rFonts w:hint="default"/>
                <w:color w:val="auto"/>
                <w:sz w:val="21"/>
                <w:szCs w:val="21"/>
                <w:lang w:val="en-US"/>
              </w:rPr>
            </w:pPr>
            <w:r>
              <w:rPr>
                <w:rFonts w:hint="eastAsia" w:eastAsia="宋体"/>
                <w:color w:val="auto"/>
                <w:kern w:val="0"/>
                <w:sz w:val="21"/>
                <w:szCs w:val="21"/>
                <w:lang w:val="en-US" w:eastAsia="zh-CN"/>
              </w:rPr>
              <w:t>DA023排气筒（</w:t>
            </w:r>
            <w:r>
              <w:rPr>
                <w:rFonts w:hint="default" w:ascii="Times New Roman" w:hAnsi="Times New Roman" w:cs="Times New Roman"/>
                <w:color w:val="auto"/>
                <w:sz w:val="21"/>
                <w:szCs w:val="21"/>
                <w:lang w:val="en-US" w:eastAsia="zh-CN"/>
              </w:rPr>
              <w:t>调质、膨化、</w:t>
            </w:r>
            <w:r>
              <w:rPr>
                <w:rFonts w:hint="eastAsia" w:cs="Times New Roman"/>
                <w:color w:val="auto"/>
                <w:sz w:val="21"/>
                <w:szCs w:val="21"/>
                <w:lang w:val="en-US" w:eastAsia="zh-CN"/>
              </w:rPr>
              <w:t>翻板</w:t>
            </w:r>
            <w:r>
              <w:rPr>
                <w:rFonts w:hint="default" w:ascii="Times New Roman" w:hAnsi="Times New Roman" w:cs="Times New Roman"/>
                <w:color w:val="auto"/>
                <w:sz w:val="21"/>
                <w:szCs w:val="21"/>
                <w:lang w:val="en-US" w:eastAsia="zh-CN"/>
              </w:rPr>
              <w:t>冷却</w:t>
            </w:r>
            <w:r>
              <w:rPr>
                <w:rFonts w:hint="eastAsia" w:eastAsia="宋体"/>
                <w:color w:val="auto"/>
                <w:kern w:val="0"/>
                <w:sz w:val="21"/>
                <w:szCs w:val="21"/>
                <w:lang w:val="en-US" w:eastAsia="zh-CN"/>
              </w:rPr>
              <w:t>）</w:t>
            </w:r>
          </w:p>
        </w:tc>
        <w:tc>
          <w:tcPr>
            <w:tcW w:w="1292" w:type="dxa"/>
            <w:vAlign w:val="center"/>
          </w:tcPr>
          <w:p w14:paraId="74E53160">
            <w:pPr>
              <w:pStyle w:val="3"/>
              <w:bidi w:val="0"/>
              <w:jc w:val="center"/>
              <w:rPr>
                <w:rFonts w:hint="eastAsia"/>
                <w:color w:val="auto"/>
                <w:lang w:eastAsia="zh-CN"/>
              </w:rPr>
            </w:pPr>
            <w:r>
              <w:rPr>
                <w:rFonts w:hint="eastAsia" w:eastAsia="宋体"/>
                <w:color w:val="auto"/>
                <w:lang w:eastAsia="zh-CN"/>
              </w:rPr>
              <w:t>颗粒物</w:t>
            </w:r>
          </w:p>
        </w:tc>
        <w:tc>
          <w:tcPr>
            <w:tcW w:w="1963" w:type="dxa"/>
            <w:vAlign w:val="center"/>
          </w:tcPr>
          <w:p w14:paraId="5D77081F">
            <w:pPr>
              <w:pStyle w:val="3"/>
              <w:bidi w:val="0"/>
              <w:jc w:val="both"/>
              <w:rPr>
                <w:rFonts w:hint="eastAsia" w:eastAsia="宋体"/>
                <w:color w:val="auto"/>
                <w:lang w:val="en-US" w:eastAsia="zh-CN"/>
              </w:rPr>
            </w:pPr>
            <w:r>
              <w:rPr>
                <w:rFonts w:hint="default" w:ascii="Times New Roman" w:hAnsi="Times New Roman" w:cs="Times New Roman"/>
                <w:color w:val="auto"/>
                <w:sz w:val="21"/>
                <w:szCs w:val="21"/>
                <w:lang w:eastAsia="zh-CN"/>
              </w:rPr>
              <w:t>采用</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布袋除尘器</w:t>
            </w:r>
            <w:r>
              <w:rPr>
                <w:rFonts w:hint="eastAsia" w:ascii="Times New Roman" w:hAnsi="Times New Roman" w:cs="Times New Roman"/>
                <w:color w:val="auto"/>
                <w:sz w:val="21"/>
                <w:szCs w:val="21"/>
                <w:lang w:eastAsia="zh-CN"/>
              </w:rPr>
              <w:t>”</w:t>
            </w:r>
            <w:r>
              <w:rPr>
                <w:rFonts w:hint="default" w:ascii="Times New Roman" w:hAnsi="Times New Roman" w:cs="Times New Roman"/>
                <w:bCs/>
                <w:color w:val="auto"/>
                <w:szCs w:val="21"/>
              </w:rPr>
              <w:t>处理</w:t>
            </w:r>
            <w:r>
              <w:rPr>
                <w:rFonts w:hint="default" w:ascii="Times New Roman" w:hAnsi="Times New Roman" w:cs="Times New Roman"/>
                <w:color w:val="auto"/>
                <w:szCs w:val="21"/>
              </w:rPr>
              <w:t>后引至</w:t>
            </w:r>
            <w:r>
              <w:rPr>
                <w:rFonts w:hint="eastAsia" w:ascii="Times New Roman" w:hAnsi="Times New Roman" w:eastAsia="宋体" w:cs="Times New Roman"/>
                <w:color w:val="auto"/>
                <w:szCs w:val="21"/>
                <w:lang w:val="en-US" w:eastAsia="zh-CN"/>
              </w:rPr>
              <w:t>20</w:t>
            </w:r>
            <w:r>
              <w:rPr>
                <w:rFonts w:hint="default" w:ascii="Times New Roman" w:hAnsi="Times New Roman" w:cs="Times New Roman"/>
                <w:color w:val="auto"/>
                <w:szCs w:val="21"/>
              </w:rPr>
              <w:t>m高空排放</w:t>
            </w:r>
            <w:r>
              <w:rPr>
                <w:rFonts w:hint="default" w:ascii="Times New Roman" w:hAnsi="Times New Roman" w:eastAsia="宋体" w:cs="Times New Roman"/>
                <w:color w:val="auto"/>
                <w:szCs w:val="21"/>
                <w:lang w:val="en-US" w:eastAsia="zh-CN"/>
              </w:rPr>
              <w:t>。</w:t>
            </w:r>
          </w:p>
        </w:tc>
        <w:tc>
          <w:tcPr>
            <w:tcW w:w="2377" w:type="dxa"/>
            <w:vMerge w:val="continue"/>
            <w:vAlign w:val="center"/>
          </w:tcPr>
          <w:p w14:paraId="17ECFC86">
            <w:pPr>
              <w:pStyle w:val="3"/>
              <w:bidi w:val="0"/>
              <w:jc w:val="both"/>
              <w:rPr>
                <w:rFonts w:hint="eastAsia" w:eastAsia="宋体"/>
                <w:color w:val="auto"/>
                <w:lang w:eastAsia="zh-CN"/>
              </w:rPr>
            </w:pPr>
          </w:p>
        </w:tc>
      </w:tr>
      <w:tr w14:paraId="0E4AF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643" w:type="dxa"/>
            <w:vMerge w:val="continue"/>
            <w:vAlign w:val="center"/>
          </w:tcPr>
          <w:p w14:paraId="6E5B8769">
            <w:pPr>
              <w:spacing w:line="240" w:lineRule="auto"/>
              <w:ind w:firstLine="0" w:firstLineChars="0"/>
              <w:jc w:val="center"/>
              <w:rPr>
                <w:rFonts w:hint="eastAsia" w:ascii="宋体" w:hAnsi="宋体" w:cs="宋体"/>
                <w:color w:val="auto"/>
                <w:kern w:val="0"/>
                <w:sz w:val="21"/>
                <w:szCs w:val="21"/>
              </w:rPr>
            </w:pPr>
          </w:p>
        </w:tc>
        <w:tc>
          <w:tcPr>
            <w:tcW w:w="1525" w:type="dxa"/>
            <w:vAlign w:val="center"/>
          </w:tcPr>
          <w:p w14:paraId="2E3C1154">
            <w:pPr>
              <w:spacing w:line="240" w:lineRule="auto"/>
              <w:ind w:firstLine="0" w:firstLineChars="0"/>
              <w:jc w:val="center"/>
              <w:rPr>
                <w:rFonts w:hint="default" w:eastAsia="宋体"/>
                <w:color w:val="auto"/>
                <w:kern w:val="0"/>
                <w:sz w:val="21"/>
                <w:szCs w:val="21"/>
                <w:lang w:val="en-US" w:eastAsia="zh-CN"/>
              </w:rPr>
            </w:pPr>
            <w:r>
              <w:rPr>
                <w:rFonts w:hint="eastAsia" w:eastAsia="宋体"/>
                <w:color w:val="auto"/>
                <w:kern w:val="0"/>
                <w:sz w:val="21"/>
                <w:szCs w:val="21"/>
                <w:lang w:val="en-US" w:eastAsia="zh-CN"/>
              </w:rPr>
              <w:t>厂界</w:t>
            </w:r>
          </w:p>
        </w:tc>
        <w:tc>
          <w:tcPr>
            <w:tcW w:w="1292" w:type="dxa"/>
            <w:vAlign w:val="center"/>
          </w:tcPr>
          <w:p w14:paraId="674A39AE">
            <w:pPr>
              <w:pStyle w:val="3"/>
              <w:bidi w:val="0"/>
              <w:rPr>
                <w:rFonts w:hint="eastAsia" w:eastAsia="宋体"/>
                <w:color w:val="auto"/>
                <w:lang w:eastAsia="zh-CN"/>
              </w:rPr>
            </w:pPr>
            <w:r>
              <w:rPr>
                <w:rFonts w:hint="eastAsia" w:eastAsia="宋体"/>
                <w:color w:val="auto"/>
                <w:lang w:eastAsia="zh-CN"/>
              </w:rPr>
              <w:t>非甲烷总烃、</w:t>
            </w:r>
            <w:r>
              <w:rPr>
                <w:color w:val="auto"/>
              </w:rPr>
              <w:t>颗粒物</w:t>
            </w:r>
          </w:p>
        </w:tc>
        <w:tc>
          <w:tcPr>
            <w:tcW w:w="1963" w:type="dxa"/>
            <w:vAlign w:val="center"/>
          </w:tcPr>
          <w:p w14:paraId="3D6EC771">
            <w:pPr>
              <w:pStyle w:val="3"/>
              <w:bidi w:val="0"/>
              <w:rPr>
                <w:rFonts w:hint="eastAsia"/>
                <w:color w:val="auto"/>
              </w:rPr>
            </w:pPr>
            <w:r>
              <w:rPr>
                <w:rFonts w:hint="eastAsia"/>
                <w:color w:val="auto"/>
              </w:rPr>
              <w:t>加强车间通风</w:t>
            </w:r>
          </w:p>
        </w:tc>
        <w:tc>
          <w:tcPr>
            <w:tcW w:w="2377" w:type="dxa"/>
            <w:vAlign w:val="center"/>
          </w:tcPr>
          <w:p w14:paraId="592513C1">
            <w:pPr>
              <w:pStyle w:val="3"/>
              <w:bidi w:val="0"/>
              <w:jc w:val="both"/>
              <w:rPr>
                <w:rFonts w:hint="eastAsia"/>
                <w:color w:val="auto"/>
                <w:lang w:val="en-US" w:eastAsia="zh-CN"/>
              </w:rPr>
            </w:pPr>
            <w:r>
              <w:rPr>
                <w:rFonts w:hint="default" w:ascii="Times New Roman" w:hAnsi="Times New Roman" w:cs="Times New Roman"/>
                <w:color w:val="auto"/>
                <w:lang w:eastAsia="zh-CN"/>
              </w:rPr>
              <w:t>《</w:t>
            </w:r>
            <w:r>
              <w:rPr>
                <w:rFonts w:hint="default" w:ascii="Times New Roman" w:hAnsi="Times New Roman" w:cs="Times New Roman"/>
                <w:color w:val="auto"/>
              </w:rPr>
              <w:t>大气污染物综合排放标准》(DB50/418－2016)</w:t>
            </w:r>
          </w:p>
        </w:tc>
      </w:tr>
      <w:tr w14:paraId="56E62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1643" w:type="dxa"/>
            <w:vAlign w:val="center"/>
          </w:tcPr>
          <w:p w14:paraId="31C9F629">
            <w:pPr>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地表水环境</w:t>
            </w:r>
          </w:p>
        </w:tc>
        <w:tc>
          <w:tcPr>
            <w:tcW w:w="1525" w:type="dxa"/>
            <w:vAlign w:val="center"/>
          </w:tcPr>
          <w:p w14:paraId="7FF3CF57">
            <w:pPr>
              <w:pStyle w:val="3"/>
              <w:bidi w:val="0"/>
              <w:rPr>
                <w:rFonts w:hint="eastAsia"/>
                <w:color w:val="auto"/>
                <w:lang w:val="en-US" w:eastAsia="zh-CN"/>
              </w:rPr>
            </w:pPr>
            <w:r>
              <w:rPr>
                <w:rFonts w:hint="eastAsia"/>
                <w:color w:val="auto"/>
              </w:rPr>
              <w:t>厂区污水总排口</w:t>
            </w:r>
          </w:p>
        </w:tc>
        <w:tc>
          <w:tcPr>
            <w:tcW w:w="1292" w:type="dxa"/>
            <w:vAlign w:val="center"/>
          </w:tcPr>
          <w:p w14:paraId="3722ECA8">
            <w:pPr>
              <w:pStyle w:val="3"/>
              <w:bidi w:val="0"/>
              <w:rPr>
                <w:rFonts w:hint="default" w:ascii="Times New Roman" w:hAnsi="Times New Roman" w:cs="Times New Roman"/>
                <w:color w:val="auto"/>
              </w:rPr>
            </w:pPr>
            <w:r>
              <w:rPr>
                <w:rFonts w:hint="default" w:ascii="Times New Roman" w:hAnsi="Times New Roman" w:cs="Times New Roman"/>
                <w:color w:val="auto"/>
              </w:rPr>
              <w:t>pH</w:t>
            </w:r>
          </w:p>
          <w:p w14:paraId="32F6B6C5">
            <w:pPr>
              <w:pStyle w:val="3"/>
              <w:bidi w:val="0"/>
              <w:rPr>
                <w:rFonts w:hint="default" w:ascii="Times New Roman" w:hAnsi="Times New Roman" w:cs="Times New Roman"/>
                <w:color w:val="auto"/>
              </w:rPr>
            </w:pPr>
            <w:r>
              <w:rPr>
                <w:rFonts w:hint="default" w:ascii="Times New Roman" w:hAnsi="Times New Roman" w:cs="Times New Roman"/>
                <w:color w:val="auto"/>
              </w:rPr>
              <w:t>COD</w:t>
            </w:r>
          </w:p>
          <w:p w14:paraId="69D355F4">
            <w:pPr>
              <w:pStyle w:val="3"/>
              <w:bidi w:val="0"/>
              <w:rPr>
                <w:rFonts w:hint="default" w:ascii="Times New Roman" w:hAnsi="Times New Roman" w:cs="Times New Roman"/>
                <w:color w:val="auto"/>
              </w:rPr>
            </w:pPr>
            <w:r>
              <w:rPr>
                <w:rFonts w:hint="default" w:ascii="Times New Roman" w:hAnsi="Times New Roman" w:cs="Times New Roman"/>
                <w:color w:val="auto"/>
              </w:rPr>
              <w:t>BOD</w:t>
            </w:r>
            <w:r>
              <w:rPr>
                <w:rFonts w:hint="default" w:ascii="Times New Roman" w:hAnsi="Times New Roman" w:cs="Times New Roman"/>
                <w:color w:val="auto"/>
                <w:vertAlign w:val="subscript"/>
              </w:rPr>
              <w:t>5</w:t>
            </w:r>
          </w:p>
          <w:p w14:paraId="60F8C4C4">
            <w:pPr>
              <w:pStyle w:val="3"/>
              <w:bidi w:val="0"/>
              <w:rPr>
                <w:rFonts w:hint="default" w:ascii="Times New Roman" w:hAnsi="Times New Roman" w:cs="Times New Roman"/>
                <w:color w:val="auto"/>
              </w:rPr>
            </w:pPr>
            <w:r>
              <w:rPr>
                <w:rFonts w:hint="default" w:ascii="Times New Roman" w:hAnsi="Times New Roman" w:cs="Times New Roman"/>
                <w:color w:val="auto"/>
              </w:rPr>
              <w:t>SS</w:t>
            </w:r>
          </w:p>
          <w:p w14:paraId="395840B6">
            <w:pPr>
              <w:pStyle w:val="3"/>
              <w:bidi w:val="0"/>
              <w:rPr>
                <w:rFonts w:hint="default" w:ascii="Times New Roman" w:hAnsi="Times New Roman" w:cs="Times New Roman"/>
                <w:color w:val="auto"/>
              </w:rPr>
            </w:pPr>
            <w:r>
              <w:rPr>
                <w:rFonts w:hint="default" w:ascii="Times New Roman" w:hAnsi="Times New Roman" w:cs="Times New Roman"/>
                <w:color w:val="auto"/>
              </w:rPr>
              <w:t>氨氮</w:t>
            </w:r>
          </w:p>
          <w:p w14:paraId="024ED94A">
            <w:pPr>
              <w:pStyle w:val="3"/>
              <w:bidi w:val="0"/>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总氮</w:t>
            </w:r>
          </w:p>
          <w:p w14:paraId="42423014">
            <w:pPr>
              <w:pStyle w:val="3"/>
              <w:bidi w:val="0"/>
              <w:rPr>
                <w:rFonts w:hint="default" w:ascii="Times New Roman" w:hAnsi="Times New Roman" w:cs="Times New Roman"/>
                <w:color w:val="auto"/>
              </w:rPr>
            </w:pPr>
            <w:r>
              <w:rPr>
                <w:rFonts w:hint="default" w:ascii="Times New Roman" w:hAnsi="Times New Roman" w:cs="Times New Roman"/>
                <w:color w:val="auto"/>
              </w:rPr>
              <w:t>总磷</w:t>
            </w:r>
          </w:p>
          <w:p w14:paraId="5F8C0ED8">
            <w:pPr>
              <w:pStyle w:val="3"/>
              <w:bidi w:val="0"/>
              <w:rPr>
                <w:rFonts w:hint="default" w:ascii="Times New Roman" w:hAnsi="Times New Roman" w:cs="Times New Roman"/>
                <w:color w:val="auto"/>
                <w:lang w:eastAsia="zh-CN"/>
              </w:rPr>
            </w:pPr>
            <w:r>
              <w:rPr>
                <w:rFonts w:hint="default" w:ascii="Times New Roman" w:hAnsi="Times New Roman" w:cs="Times New Roman"/>
                <w:color w:val="auto"/>
                <w:lang w:eastAsia="zh-CN"/>
              </w:rPr>
              <w:t>动植物油</w:t>
            </w:r>
          </w:p>
        </w:tc>
        <w:tc>
          <w:tcPr>
            <w:tcW w:w="1963" w:type="dxa"/>
            <w:vAlign w:val="center"/>
          </w:tcPr>
          <w:p w14:paraId="0789E3CC">
            <w:pPr>
              <w:pStyle w:val="3"/>
              <w:bidi w:val="0"/>
              <w:jc w:val="both"/>
              <w:rPr>
                <w:rFonts w:hint="default" w:ascii="Times New Roman" w:hAnsi="Times New Roman" w:cs="Times New Roman"/>
                <w:color w:val="auto"/>
              </w:rPr>
            </w:pPr>
            <w:r>
              <w:rPr>
                <w:rFonts w:hint="default" w:ascii="Times New Roman" w:hAnsi="Times New Roman" w:eastAsia="宋体" w:cs="Times New Roman"/>
                <w:color w:val="auto"/>
                <w:lang w:eastAsia="zh-CN"/>
              </w:rPr>
              <w:t>依托厂区现有污水处理站处理后排入园区污水管网，污水处理站处</w:t>
            </w:r>
            <w:r>
              <w:rPr>
                <w:rFonts w:hint="default" w:ascii="Times New Roman" w:hAnsi="Times New Roman" w:cs="Times New Roman"/>
                <w:color w:val="auto"/>
                <w:lang w:eastAsia="zh-CN"/>
              </w:rPr>
              <w:t>理</w:t>
            </w:r>
            <w:r>
              <w:rPr>
                <w:rFonts w:hint="default" w:ascii="Times New Roman" w:hAnsi="Times New Roman" w:cs="Times New Roman"/>
                <w:color w:val="auto"/>
              </w:rPr>
              <w:t>能力为</w:t>
            </w:r>
            <w:r>
              <w:rPr>
                <w:rFonts w:hint="default" w:ascii="Times New Roman" w:hAnsi="Times New Roman" w:eastAsia="宋体" w:cs="Times New Roman"/>
                <w:color w:val="auto"/>
                <w:lang w:val="en-US" w:eastAsia="zh-CN"/>
              </w:rPr>
              <w:t>500</w:t>
            </w:r>
            <w:r>
              <w:rPr>
                <w:rFonts w:hint="default" w:ascii="Times New Roman" w:hAnsi="Times New Roman" w:cs="Times New Roman"/>
                <w:color w:val="auto"/>
              </w:rPr>
              <w:t>m</w:t>
            </w:r>
            <w:r>
              <w:rPr>
                <w:rFonts w:hint="default" w:ascii="Times New Roman" w:hAnsi="Times New Roman" w:cs="Times New Roman"/>
                <w:color w:val="auto"/>
                <w:vertAlign w:val="superscript"/>
              </w:rPr>
              <w:t>3</w:t>
            </w:r>
            <w:r>
              <w:rPr>
                <w:rFonts w:hint="default" w:ascii="Times New Roman" w:hAnsi="Times New Roman" w:cs="Times New Roman"/>
                <w:color w:val="auto"/>
              </w:rPr>
              <w:t>/d的污水处理站，采用“</w:t>
            </w:r>
            <w:r>
              <w:rPr>
                <w:rFonts w:hint="default" w:ascii="Times New Roman" w:hAnsi="Times New Roman" w:eastAsia="宋体" w:cs="Times New Roman"/>
                <w:color w:val="auto"/>
                <w:lang w:eastAsia="zh-CN"/>
              </w:rPr>
              <w:t>酸碱中和</w:t>
            </w:r>
            <w:r>
              <w:rPr>
                <w:rFonts w:hint="default" w:ascii="Times New Roman" w:hAnsi="Times New Roman" w:eastAsia="宋体" w:cs="Times New Roman"/>
                <w:color w:val="auto"/>
                <w:lang w:val="en-US" w:eastAsia="zh-CN"/>
              </w:rPr>
              <w:t>+气浮+厌氧+接触氧化</w:t>
            </w:r>
            <w:r>
              <w:rPr>
                <w:rFonts w:hint="default" w:ascii="Times New Roman" w:hAnsi="Times New Roman" w:cs="Times New Roman"/>
                <w:color w:val="auto"/>
              </w:rPr>
              <w:t>”的处理工艺</w:t>
            </w:r>
          </w:p>
        </w:tc>
        <w:tc>
          <w:tcPr>
            <w:tcW w:w="2377" w:type="dxa"/>
            <w:vAlign w:val="center"/>
          </w:tcPr>
          <w:p w14:paraId="328B8EAF">
            <w:pPr>
              <w:pStyle w:val="3"/>
              <w:bidi w:val="0"/>
              <w:jc w:val="both"/>
              <w:rPr>
                <w:rFonts w:hint="default" w:ascii="Times New Roman" w:hAnsi="Times New Roman" w:cs="Times New Roman"/>
                <w:color w:val="auto"/>
              </w:rPr>
            </w:pPr>
            <w:r>
              <w:rPr>
                <w:rFonts w:hint="default" w:ascii="Times New Roman" w:hAnsi="Times New Roman" w:cs="Times New Roman"/>
                <w:color w:val="auto"/>
              </w:rPr>
              <w:t>《污水综合排放标准》（GB8978-1996）三级排放标准</w:t>
            </w:r>
            <w:r>
              <w:rPr>
                <w:rFonts w:hint="default" w:ascii="Times New Roman" w:hAnsi="Times New Roman" w:cs="Times New Roman"/>
                <w:color w:val="auto"/>
                <w:lang w:eastAsia="zh-CN"/>
              </w:rPr>
              <w:t>；</w:t>
            </w:r>
            <w:r>
              <w:rPr>
                <w:rFonts w:hint="default" w:ascii="Times New Roman" w:hAnsi="Times New Roman" w:cs="Times New Roman"/>
                <w:color w:val="auto"/>
              </w:rPr>
              <w:t>氨氮</w:t>
            </w:r>
            <w:r>
              <w:rPr>
                <w:rFonts w:hint="default" w:ascii="Times New Roman" w:hAnsi="Times New Roman" w:cs="Times New Roman"/>
                <w:color w:val="auto"/>
                <w:lang w:eastAsia="zh-CN"/>
              </w:rPr>
              <w:t>、总氮、总磷</w:t>
            </w:r>
            <w:r>
              <w:rPr>
                <w:rFonts w:hint="default" w:ascii="Times New Roman" w:hAnsi="Times New Roman" w:cs="Times New Roman"/>
                <w:color w:val="auto"/>
              </w:rPr>
              <w:t>参照执行《污水排入城镇下水道水质标准》（GB/T31962-2015）标准</w:t>
            </w:r>
          </w:p>
        </w:tc>
      </w:tr>
      <w:tr w14:paraId="5964A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78" w:hRule="atLeast"/>
          <w:jc w:val="center"/>
        </w:trPr>
        <w:tc>
          <w:tcPr>
            <w:tcW w:w="1643" w:type="dxa"/>
            <w:vAlign w:val="center"/>
          </w:tcPr>
          <w:p w14:paraId="255E477A">
            <w:pPr>
              <w:spacing w:line="240" w:lineRule="auto"/>
              <w:ind w:firstLine="0" w:firstLineChars="0"/>
              <w:jc w:val="center"/>
              <w:rPr>
                <w:rFonts w:hint="eastAsia" w:ascii="宋体" w:hAnsi="宋体" w:cs="宋体"/>
                <w:color w:val="auto"/>
                <w:kern w:val="0"/>
                <w:sz w:val="21"/>
                <w:szCs w:val="21"/>
              </w:rPr>
            </w:pPr>
            <w:r>
              <w:rPr>
                <w:rFonts w:hint="eastAsia" w:ascii="宋体" w:hAnsi="宋体" w:cs="宋体"/>
                <w:color w:val="auto"/>
                <w:kern w:val="0"/>
                <w:sz w:val="21"/>
                <w:szCs w:val="21"/>
              </w:rPr>
              <w:t>声环境</w:t>
            </w:r>
          </w:p>
        </w:tc>
        <w:tc>
          <w:tcPr>
            <w:tcW w:w="1525" w:type="dxa"/>
            <w:vAlign w:val="center"/>
          </w:tcPr>
          <w:p w14:paraId="39673CF0">
            <w:pPr>
              <w:spacing w:line="240" w:lineRule="auto"/>
              <w:ind w:firstLine="0" w:firstLineChars="0"/>
              <w:jc w:val="center"/>
              <w:rPr>
                <w:rFonts w:hint="eastAsia" w:eastAsia="宋体"/>
                <w:color w:val="auto"/>
                <w:kern w:val="0"/>
                <w:sz w:val="21"/>
                <w:szCs w:val="21"/>
                <w:lang w:val="en-US" w:eastAsia="zh-CN"/>
              </w:rPr>
            </w:pPr>
            <w:r>
              <w:rPr>
                <w:rFonts w:hint="eastAsia" w:ascii="宋体" w:hAnsi="宋体" w:eastAsia="宋体" w:cs="宋体"/>
                <w:color w:val="auto"/>
                <w:kern w:val="0"/>
                <w:sz w:val="21"/>
                <w:szCs w:val="21"/>
                <w:lang w:eastAsia="zh-CN"/>
              </w:rPr>
              <w:t>厂</w:t>
            </w:r>
            <w:r>
              <w:rPr>
                <w:rFonts w:hint="eastAsia" w:ascii="宋体" w:hAnsi="宋体" w:eastAsia="宋体" w:cs="宋体"/>
                <w:color w:val="auto"/>
                <w:kern w:val="0"/>
                <w:sz w:val="21"/>
                <w:szCs w:val="21"/>
              </w:rPr>
              <w:t>界</w:t>
            </w:r>
          </w:p>
        </w:tc>
        <w:tc>
          <w:tcPr>
            <w:tcW w:w="1292" w:type="dxa"/>
            <w:vAlign w:val="center"/>
          </w:tcPr>
          <w:p w14:paraId="7070B2BC">
            <w:pPr>
              <w:spacing w:line="240" w:lineRule="auto"/>
              <w:ind w:firstLine="0" w:firstLineChars="0"/>
              <w:jc w:val="center"/>
              <w:rPr>
                <w:color w:val="auto"/>
              </w:rPr>
            </w:pPr>
            <w:r>
              <w:rPr>
                <w:rFonts w:hint="eastAsia" w:ascii="宋体" w:hAnsi="宋体" w:cs="宋体"/>
                <w:color w:val="auto"/>
                <w:kern w:val="0"/>
                <w:sz w:val="21"/>
                <w:szCs w:val="21"/>
              </w:rPr>
              <w:t>设备噪声</w:t>
            </w:r>
          </w:p>
        </w:tc>
        <w:tc>
          <w:tcPr>
            <w:tcW w:w="1963" w:type="dxa"/>
            <w:vAlign w:val="center"/>
          </w:tcPr>
          <w:p w14:paraId="7934B3AF">
            <w:pPr>
              <w:spacing w:line="240" w:lineRule="auto"/>
              <w:ind w:firstLine="0" w:firstLineChars="0"/>
              <w:rPr>
                <w:rFonts w:hint="eastAsia"/>
                <w:color w:val="auto"/>
                <w:lang w:eastAsia="zh-CN"/>
              </w:rPr>
            </w:pPr>
            <w:r>
              <w:rPr>
                <w:rFonts w:hint="eastAsia"/>
                <w:color w:val="auto"/>
                <w:kern w:val="0"/>
                <w:sz w:val="21"/>
                <w:szCs w:val="21"/>
              </w:rPr>
              <w:t>设备</w:t>
            </w:r>
            <w:r>
              <w:rPr>
                <w:color w:val="auto"/>
                <w:kern w:val="0"/>
                <w:sz w:val="21"/>
                <w:szCs w:val="21"/>
              </w:rPr>
              <w:t>均置于</w:t>
            </w:r>
            <w:r>
              <w:rPr>
                <w:rFonts w:hint="eastAsia" w:eastAsia="宋体"/>
                <w:color w:val="auto"/>
                <w:kern w:val="0"/>
                <w:sz w:val="21"/>
                <w:szCs w:val="21"/>
              </w:rPr>
              <w:t>室内</w:t>
            </w:r>
            <w:r>
              <w:rPr>
                <w:color w:val="auto"/>
                <w:kern w:val="0"/>
                <w:sz w:val="21"/>
                <w:szCs w:val="21"/>
              </w:rPr>
              <w:t>，</w:t>
            </w:r>
            <w:r>
              <w:rPr>
                <w:rFonts w:hint="eastAsia"/>
                <w:color w:val="auto"/>
                <w:kern w:val="0"/>
                <w:sz w:val="21"/>
                <w:szCs w:val="21"/>
              </w:rPr>
              <w:t>通过建筑隔声降噪；</w:t>
            </w:r>
          </w:p>
        </w:tc>
        <w:tc>
          <w:tcPr>
            <w:tcW w:w="2377" w:type="dxa"/>
            <w:vAlign w:val="center"/>
          </w:tcPr>
          <w:p w14:paraId="05584E54">
            <w:pPr>
              <w:spacing w:line="240" w:lineRule="auto"/>
              <w:ind w:firstLine="0" w:firstLineChars="0"/>
              <w:rPr>
                <w:color w:val="auto"/>
              </w:rPr>
            </w:pPr>
            <w:r>
              <w:rPr>
                <w:color w:val="auto"/>
                <w:kern w:val="0"/>
                <w:sz w:val="21"/>
                <w:szCs w:val="21"/>
              </w:rPr>
              <w:t>《</w:t>
            </w:r>
            <w:r>
              <w:rPr>
                <w:color w:val="auto"/>
                <w:kern w:val="0"/>
                <w:sz w:val="21"/>
                <w:szCs w:val="21"/>
                <w:highlight w:val="none"/>
              </w:rPr>
              <w:t>工业企业厂界环境噪声排放标准》（GB12348-2008）中</w:t>
            </w:r>
            <w:r>
              <w:rPr>
                <w:rFonts w:hint="eastAsia" w:eastAsia="宋体"/>
                <w:color w:val="auto"/>
                <w:kern w:val="0"/>
                <w:sz w:val="21"/>
                <w:szCs w:val="21"/>
                <w:highlight w:val="none"/>
                <w:lang w:val="en-US" w:eastAsia="zh-CN"/>
              </w:rPr>
              <w:t>3</w:t>
            </w:r>
            <w:r>
              <w:rPr>
                <w:color w:val="auto"/>
                <w:kern w:val="0"/>
                <w:sz w:val="21"/>
                <w:szCs w:val="21"/>
                <w:highlight w:val="none"/>
              </w:rPr>
              <w:t>类</w:t>
            </w:r>
            <w:r>
              <w:rPr>
                <w:rFonts w:hint="eastAsia"/>
                <w:color w:val="auto"/>
                <w:kern w:val="0"/>
                <w:sz w:val="21"/>
                <w:szCs w:val="21"/>
                <w:highlight w:val="none"/>
              </w:rPr>
              <w:t>标准</w:t>
            </w:r>
            <w:r>
              <w:rPr>
                <w:color w:val="auto"/>
                <w:kern w:val="0"/>
                <w:sz w:val="21"/>
                <w:szCs w:val="21"/>
              </w:rPr>
              <w:t>昼间：</w:t>
            </w:r>
            <w:r>
              <w:rPr>
                <w:rFonts w:hint="eastAsia"/>
                <w:color w:val="auto"/>
                <w:kern w:val="0"/>
                <w:sz w:val="21"/>
                <w:szCs w:val="21"/>
              </w:rPr>
              <w:t>6</w:t>
            </w:r>
            <w:r>
              <w:rPr>
                <w:rFonts w:hint="eastAsia" w:eastAsia="宋体"/>
                <w:color w:val="auto"/>
                <w:kern w:val="0"/>
                <w:sz w:val="21"/>
                <w:szCs w:val="21"/>
                <w:lang w:val="en-US" w:eastAsia="zh-CN"/>
              </w:rPr>
              <w:t>5</w:t>
            </w:r>
            <w:r>
              <w:rPr>
                <w:color w:val="auto"/>
                <w:kern w:val="0"/>
                <w:sz w:val="21"/>
                <w:szCs w:val="21"/>
              </w:rPr>
              <w:t>dB（A）</w:t>
            </w:r>
            <w:r>
              <w:rPr>
                <w:rFonts w:hint="eastAsia" w:eastAsia="宋体"/>
                <w:color w:val="auto"/>
                <w:kern w:val="0"/>
                <w:sz w:val="21"/>
                <w:szCs w:val="21"/>
                <w:lang w:eastAsia="zh-CN"/>
              </w:rPr>
              <w:t>、夜</w:t>
            </w:r>
            <w:r>
              <w:rPr>
                <w:color w:val="auto"/>
                <w:kern w:val="0"/>
                <w:sz w:val="21"/>
                <w:szCs w:val="21"/>
              </w:rPr>
              <w:t>间：</w:t>
            </w:r>
            <w:r>
              <w:rPr>
                <w:rFonts w:hint="eastAsia" w:eastAsia="宋体"/>
                <w:color w:val="auto"/>
                <w:kern w:val="0"/>
                <w:sz w:val="21"/>
                <w:szCs w:val="21"/>
                <w:lang w:val="en-US" w:eastAsia="zh-CN"/>
              </w:rPr>
              <w:t>55</w:t>
            </w:r>
            <w:r>
              <w:rPr>
                <w:color w:val="auto"/>
                <w:kern w:val="0"/>
                <w:sz w:val="21"/>
                <w:szCs w:val="21"/>
              </w:rPr>
              <w:t>dB（A）</w:t>
            </w:r>
            <w:r>
              <w:rPr>
                <w:rFonts w:hint="eastAsia" w:eastAsia="宋体"/>
                <w:color w:val="auto"/>
                <w:kern w:val="0"/>
                <w:sz w:val="21"/>
                <w:szCs w:val="21"/>
                <w:lang w:eastAsia="zh-CN"/>
              </w:rPr>
              <w:t>；</w:t>
            </w:r>
          </w:p>
        </w:tc>
      </w:tr>
      <w:tr w14:paraId="71145C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43" w:type="dxa"/>
            <w:vAlign w:val="center"/>
          </w:tcPr>
          <w:p w14:paraId="6264FBD9">
            <w:pPr>
              <w:pStyle w:val="3"/>
              <w:ind w:firstLine="0" w:firstLineChars="0"/>
              <w:rPr>
                <w:rFonts w:hint="eastAsia" w:ascii="宋体" w:hAnsi="宋体" w:cs="宋体"/>
                <w:color w:val="auto"/>
                <w:kern w:val="0"/>
                <w:sz w:val="21"/>
                <w:szCs w:val="21"/>
              </w:rPr>
            </w:pPr>
            <w:r>
              <w:rPr>
                <w:rFonts w:hint="eastAsia"/>
                <w:color w:val="auto"/>
                <w:kern w:val="0"/>
              </w:rPr>
              <w:t>电磁辐射</w:t>
            </w:r>
          </w:p>
        </w:tc>
        <w:tc>
          <w:tcPr>
            <w:tcW w:w="1525" w:type="dxa"/>
            <w:vAlign w:val="center"/>
          </w:tcPr>
          <w:p w14:paraId="1FFFB43A">
            <w:pPr>
              <w:ind w:left="0" w:leftChars="0" w:firstLine="0" w:firstLineChars="0"/>
              <w:jc w:val="center"/>
              <w:rPr>
                <w:rFonts w:hint="eastAsia" w:ascii="宋体" w:hAnsi="宋体" w:eastAsia="宋体" w:cs="宋体"/>
                <w:color w:val="auto"/>
                <w:kern w:val="0"/>
                <w:sz w:val="21"/>
                <w:szCs w:val="21"/>
                <w:lang w:eastAsia="zh-CN"/>
              </w:rPr>
            </w:pPr>
            <w:r>
              <w:rPr>
                <w:rFonts w:hint="eastAsia" w:ascii="宋体" w:hAnsi="宋体" w:cs="宋体"/>
                <w:color w:val="auto"/>
                <w:kern w:val="0"/>
              </w:rPr>
              <w:t>/</w:t>
            </w:r>
          </w:p>
        </w:tc>
        <w:tc>
          <w:tcPr>
            <w:tcW w:w="1292" w:type="dxa"/>
            <w:vAlign w:val="center"/>
          </w:tcPr>
          <w:p w14:paraId="58FD3FD7">
            <w:pPr>
              <w:ind w:left="0" w:leftChars="0" w:firstLine="0" w:firstLineChars="0"/>
              <w:jc w:val="center"/>
              <w:rPr>
                <w:rFonts w:hint="eastAsia" w:ascii="宋体" w:hAnsi="宋体" w:cs="宋体"/>
                <w:color w:val="auto"/>
                <w:kern w:val="0"/>
                <w:sz w:val="21"/>
                <w:szCs w:val="21"/>
              </w:rPr>
            </w:pPr>
            <w:r>
              <w:rPr>
                <w:rFonts w:hint="eastAsia" w:ascii="宋体" w:hAnsi="宋体" w:cs="宋体"/>
                <w:color w:val="auto"/>
                <w:kern w:val="0"/>
              </w:rPr>
              <w:t>/</w:t>
            </w:r>
          </w:p>
        </w:tc>
        <w:tc>
          <w:tcPr>
            <w:tcW w:w="1963" w:type="dxa"/>
            <w:vAlign w:val="center"/>
          </w:tcPr>
          <w:p w14:paraId="2DBE591A">
            <w:pPr>
              <w:ind w:left="0" w:leftChars="0" w:firstLine="0" w:firstLineChars="0"/>
              <w:jc w:val="center"/>
              <w:rPr>
                <w:rFonts w:hint="eastAsia"/>
                <w:color w:val="auto"/>
                <w:lang w:eastAsia="zh-CN"/>
              </w:rPr>
            </w:pPr>
            <w:r>
              <w:rPr>
                <w:rFonts w:hint="eastAsia" w:ascii="宋体" w:hAnsi="宋体" w:cs="宋体"/>
                <w:color w:val="auto"/>
                <w:kern w:val="0"/>
              </w:rPr>
              <w:t>/</w:t>
            </w:r>
          </w:p>
        </w:tc>
        <w:tc>
          <w:tcPr>
            <w:tcW w:w="2377" w:type="dxa"/>
            <w:vAlign w:val="center"/>
          </w:tcPr>
          <w:p w14:paraId="38483CB7">
            <w:pPr>
              <w:ind w:left="0" w:leftChars="0" w:firstLine="0" w:firstLineChars="0"/>
              <w:jc w:val="center"/>
              <w:rPr>
                <w:color w:val="auto"/>
                <w:kern w:val="0"/>
                <w:sz w:val="21"/>
                <w:szCs w:val="21"/>
              </w:rPr>
            </w:pPr>
            <w:r>
              <w:rPr>
                <w:rFonts w:hint="eastAsia" w:ascii="宋体" w:hAnsi="宋体" w:cs="宋体"/>
                <w:color w:val="auto"/>
                <w:kern w:val="0"/>
              </w:rPr>
              <w:t>/</w:t>
            </w:r>
          </w:p>
        </w:tc>
      </w:tr>
    </w:tbl>
    <w:p w14:paraId="398F0BB5">
      <w:pPr>
        <w:ind w:firstLine="480"/>
        <w:jc w:val="center"/>
        <w:rPr>
          <w:rFonts w:ascii="宋体" w:hAnsi="宋体" w:cs="宋体"/>
          <w:color w:val="auto"/>
          <w:kern w:val="0"/>
        </w:rPr>
      </w:pPr>
      <w:r>
        <w:rPr>
          <w:rFonts w:hint="eastAsia" w:ascii="宋体" w:hAnsi="宋体" w:cs="宋体"/>
          <w:color w:val="auto"/>
          <w:kern w:val="0"/>
        </w:rPr>
        <w:br w:type="page"/>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06"/>
        <w:gridCol w:w="7994"/>
      </w:tblGrid>
      <w:tr w14:paraId="166544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806" w:type="dxa"/>
            <w:vAlign w:val="center"/>
          </w:tcPr>
          <w:p w14:paraId="5602716E">
            <w:pPr>
              <w:pStyle w:val="3"/>
              <w:rPr>
                <w:color w:val="auto"/>
                <w:kern w:val="0"/>
              </w:rPr>
            </w:pPr>
            <w:r>
              <w:rPr>
                <w:rFonts w:hint="eastAsia"/>
                <w:color w:val="auto"/>
                <w:kern w:val="0"/>
                <w:highlight w:val="none"/>
              </w:rPr>
              <w:t>固体废物</w:t>
            </w:r>
          </w:p>
        </w:tc>
        <w:tc>
          <w:tcPr>
            <w:tcW w:w="7994" w:type="dxa"/>
            <w:vAlign w:val="center"/>
          </w:tcPr>
          <w:p w14:paraId="0C9C8982">
            <w:pPr>
              <w:adjustRightInd w:val="0"/>
              <w:snapToGrid w:val="0"/>
              <w:spacing w:line="360" w:lineRule="auto"/>
              <w:ind w:firstLine="480" w:firstLineChars="200"/>
              <w:rPr>
                <w:rFonts w:hint="eastAsia" w:eastAsia="宋体"/>
                <w:color w:val="auto"/>
                <w:sz w:val="24"/>
                <w:highlight w:val="none"/>
                <w:lang w:val="en-US" w:eastAsia="zh-CN"/>
              </w:rPr>
            </w:pPr>
            <w:r>
              <w:rPr>
                <w:color w:val="auto"/>
                <w:sz w:val="24"/>
                <w:highlight w:val="none"/>
              </w:rPr>
              <w:t>本项目产生的固体废物主要为</w:t>
            </w:r>
            <w:r>
              <w:rPr>
                <w:rFonts w:hint="eastAsia" w:eastAsia="宋体"/>
                <w:color w:val="auto"/>
                <w:sz w:val="24"/>
                <w:highlight w:val="none"/>
                <w:lang w:eastAsia="zh-CN"/>
              </w:rPr>
              <w:t>大豆膨化生产线振动清理工序产生废杂质；由于磷脂分线的加入，精炼线主线的皂脚产生量减少，废白土、脂肪酸、废滤袋产生量不发生变化、除尘器收集粉尘；磷脂分线设备日常维护、运行将产生废润滑油、</w:t>
            </w:r>
            <w:r>
              <w:rPr>
                <w:color w:val="auto"/>
                <w:sz w:val="24"/>
                <w:highlight w:val="none"/>
              </w:rPr>
              <w:t>含油抹布、劳保用品</w:t>
            </w:r>
            <w:r>
              <w:rPr>
                <w:rFonts w:hint="eastAsia"/>
                <w:color w:val="auto"/>
                <w:sz w:val="24"/>
                <w:highlight w:val="none"/>
                <w:lang w:eastAsia="zh-CN"/>
              </w:rPr>
              <w:t>，其中</w:t>
            </w:r>
            <w:r>
              <w:rPr>
                <w:rFonts w:hint="eastAsia" w:eastAsia="宋体"/>
                <w:color w:val="auto"/>
                <w:sz w:val="24"/>
                <w:highlight w:val="none"/>
                <w:lang w:eastAsia="zh-CN"/>
              </w:rPr>
              <w:t>废润滑油、</w:t>
            </w:r>
            <w:r>
              <w:rPr>
                <w:color w:val="auto"/>
                <w:sz w:val="24"/>
                <w:highlight w:val="none"/>
              </w:rPr>
              <w:t>含油抹布、劳保用品</w:t>
            </w:r>
            <w:r>
              <w:rPr>
                <w:rFonts w:hint="eastAsia" w:eastAsia="宋体"/>
                <w:color w:val="auto"/>
                <w:sz w:val="24"/>
                <w:highlight w:val="none"/>
                <w:lang w:eastAsia="zh-CN"/>
              </w:rPr>
              <w:t>属于危险废物。</w:t>
            </w:r>
          </w:p>
          <w:p w14:paraId="1A1E8276">
            <w:pPr>
              <w:ind w:firstLine="480"/>
              <w:rPr>
                <w:rFonts w:eastAsia="等线"/>
                <w:color w:val="auto"/>
                <w:kern w:val="0"/>
                <w:szCs w:val="21"/>
              </w:rPr>
            </w:pPr>
            <w:r>
              <w:rPr>
                <w:rFonts w:hint="eastAsia"/>
                <w:color w:val="auto"/>
                <w:sz w:val="24"/>
                <w:highlight w:val="none"/>
              </w:rPr>
              <w:t>本项目</w:t>
            </w:r>
            <w:r>
              <w:rPr>
                <w:rFonts w:hint="eastAsia" w:eastAsia="宋体"/>
                <w:color w:val="auto"/>
                <w:sz w:val="24"/>
                <w:highlight w:val="none"/>
                <w:lang w:eastAsia="zh-CN"/>
              </w:rPr>
              <w:t>在厂房南部设置</w:t>
            </w:r>
            <w:r>
              <w:rPr>
                <w:rFonts w:hint="eastAsia" w:eastAsia="宋体"/>
                <w:color w:val="auto"/>
                <w:sz w:val="24"/>
                <w:highlight w:val="none"/>
                <w:lang w:val="en-US" w:eastAsia="zh-CN"/>
              </w:rPr>
              <w:t>1个建筑面积为15m</w:t>
            </w:r>
            <w:r>
              <w:rPr>
                <w:rFonts w:hint="eastAsia" w:eastAsia="宋体"/>
                <w:color w:val="auto"/>
                <w:sz w:val="24"/>
                <w:highlight w:val="none"/>
                <w:vertAlign w:val="superscript"/>
                <w:lang w:val="en-US" w:eastAsia="zh-CN"/>
              </w:rPr>
              <w:t>2</w:t>
            </w:r>
            <w:r>
              <w:rPr>
                <w:rFonts w:hint="eastAsia" w:eastAsia="宋体"/>
                <w:color w:val="auto"/>
                <w:sz w:val="24"/>
                <w:highlight w:val="none"/>
                <w:lang w:val="en-US" w:eastAsia="zh-CN"/>
              </w:rPr>
              <w:t>的危险废物贮存库，</w:t>
            </w:r>
            <w:r>
              <w:rPr>
                <w:rFonts w:hint="default" w:ascii="Times New Roman" w:hAnsi="Times New Roman" w:cs="Times New Roman"/>
                <w:color w:val="auto"/>
                <w:sz w:val="24"/>
                <w:szCs w:val="24"/>
              </w:rPr>
              <w:t>其地面及裙角进行防腐、防渗处理，</w:t>
            </w:r>
            <w:r>
              <w:rPr>
                <w:rFonts w:hint="eastAsia" w:ascii="Times New Roman" w:hAnsi="Times New Roman" w:eastAsia="宋体" w:cs="Times New Roman"/>
                <w:color w:val="auto"/>
                <w:sz w:val="24"/>
                <w:szCs w:val="24"/>
                <w:lang w:eastAsia="zh-CN"/>
              </w:rPr>
              <w:t>危险废物</w:t>
            </w:r>
            <w:r>
              <w:rPr>
                <w:rFonts w:hint="eastAsia" w:eastAsia="宋体" w:cs="Times New Roman"/>
                <w:color w:val="auto"/>
                <w:szCs w:val="24"/>
                <w:lang w:eastAsia="zh-CN"/>
              </w:rPr>
              <w:t>贮存库</w:t>
            </w:r>
            <w:r>
              <w:rPr>
                <w:rFonts w:hint="eastAsia" w:ascii="Times New Roman" w:hAnsi="Times New Roman" w:eastAsia="宋体" w:cs="Times New Roman"/>
                <w:color w:val="auto"/>
                <w:sz w:val="24"/>
                <w:szCs w:val="24"/>
                <w:lang w:eastAsia="zh-CN"/>
              </w:rPr>
              <w:t>四周设置截流沟</w:t>
            </w:r>
            <w:r>
              <w:rPr>
                <w:rFonts w:hint="default" w:ascii="Times New Roman" w:hAnsi="Times New Roman" w:cs="Times New Roman"/>
                <w:color w:val="auto"/>
                <w:sz w:val="24"/>
                <w:szCs w:val="24"/>
              </w:rPr>
              <w:t>，</w:t>
            </w:r>
            <w:r>
              <w:rPr>
                <w:rFonts w:hint="eastAsia" w:eastAsia="宋体"/>
                <w:color w:val="auto"/>
                <w:sz w:val="24"/>
                <w:szCs w:val="24"/>
                <w:lang w:eastAsia="zh-CN"/>
              </w:rPr>
              <w:t>保证危险废物不外漏</w:t>
            </w:r>
            <w:r>
              <w:rPr>
                <w:color w:val="auto"/>
                <w:kern w:val="0"/>
                <w:lang w:bidi="ar"/>
              </w:rPr>
              <w:t>。</w:t>
            </w:r>
            <w:r>
              <w:rPr>
                <w:color w:val="auto"/>
                <w:kern w:val="0"/>
              </w:rPr>
              <w:t>危险废物应及时分类收集，并按照类别分别置于防渗漏、防锐器穿透的专用包装物或者密闭的容器内（包装桶）。危险废物经危险废物</w:t>
            </w:r>
            <w:r>
              <w:rPr>
                <w:rFonts w:hint="eastAsia" w:eastAsia="宋体" w:cs="Times New Roman"/>
                <w:color w:val="auto"/>
                <w:szCs w:val="24"/>
                <w:lang w:eastAsia="zh-CN"/>
              </w:rPr>
              <w:t>贮存库</w:t>
            </w:r>
            <w:r>
              <w:rPr>
                <w:color w:val="auto"/>
                <w:kern w:val="0"/>
              </w:rPr>
              <w:t>暂存后定期</w:t>
            </w:r>
            <w:r>
              <w:rPr>
                <w:rFonts w:hint="eastAsia" w:eastAsia="宋体"/>
                <w:color w:val="auto"/>
                <w:kern w:val="0"/>
                <w:lang w:eastAsia="zh-CN"/>
              </w:rPr>
              <w:t>交由</w:t>
            </w:r>
            <w:r>
              <w:rPr>
                <w:color w:val="auto"/>
                <w:kern w:val="0"/>
              </w:rPr>
              <w:t>危险废物处理资质单位处置，并做好危废转移记录及相关转移联单，制定环保管理制度。</w:t>
            </w:r>
          </w:p>
        </w:tc>
      </w:tr>
      <w:tr w14:paraId="4A4EE4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806" w:type="dxa"/>
            <w:vAlign w:val="center"/>
          </w:tcPr>
          <w:p w14:paraId="72F310FF">
            <w:pPr>
              <w:pStyle w:val="3"/>
              <w:rPr>
                <w:color w:val="auto"/>
                <w:kern w:val="0"/>
              </w:rPr>
            </w:pPr>
            <w:r>
              <w:rPr>
                <w:rFonts w:hint="eastAsia"/>
                <w:color w:val="auto"/>
                <w:kern w:val="0"/>
              </w:rPr>
              <w:t>土壤及地下水</w:t>
            </w:r>
          </w:p>
          <w:p w14:paraId="4156A330">
            <w:pPr>
              <w:pStyle w:val="3"/>
              <w:rPr>
                <w:color w:val="auto"/>
                <w:kern w:val="0"/>
              </w:rPr>
            </w:pPr>
            <w:r>
              <w:rPr>
                <w:rFonts w:hint="eastAsia"/>
                <w:color w:val="auto"/>
                <w:kern w:val="0"/>
              </w:rPr>
              <w:t>污染防治措施</w:t>
            </w:r>
          </w:p>
        </w:tc>
        <w:tc>
          <w:tcPr>
            <w:tcW w:w="7994" w:type="dxa"/>
            <w:vAlign w:val="center"/>
          </w:tcPr>
          <w:p w14:paraId="7E97F783">
            <w:pPr>
              <w:widowControl/>
              <w:adjustRightInd w:val="0"/>
              <w:snapToGrid w:val="0"/>
              <w:spacing w:line="360" w:lineRule="auto"/>
              <w:ind w:firstLine="480" w:firstLineChars="200"/>
              <w:rPr>
                <w:rFonts w:hint="eastAsia" w:eastAsia="宋体"/>
                <w:color w:val="auto"/>
                <w:sz w:val="24"/>
                <w:lang w:eastAsia="zh-CN"/>
              </w:rPr>
            </w:pPr>
            <w:r>
              <w:rPr>
                <w:rFonts w:hint="eastAsia" w:eastAsia="宋体"/>
                <w:color w:val="auto"/>
                <w:kern w:val="0"/>
                <w:sz w:val="24"/>
                <w:lang w:eastAsia="zh-CN" w:bidi="ar"/>
              </w:rPr>
              <w:t>本项目利用现有生产厂房进行扩建，涉及的原辅材料储存、产品储存、固体废物的暂存以及生产废水的处理均依托厂区现有设施。根据</w:t>
            </w:r>
            <w:r>
              <w:rPr>
                <w:rFonts w:hint="default" w:ascii="Times New Roman" w:hAnsi="Times New Roman" w:eastAsia="宋体" w:cs="Times New Roman"/>
                <w:b w:val="0"/>
                <w:bCs/>
                <w:color w:val="auto"/>
                <w:kern w:val="2"/>
                <w:sz w:val="24"/>
                <w:szCs w:val="24"/>
                <w:lang w:val="en-US" w:eastAsia="zh-CN" w:bidi="ar-SA"/>
              </w:rPr>
              <w:t>《</w:t>
            </w:r>
            <w:r>
              <w:rPr>
                <w:rFonts w:hint="default" w:ascii="Times New Roman" w:hAnsi="Times New Roman" w:eastAsia="宋体" w:cs="Times New Roman"/>
                <w:b w:val="0"/>
                <w:bCs/>
                <w:color w:val="auto"/>
                <w:sz w:val="24"/>
                <w:szCs w:val="24"/>
              </w:rPr>
              <w:t>重庆市涪陵区龙桥镇中粮油脂（重庆）有限公司2020年技改项目竣工环境保护验收监测报告表</w:t>
            </w:r>
            <w:r>
              <w:rPr>
                <w:rFonts w:hint="default" w:ascii="Times New Roman" w:hAnsi="Times New Roman" w:eastAsia="宋体" w:cs="Times New Roman"/>
                <w:b w:val="0"/>
                <w:bCs/>
                <w:color w:val="auto"/>
                <w:kern w:val="2"/>
                <w:sz w:val="24"/>
                <w:szCs w:val="24"/>
                <w:lang w:val="en-US" w:eastAsia="zh-CN" w:bidi="ar-SA"/>
              </w:rPr>
              <w:t>》</w:t>
            </w:r>
            <w:r>
              <w:rPr>
                <w:rFonts w:hint="eastAsia" w:ascii="Times New Roman" w:hAnsi="Times New Roman" w:eastAsia="宋体" w:cs="Times New Roman"/>
                <w:b w:val="0"/>
                <w:bCs/>
                <w:color w:val="auto"/>
                <w:kern w:val="2"/>
                <w:sz w:val="24"/>
                <w:szCs w:val="24"/>
                <w:lang w:val="en-US" w:eastAsia="zh-CN" w:bidi="ar-SA"/>
              </w:rPr>
              <w:t>，现有工程已根据</w:t>
            </w:r>
            <w:r>
              <w:rPr>
                <w:color w:val="auto"/>
                <w:kern w:val="0"/>
                <w:sz w:val="24"/>
                <w:lang w:bidi="ar"/>
              </w:rPr>
              <w:t>《环境影响评价技术导则</w:t>
            </w:r>
            <w:r>
              <w:rPr>
                <w:rFonts w:hint="eastAsia"/>
                <w:color w:val="auto"/>
                <w:kern w:val="0"/>
                <w:sz w:val="24"/>
                <w:lang w:bidi="ar"/>
              </w:rPr>
              <w:t>—</w:t>
            </w:r>
            <w:r>
              <w:rPr>
                <w:color w:val="auto"/>
                <w:kern w:val="0"/>
                <w:sz w:val="24"/>
                <w:lang w:bidi="ar"/>
              </w:rPr>
              <w:t>地下水环境》（HJ610-2016）中“地下水环境保护措施及对策”的相关内容，并参照《危险废物填埋污染控制标准》（GB18598-20</w:t>
            </w:r>
            <w:r>
              <w:rPr>
                <w:rFonts w:hint="eastAsia"/>
                <w:color w:val="auto"/>
                <w:kern w:val="0"/>
                <w:sz w:val="24"/>
                <w:lang w:val="en-US" w:eastAsia="zh-CN" w:bidi="ar"/>
              </w:rPr>
              <w:t>23</w:t>
            </w:r>
            <w:r>
              <w:rPr>
                <w:color w:val="auto"/>
                <w:kern w:val="0"/>
                <w:sz w:val="24"/>
                <w:lang w:bidi="ar"/>
              </w:rPr>
              <w:t>）</w:t>
            </w:r>
            <w:r>
              <w:rPr>
                <w:rFonts w:hint="eastAsia" w:eastAsia="宋体"/>
                <w:color w:val="auto"/>
                <w:kern w:val="0"/>
                <w:sz w:val="24"/>
                <w:lang w:eastAsia="zh-CN" w:bidi="ar"/>
              </w:rPr>
              <w:t>，</w:t>
            </w:r>
            <w:r>
              <w:rPr>
                <w:rFonts w:hint="eastAsia" w:ascii="Times New Roman" w:hAnsi="Times New Roman" w:eastAsia="宋体" w:cs="Times New Roman"/>
                <w:b w:val="0"/>
                <w:bCs/>
                <w:color w:val="auto"/>
                <w:kern w:val="2"/>
                <w:sz w:val="24"/>
                <w:szCs w:val="24"/>
                <w:lang w:val="en-US" w:eastAsia="zh-CN" w:bidi="ar-SA"/>
              </w:rPr>
              <w:t>采取分区防渗措施，其中重点防渗区包括：各储</w:t>
            </w:r>
            <w:r>
              <w:rPr>
                <w:rFonts w:hint="eastAsia" w:ascii="Times New Roman" w:hAnsi="Times New Roman" w:cs="Times New Roman"/>
                <w:bCs/>
                <w:color w:val="auto"/>
                <w:kern w:val="0"/>
                <w:sz w:val="24"/>
                <w:lang w:eastAsia="zh-CN"/>
              </w:rPr>
              <w:t>罐区围堰、</w:t>
            </w:r>
            <w:r>
              <w:rPr>
                <w:rFonts w:hint="default" w:ascii="Times New Roman" w:hAnsi="Times New Roman" w:cs="Times New Roman"/>
                <w:bCs/>
                <w:color w:val="auto"/>
                <w:kern w:val="0"/>
                <w:sz w:val="24"/>
              </w:rPr>
              <w:t>精炼车间、浸出车间、</w:t>
            </w:r>
            <w:r>
              <w:rPr>
                <w:rFonts w:hint="eastAsia" w:ascii="Times New Roman" w:hAnsi="Times New Roman" w:eastAsia="宋体" w:cs="Times New Roman"/>
                <w:bCs/>
                <w:color w:val="auto"/>
                <w:kern w:val="0"/>
                <w:sz w:val="24"/>
                <w:lang w:eastAsia="zh-CN"/>
              </w:rPr>
              <w:t>品控室、</w:t>
            </w:r>
            <w:r>
              <w:rPr>
                <w:rFonts w:hint="default" w:ascii="Times New Roman" w:hAnsi="Times New Roman" w:cs="Times New Roman"/>
                <w:bCs/>
                <w:color w:val="auto"/>
                <w:kern w:val="0"/>
                <w:sz w:val="24"/>
              </w:rPr>
              <w:t>包装车间、</w:t>
            </w:r>
            <w:r>
              <w:rPr>
                <w:rFonts w:hint="eastAsia" w:ascii="Times New Roman" w:hAnsi="Times New Roman" w:eastAsia="宋体" w:cs="Times New Roman"/>
                <w:bCs/>
                <w:color w:val="auto"/>
                <w:kern w:val="0"/>
                <w:sz w:val="24"/>
                <w:lang w:eastAsia="zh-CN"/>
              </w:rPr>
              <w:t>危险废物贮存库、综合污水处理站；一般防渗区包括：预处理车间、</w:t>
            </w:r>
            <w:r>
              <w:rPr>
                <w:rFonts w:hint="default" w:ascii="Times New Roman" w:hAnsi="Times New Roman" w:cs="Times New Roman"/>
                <w:bCs/>
                <w:color w:val="auto"/>
                <w:kern w:val="0"/>
                <w:sz w:val="24"/>
              </w:rPr>
              <w:t>一般工业固体废物暂存区</w:t>
            </w:r>
            <w:r>
              <w:rPr>
                <w:rFonts w:hint="eastAsia" w:ascii="Times New Roman" w:hAnsi="Times New Roman" w:eastAsia="宋体" w:cs="Times New Roman"/>
                <w:bCs/>
                <w:color w:val="auto"/>
                <w:kern w:val="0"/>
                <w:sz w:val="24"/>
                <w:lang w:eastAsia="zh-CN"/>
              </w:rPr>
              <w:t>；简单防渗区包括：</w:t>
            </w:r>
            <w:r>
              <w:rPr>
                <w:rFonts w:hint="default" w:ascii="Times New Roman" w:hAnsi="Times New Roman" w:cs="Times New Roman"/>
                <w:color w:val="auto"/>
                <w:sz w:val="24"/>
                <w:szCs w:val="24"/>
              </w:rPr>
              <w:t>杂物区及办公区</w:t>
            </w:r>
            <w:r>
              <w:rPr>
                <w:rFonts w:hint="eastAsia" w:ascii="Times New Roman" w:hAnsi="Times New Roman" w:eastAsia="宋体" w:cs="Times New Roman"/>
                <w:color w:val="auto"/>
                <w:sz w:val="24"/>
                <w:szCs w:val="24"/>
                <w:lang w:eastAsia="zh-CN"/>
              </w:rPr>
              <w:t>。厂区的</w:t>
            </w:r>
            <w:r>
              <w:rPr>
                <w:color w:val="auto"/>
                <w:kern w:val="0"/>
                <w:sz w:val="24"/>
                <w:lang w:bidi="ar"/>
              </w:rPr>
              <w:t>地下水</w:t>
            </w:r>
            <w:r>
              <w:rPr>
                <w:rFonts w:hint="eastAsia" w:eastAsia="宋体"/>
                <w:color w:val="auto"/>
                <w:kern w:val="0"/>
                <w:sz w:val="24"/>
                <w:lang w:eastAsia="zh-CN" w:bidi="ar"/>
              </w:rPr>
              <w:t>、土壤</w:t>
            </w:r>
            <w:r>
              <w:rPr>
                <w:color w:val="auto"/>
                <w:kern w:val="0"/>
                <w:sz w:val="24"/>
                <w:lang w:bidi="ar"/>
              </w:rPr>
              <w:t>污染防渗措施以水平防渗为主，</w:t>
            </w:r>
            <w:r>
              <w:rPr>
                <w:rFonts w:hint="eastAsia"/>
                <w:color w:val="auto"/>
                <w:kern w:val="0"/>
                <w:sz w:val="24"/>
                <w:lang w:bidi="ar"/>
              </w:rPr>
              <w:t>具体分区防渗措施</w:t>
            </w:r>
            <w:r>
              <w:rPr>
                <w:color w:val="auto"/>
                <w:kern w:val="0"/>
                <w:sz w:val="24"/>
                <w:lang w:bidi="ar"/>
              </w:rPr>
              <w:t>如下：</w:t>
            </w:r>
          </w:p>
          <w:p w14:paraId="3EB66ED6">
            <w:pPr>
              <w:bidi w:val="0"/>
              <w:rPr>
                <w:rFonts w:hint="default"/>
                <w:color w:val="auto"/>
              </w:rPr>
            </w:pPr>
            <w:r>
              <w:rPr>
                <w:rFonts w:hint="default"/>
                <w:color w:val="auto"/>
                <w:lang w:eastAsia="zh-CN"/>
              </w:rPr>
              <w:t>（</w:t>
            </w:r>
            <w:r>
              <w:rPr>
                <w:rFonts w:hint="default"/>
                <w:color w:val="auto"/>
                <w:lang w:val="en-US" w:eastAsia="zh-CN"/>
              </w:rPr>
              <w:t>1</w:t>
            </w:r>
            <w:r>
              <w:rPr>
                <w:rFonts w:hint="default"/>
                <w:color w:val="auto"/>
                <w:lang w:eastAsia="zh-CN"/>
              </w:rPr>
              <w:t>）</w:t>
            </w:r>
            <w:r>
              <w:rPr>
                <w:rFonts w:hint="default"/>
                <w:color w:val="auto"/>
              </w:rPr>
              <w:t>重点防渗区</w:t>
            </w:r>
          </w:p>
          <w:p w14:paraId="36D024BD">
            <w:pPr>
              <w:bidi w:val="0"/>
              <w:rPr>
                <w:rFonts w:hint="default"/>
                <w:color w:val="auto"/>
              </w:rPr>
            </w:pPr>
            <w:r>
              <w:rPr>
                <w:rFonts w:hint="default"/>
                <w:color w:val="auto"/>
              </w:rPr>
              <w:t>重点防渗区地坪防渗性能要求为渗透系数小于10</w:t>
            </w:r>
            <w:r>
              <w:rPr>
                <w:rFonts w:hint="default"/>
                <w:color w:val="auto"/>
                <w:vertAlign w:val="superscript"/>
              </w:rPr>
              <w:t>-7</w:t>
            </w:r>
            <w:r>
              <w:rPr>
                <w:rFonts w:hint="default"/>
                <w:color w:val="auto"/>
              </w:rPr>
              <w:t>cm/s，等效粘土层厚度不小于6m，防渗措施如下：</w:t>
            </w:r>
          </w:p>
          <w:p w14:paraId="1FCE670D">
            <w:pPr>
              <w:bidi w:val="0"/>
              <w:rPr>
                <w:rFonts w:hint="default" w:ascii="Times New Roman" w:hAnsi="Times New Roman" w:cs="Times New Roman"/>
                <w:color w:val="auto"/>
                <w:kern w:val="0"/>
                <w:lang w:bidi="ar"/>
              </w:rPr>
            </w:pPr>
            <w:r>
              <w:rPr>
                <w:rFonts w:hint="default"/>
                <w:color w:val="auto"/>
              </w:rPr>
              <w:t>①</w:t>
            </w:r>
            <w:r>
              <w:rPr>
                <w:rFonts w:hint="eastAsia"/>
                <w:color w:val="auto"/>
                <w:lang w:eastAsia="zh-CN"/>
              </w:rPr>
              <w:t>重点防渗区</w:t>
            </w:r>
            <w:r>
              <w:rPr>
                <w:rFonts w:hint="default"/>
                <w:color w:val="auto"/>
              </w:rPr>
              <w:t>地面及裙角采用特殊防腐、防渗处理，经防渗处理后等效黏土防渗层Mb≥6.0m，渗透系数≤1.0×10-7cm/s。耐久性应符合现行国家标准《混凝土结构设计规范》（GB50010）的有关规定：混</w:t>
            </w:r>
            <w:r>
              <w:rPr>
                <w:rFonts w:hint="default" w:ascii="Times New Roman" w:hAnsi="Times New Roman" w:cs="Times New Roman"/>
                <w:color w:val="auto"/>
                <w:kern w:val="0"/>
                <w:lang w:bidi="ar"/>
              </w:rPr>
              <w:t>凝土强度等级不宜低于C30；结构厚度不应小于250mm；混凝土的抗渗等级不应低于P8，且水池的内表面应涂刷水泥基渗透结晶型或喷涂聚脲等防水涂料，或在混凝土内掺加水泥基渗透结晶型防水剂；水泥基渗透结晶型防水涂料厚度不应小于1.0mm，喷涂聚脲防水涂料厚度不应小于1.5mm；当混凝土内掺加水泥基渗透结晶型防水剂时，掺量宜为胶凝材料总量的1%~2%。</w:t>
            </w:r>
            <w:r>
              <w:rPr>
                <w:rFonts w:hint="eastAsia" w:ascii="Times New Roman" w:hAnsi="Times New Roman" w:eastAsia="宋体" w:cs="Times New Roman"/>
                <w:color w:val="auto"/>
                <w:kern w:val="0"/>
                <w:lang w:eastAsia="zh-CN" w:bidi="ar"/>
              </w:rPr>
              <w:t>品控室</w:t>
            </w:r>
            <w:r>
              <w:rPr>
                <w:rFonts w:hint="default" w:ascii="Times New Roman" w:hAnsi="Times New Roman" w:cs="Times New Roman"/>
                <w:color w:val="auto"/>
                <w:kern w:val="0"/>
                <w:lang w:bidi="ar"/>
              </w:rPr>
              <w:t>设置专用桶进行</w:t>
            </w:r>
            <w:r>
              <w:rPr>
                <w:rFonts w:hint="default" w:ascii="Times New Roman" w:hAnsi="Times New Roman" w:eastAsia="宋体" w:cs="Times New Roman"/>
                <w:color w:val="auto"/>
                <w:kern w:val="0"/>
                <w:lang w:eastAsia="zh-CN" w:bidi="ar"/>
              </w:rPr>
              <w:t>收集</w:t>
            </w:r>
            <w:r>
              <w:rPr>
                <w:rFonts w:hint="default" w:ascii="Times New Roman" w:hAnsi="Times New Roman" w:cs="Times New Roman"/>
                <w:color w:val="auto"/>
                <w:kern w:val="0"/>
                <w:lang w:bidi="ar"/>
              </w:rPr>
              <w:t>（随时观察收集量，并及时转运、更换收集桶）。</w:t>
            </w:r>
          </w:p>
          <w:p w14:paraId="6F44AA7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default" w:eastAsia="宋体"/>
                <w:color w:val="auto"/>
                <w:sz w:val="24"/>
                <w:lang w:val="en-US" w:eastAsia="zh-CN"/>
              </w:rPr>
            </w:pPr>
            <w:r>
              <w:rPr>
                <w:rFonts w:hint="default" w:ascii="Times New Roman" w:hAnsi="Times New Roman" w:eastAsia="微软雅黑" w:cs="Times New Roman"/>
                <w:color w:val="auto"/>
                <w:kern w:val="0"/>
                <w:sz w:val="24"/>
                <w:lang w:bidi="ar"/>
              </w:rPr>
              <w:t>②</w:t>
            </w:r>
            <w:r>
              <w:rPr>
                <w:rFonts w:hint="default" w:ascii="Times New Roman" w:hAnsi="Times New Roman" w:cs="Times New Roman"/>
                <w:color w:val="auto"/>
                <w:kern w:val="0"/>
                <w:sz w:val="24"/>
                <w:lang w:bidi="ar"/>
              </w:rPr>
              <w:t>危险废物</w:t>
            </w:r>
            <w:r>
              <w:rPr>
                <w:rFonts w:hint="eastAsia" w:eastAsia="宋体" w:cs="Times New Roman"/>
                <w:color w:val="auto"/>
                <w:szCs w:val="24"/>
                <w:lang w:eastAsia="zh-CN"/>
              </w:rPr>
              <w:t>贮存库</w:t>
            </w:r>
            <w:r>
              <w:rPr>
                <w:rFonts w:hint="default" w:ascii="Times New Roman" w:hAnsi="Times New Roman" w:cs="Times New Roman"/>
                <w:color w:val="auto"/>
                <w:kern w:val="0"/>
                <w:sz w:val="24"/>
                <w:lang w:bidi="ar"/>
              </w:rPr>
              <w:t>参照《危险废物贮存污染控制标准》（GB18597-20</w:t>
            </w:r>
            <w:r>
              <w:rPr>
                <w:rFonts w:hint="default" w:ascii="Times New Roman" w:hAnsi="Times New Roman" w:cs="Times New Roman"/>
                <w:color w:val="auto"/>
                <w:kern w:val="0"/>
                <w:sz w:val="24"/>
                <w:lang w:val="en-US" w:eastAsia="zh-CN" w:bidi="ar"/>
              </w:rPr>
              <w:t>23</w:t>
            </w:r>
            <w:r>
              <w:rPr>
                <w:rFonts w:hint="default" w:ascii="Times New Roman" w:hAnsi="Times New Roman" w:cs="Times New Roman"/>
                <w:color w:val="auto"/>
                <w:kern w:val="0"/>
                <w:sz w:val="24"/>
                <w:lang w:bidi="ar"/>
              </w:rPr>
              <w:t>），并结合危险废物类别进行分区。危险废物</w:t>
            </w:r>
            <w:r>
              <w:rPr>
                <w:rFonts w:hint="eastAsia" w:eastAsia="宋体" w:cs="Times New Roman"/>
                <w:color w:val="auto"/>
                <w:szCs w:val="24"/>
                <w:lang w:eastAsia="zh-CN"/>
              </w:rPr>
              <w:t>贮存库</w:t>
            </w:r>
            <w:r>
              <w:rPr>
                <w:rFonts w:hint="default" w:ascii="Times New Roman" w:hAnsi="Times New Roman" w:cs="Times New Roman"/>
                <w:color w:val="auto"/>
                <w:kern w:val="0"/>
                <w:sz w:val="24"/>
                <w:lang w:bidi="ar"/>
              </w:rPr>
              <w:t>设置收集沟、收集井；液态危废暂存区域围堰内铺设厚度约2mm的高密度聚乙烯膜进一步防渗，内设专用容器对各类废液进行分类收集暂存</w:t>
            </w:r>
            <w:r>
              <w:rPr>
                <w:color w:val="auto"/>
                <w:kern w:val="0"/>
                <w:sz w:val="24"/>
                <w:lang w:bidi="ar"/>
              </w:rPr>
              <w:t>。</w:t>
            </w:r>
          </w:p>
          <w:p w14:paraId="14C356F4">
            <w:pPr>
              <w:widowControl/>
              <w:adjustRightInd w:val="0"/>
              <w:snapToGrid w:val="0"/>
              <w:spacing w:line="360" w:lineRule="auto"/>
              <w:ind w:firstLine="480" w:firstLineChars="200"/>
              <w:rPr>
                <w:rFonts w:hint="default" w:ascii="Times New Roman" w:hAnsi="Times New Roman" w:eastAsia="宋体" w:cs="Times New Roman"/>
                <w:color w:val="auto"/>
                <w:kern w:val="0"/>
                <w:sz w:val="24"/>
                <w:lang w:eastAsia="zh-CN" w:bidi="ar"/>
              </w:rPr>
            </w:pPr>
            <w:r>
              <w:rPr>
                <w:rFonts w:hint="default" w:ascii="Times New Roman" w:hAnsi="Times New Roman" w:eastAsia="宋体" w:cs="Times New Roman"/>
                <w:color w:val="auto"/>
                <w:kern w:val="0"/>
                <w:sz w:val="24"/>
                <w:lang w:eastAsia="zh-CN" w:bidi="ar"/>
              </w:rPr>
              <w:t>（</w:t>
            </w:r>
            <w:r>
              <w:rPr>
                <w:rFonts w:hint="default" w:ascii="Times New Roman" w:hAnsi="Times New Roman" w:eastAsia="宋体" w:cs="Times New Roman"/>
                <w:color w:val="auto"/>
                <w:kern w:val="0"/>
                <w:sz w:val="24"/>
                <w:lang w:val="en-US" w:eastAsia="zh-CN" w:bidi="ar"/>
              </w:rPr>
              <w:t>2</w:t>
            </w:r>
            <w:r>
              <w:rPr>
                <w:rFonts w:hint="default" w:ascii="Times New Roman" w:hAnsi="Times New Roman" w:eastAsia="宋体" w:cs="Times New Roman"/>
                <w:color w:val="auto"/>
                <w:kern w:val="0"/>
                <w:sz w:val="24"/>
                <w:lang w:eastAsia="zh-CN" w:bidi="ar"/>
              </w:rPr>
              <w:t>）一般防渗区</w:t>
            </w:r>
          </w:p>
          <w:p w14:paraId="1CDF1B59">
            <w:pPr>
              <w:adjustRightInd w:val="0"/>
              <w:snapToGrid w:val="0"/>
              <w:spacing w:line="360" w:lineRule="auto"/>
              <w:ind w:firstLine="480" w:firstLineChars="200"/>
              <w:rPr>
                <w:rFonts w:hint="default" w:ascii="Times New Roman" w:hAnsi="Times New Roman" w:cs="Times New Roman"/>
                <w:color w:val="auto"/>
                <w:kern w:val="0"/>
                <w:sz w:val="24"/>
              </w:rPr>
            </w:pPr>
            <w:r>
              <w:rPr>
                <w:rFonts w:hint="eastAsia" w:ascii="Times New Roman" w:hAnsi="Times New Roman" w:eastAsia="宋体" w:cs="Times New Roman"/>
                <w:bCs/>
                <w:color w:val="auto"/>
                <w:kern w:val="0"/>
                <w:sz w:val="24"/>
                <w:lang w:eastAsia="zh-CN"/>
              </w:rPr>
              <w:t>预处理车间、</w:t>
            </w:r>
            <w:r>
              <w:rPr>
                <w:rFonts w:hint="default" w:ascii="Times New Roman" w:hAnsi="Times New Roman" w:cs="Times New Roman"/>
                <w:bCs/>
                <w:color w:val="auto"/>
                <w:kern w:val="0"/>
                <w:sz w:val="24"/>
              </w:rPr>
              <w:t>一般工业固体废物暂存区</w:t>
            </w:r>
            <w:r>
              <w:rPr>
                <w:rFonts w:hint="default" w:ascii="Times New Roman" w:hAnsi="Times New Roman" w:cs="Times New Roman"/>
                <w:color w:val="auto"/>
                <w:kern w:val="0"/>
                <w:sz w:val="24"/>
              </w:rPr>
              <w:t>作为一般防渗区，地坪防渗性能要求为等效黏土防渗层Mb≥1.5m，K≤1×10</w:t>
            </w:r>
            <w:r>
              <w:rPr>
                <w:rFonts w:hint="default" w:ascii="Times New Roman" w:hAnsi="Times New Roman" w:cs="Times New Roman"/>
                <w:color w:val="auto"/>
                <w:kern w:val="0"/>
                <w:sz w:val="24"/>
                <w:vertAlign w:val="superscript"/>
              </w:rPr>
              <w:t>-7</w:t>
            </w:r>
            <w:r>
              <w:rPr>
                <w:rFonts w:hint="default" w:ascii="Times New Roman" w:hAnsi="Times New Roman" w:cs="Times New Roman"/>
                <w:color w:val="auto"/>
                <w:kern w:val="0"/>
                <w:sz w:val="24"/>
              </w:rPr>
              <w:t>cm/s。</w:t>
            </w:r>
            <w:r>
              <w:rPr>
                <w:rFonts w:hint="eastAsia" w:ascii="Times New Roman" w:hAnsi="Times New Roman" w:eastAsia="宋体" w:cs="Times New Roman"/>
                <w:bCs/>
                <w:color w:val="auto"/>
                <w:kern w:val="0"/>
                <w:sz w:val="24"/>
                <w:lang w:eastAsia="zh-CN"/>
              </w:rPr>
              <w:t>预处理车间、</w:t>
            </w:r>
            <w:r>
              <w:rPr>
                <w:rFonts w:hint="default" w:ascii="Times New Roman" w:hAnsi="Times New Roman" w:cs="Times New Roman"/>
                <w:color w:val="auto"/>
                <w:kern w:val="0"/>
                <w:sz w:val="24"/>
                <w:lang w:val="en-US" w:eastAsia="zh-CN"/>
              </w:rPr>
              <w:t>一般固废暂存间</w:t>
            </w:r>
            <w:r>
              <w:rPr>
                <w:rFonts w:hint="default" w:ascii="Times New Roman" w:hAnsi="Times New Roman" w:cs="Times New Roman"/>
                <w:color w:val="auto"/>
                <w:kern w:val="0"/>
                <w:sz w:val="24"/>
              </w:rPr>
              <w:t>地坪为混凝土地坪，满足一般防渗区防渗要求。</w:t>
            </w:r>
          </w:p>
          <w:p w14:paraId="61C3D49F">
            <w:pPr>
              <w:adjustRightInd w:val="0"/>
              <w:snapToGrid w:val="0"/>
              <w:spacing w:line="360" w:lineRule="auto"/>
              <w:ind w:firstLine="480" w:firstLineChars="200"/>
              <w:rPr>
                <w:rFonts w:hint="default" w:ascii="Times New Roman" w:hAnsi="Times New Roman" w:cs="Times New Roman"/>
                <w:color w:val="auto"/>
                <w:sz w:val="24"/>
              </w:rPr>
            </w:pPr>
            <w:r>
              <w:rPr>
                <w:rFonts w:hint="default" w:ascii="Times New Roman" w:hAnsi="Times New Roman" w:eastAsia="新宋体" w:cs="Times New Roman"/>
                <w:color w:val="auto"/>
                <w:kern w:val="0"/>
                <w:sz w:val="24"/>
                <w:szCs w:val="24"/>
                <w:lang w:eastAsia="zh-CN" w:bidi="ar"/>
              </w:rPr>
              <w:t>（</w:t>
            </w:r>
            <w:r>
              <w:rPr>
                <w:rFonts w:hint="default" w:ascii="Times New Roman" w:hAnsi="Times New Roman" w:eastAsia="新宋体" w:cs="Times New Roman"/>
                <w:color w:val="auto"/>
                <w:kern w:val="0"/>
                <w:sz w:val="24"/>
                <w:szCs w:val="24"/>
                <w:lang w:val="en-US" w:eastAsia="zh-CN" w:bidi="ar"/>
              </w:rPr>
              <w:t>3</w:t>
            </w:r>
            <w:r>
              <w:rPr>
                <w:rFonts w:hint="default" w:ascii="Times New Roman" w:hAnsi="Times New Roman" w:eastAsia="新宋体" w:cs="Times New Roman"/>
                <w:color w:val="auto"/>
                <w:kern w:val="0"/>
                <w:sz w:val="24"/>
                <w:szCs w:val="24"/>
                <w:lang w:eastAsia="zh-CN" w:bidi="ar"/>
              </w:rPr>
              <w:t>）简</w:t>
            </w:r>
            <w:r>
              <w:rPr>
                <w:rFonts w:hint="default" w:ascii="Times New Roman" w:hAnsi="Times New Roman" w:eastAsia="宋体" w:cs="Times New Roman"/>
                <w:color w:val="auto"/>
                <w:kern w:val="0"/>
                <w:sz w:val="24"/>
                <w:lang w:eastAsia="zh-CN" w:bidi="ar"/>
              </w:rPr>
              <w:t>单防渗</w:t>
            </w:r>
            <w:r>
              <w:rPr>
                <w:rFonts w:hint="default" w:ascii="Times New Roman" w:hAnsi="Times New Roman" w:cs="Times New Roman"/>
                <w:color w:val="auto"/>
                <w:kern w:val="0"/>
                <w:sz w:val="24"/>
                <w:lang w:bidi="ar"/>
              </w:rPr>
              <w:t>区</w:t>
            </w:r>
          </w:p>
          <w:p w14:paraId="494061EC">
            <w:pPr>
              <w:widowControl/>
              <w:adjustRightInd w:val="0"/>
              <w:snapToGrid w:val="0"/>
              <w:spacing w:line="360" w:lineRule="auto"/>
              <w:ind w:firstLine="480" w:firstLineChars="200"/>
              <w:rPr>
                <w:rFonts w:ascii="宋体" w:hAnsi="宋体" w:cs="宋体"/>
                <w:color w:val="auto"/>
                <w:kern w:val="0"/>
                <w:szCs w:val="21"/>
              </w:rPr>
            </w:pPr>
            <w:r>
              <w:rPr>
                <w:rFonts w:hint="eastAsia" w:ascii="Times New Roman" w:hAnsi="Times New Roman" w:eastAsia="宋体" w:cs="Times New Roman"/>
                <w:color w:val="auto"/>
                <w:kern w:val="0"/>
                <w:sz w:val="24"/>
                <w:lang w:eastAsia="zh-CN" w:bidi="ar"/>
              </w:rPr>
              <w:t>厂区内的</w:t>
            </w:r>
            <w:r>
              <w:rPr>
                <w:rFonts w:hint="eastAsia" w:eastAsia="宋体" w:cs="Times New Roman"/>
                <w:color w:val="auto"/>
                <w:kern w:val="0"/>
                <w:sz w:val="24"/>
                <w:lang w:eastAsia="zh-CN" w:bidi="ar"/>
              </w:rPr>
              <w:t>其他</w:t>
            </w:r>
            <w:r>
              <w:rPr>
                <w:rFonts w:hint="default" w:ascii="Times New Roman" w:hAnsi="Times New Roman" w:cs="Times New Roman"/>
                <w:color w:val="auto"/>
                <w:kern w:val="0"/>
                <w:sz w:val="24"/>
                <w:lang w:bidi="ar"/>
              </w:rPr>
              <w:t>区域</w:t>
            </w:r>
            <w:r>
              <w:rPr>
                <w:rFonts w:hint="default" w:ascii="Times New Roman" w:hAnsi="Times New Roman" w:eastAsia="宋体" w:cs="Times New Roman"/>
                <w:color w:val="auto"/>
                <w:kern w:val="0"/>
                <w:sz w:val="24"/>
                <w:lang w:eastAsia="zh-CN" w:bidi="ar"/>
              </w:rPr>
              <w:t>进行简单防渗</w:t>
            </w:r>
            <w:r>
              <w:rPr>
                <w:rFonts w:hint="default" w:ascii="Times New Roman" w:hAnsi="Times New Roman" w:cs="Times New Roman"/>
                <w:color w:val="auto"/>
                <w:kern w:val="0"/>
                <w:sz w:val="24"/>
                <w:lang w:bidi="ar"/>
              </w:rPr>
              <w:t>，</w:t>
            </w:r>
            <w:r>
              <w:rPr>
                <w:rFonts w:hint="default" w:ascii="Times New Roman" w:hAnsi="Times New Roman" w:eastAsia="宋体" w:cs="Times New Roman"/>
                <w:color w:val="auto"/>
                <w:kern w:val="0"/>
                <w:sz w:val="24"/>
                <w:lang w:eastAsia="zh-CN" w:bidi="ar"/>
              </w:rPr>
              <w:t>其</w:t>
            </w:r>
            <w:r>
              <w:rPr>
                <w:rFonts w:hint="default" w:ascii="Times New Roman" w:hAnsi="Times New Roman" w:cs="Times New Roman"/>
                <w:color w:val="auto"/>
                <w:kern w:val="0"/>
                <w:sz w:val="24"/>
                <w:lang w:bidi="ar"/>
              </w:rPr>
              <w:t>地面除采用混凝土地坪。</w:t>
            </w:r>
          </w:p>
        </w:tc>
      </w:tr>
      <w:tr w14:paraId="3666F6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14:paraId="4C60B620">
            <w:pPr>
              <w:pStyle w:val="3"/>
              <w:rPr>
                <w:color w:val="auto"/>
                <w:kern w:val="0"/>
              </w:rPr>
            </w:pPr>
            <w:r>
              <w:rPr>
                <w:rFonts w:hint="eastAsia"/>
                <w:color w:val="auto"/>
                <w:kern w:val="0"/>
              </w:rPr>
              <w:t>生态保护措施</w:t>
            </w:r>
          </w:p>
        </w:tc>
        <w:tc>
          <w:tcPr>
            <w:tcW w:w="7994" w:type="dxa"/>
            <w:vAlign w:val="center"/>
          </w:tcPr>
          <w:p w14:paraId="631FDFAC">
            <w:pPr>
              <w:ind w:left="0" w:leftChars="0" w:firstLine="0" w:firstLineChars="0"/>
              <w:jc w:val="center"/>
              <w:rPr>
                <w:rFonts w:hint="eastAsia"/>
                <w:color w:val="auto"/>
                <w:lang w:val="en-US" w:eastAsia="zh-CN"/>
              </w:rPr>
            </w:pPr>
          </w:p>
          <w:p w14:paraId="6D4186D5">
            <w:pPr>
              <w:ind w:left="0" w:leftChars="0" w:firstLine="0" w:firstLineChars="0"/>
              <w:jc w:val="both"/>
              <w:rPr>
                <w:rFonts w:hint="eastAsia"/>
                <w:color w:val="auto"/>
                <w:lang w:val="en-US" w:eastAsia="zh-CN"/>
              </w:rPr>
            </w:pPr>
          </w:p>
          <w:p w14:paraId="3F81B2CA">
            <w:pPr>
              <w:ind w:left="0" w:leftChars="0" w:firstLine="0" w:firstLineChars="0"/>
              <w:jc w:val="center"/>
              <w:rPr>
                <w:rFonts w:hint="eastAsia"/>
                <w:color w:val="auto"/>
                <w:lang w:val="en-US" w:eastAsia="zh-CN"/>
              </w:rPr>
            </w:pPr>
          </w:p>
          <w:p w14:paraId="16C7F537">
            <w:pPr>
              <w:ind w:left="0" w:leftChars="0" w:firstLine="0" w:firstLineChars="0"/>
              <w:jc w:val="center"/>
              <w:rPr>
                <w:rFonts w:hint="eastAsia"/>
                <w:color w:val="auto"/>
                <w:lang w:val="en-US" w:eastAsia="zh-CN"/>
              </w:rPr>
            </w:pPr>
          </w:p>
          <w:p w14:paraId="2877BB85">
            <w:pPr>
              <w:ind w:left="0" w:leftChars="0" w:firstLine="0" w:firstLineChars="0"/>
              <w:jc w:val="center"/>
              <w:rPr>
                <w:rFonts w:hint="eastAsia"/>
                <w:color w:val="auto"/>
                <w:lang w:val="en-US" w:eastAsia="zh-CN"/>
              </w:rPr>
            </w:pPr>
          </w:p>
          <w:p w14:paraId="0D89FA1A">
            <w:pPr>
              <w:ind w:left="0" w:leftChars="0" w:firstLine="0" w:firstLineChars="0"/>
              <w:jc w:val="both"/>
              <w:rPr>
                <w:rFonts w:hint="eastAsia"/>
                <w:color w:val="auto"/>
                <w:lang w:val="en-US" w:eastAsia="zh-CN"/>
              </w:rPr>
            </w:pPr>
          </w:p>
          <w:p w14:paraId="597D30C1">
            <w:pPr>
              <w:ind w:left="0" w:leftChars="0" w:firstLine="0" w:firstLineChars="0"/>
              <w:jc w:val="center"/>
              <w:rPr>
                <w:rFonts w:hint="eastAsia"/>
                <w:color w:val="auto"/>
                <w:lang w:val="en-US" w:eastAsia="zh-CN"/>
              </w:rPr>
            </w:pPr>
            <w:r>
              <w:rPr>
                <w:rFonts w:hint="eastAsia"/>
                <w:color w:val="auto"/>
                <w:lang w:val="en-US" w:eastAsia="zh-CN"/>
              </w:rPr>
              <w:t>/</w:t>
            </w:r>
          </w:p>
          <w:p w14:paraId="1F78B00C">
            <w:pPr>
              <w:pStyle w:val="23"/>
              <w:rPr>
                <w:rFonts w:hint="eastAsia"/>
                <w:color w:val="auto"/>
                <w:lang w:val="en-US" w:eastAsia="zh-CN"/>
              </w:rPr>
            </w:pPr>
          </w:p>
          <w:p w14:paraId="71A4930C">
            <w:pPr>
              <w:pStyle w:val="23"/>
              <w:rPr>
                <w:rFonts w:hint="eastAsia"/>
                <w:color w:val="auto"/>
                <w:lang w:val="en-US" w:eastAsia="zh-CN"/>
              </w:rPr>
            </w:pPr>
          </w:p>
          <w:p w14:paraId="433130DC">
            <w:pPr>
              <w:pStyle w:val="23"/>
              <w:rPr>
                <w:rFonts w:hint="eastAsia"/>
                <w:color w:val="auto"/>
                <w:lang w:val="en-US" w:eastAsia="zh-CN"/>
              </w:rPr>
            </w:pPr>
          </w:p>
          <w:p w14:paraId="35D31545">
            <w:pPr>
              <w:pStyle w:val="23"/>
              <w:rPr>
                <w:rFonts w:hint="eastAsia"/>
                <w:color w:val="auto"/>
                <w:lang w:val="en-US" w:eastAsia="zh-CN"/>
              </w:rPr>
            </w:pPr>
          </w:p>
          <w:p w14:paraId="39F2CFCC">
            <w:pPr>
              <w:pStyle w:val="23"/>
              <w:ind w:left="0" w:leftChars="0" w:firstLine="0" w:firstLineChars="0"/>
              <w:rPr>
                <w:rFonts w:hint="default"/>
                <w:color w:val="auto"/>
                <w:lang w:val="en-US" w:eastAsia="zh-CN"/>
              </w:rPr>
            </w:pPr>
          </w:p>
        </w:tc>
      </w:tr>
      <w:tr w14:paraId="4C2425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95" w:hRule="atLeast"/>
          <w:jc w:val="center"/>
        </w:trPr>
        <w:tc>
          <w:tcPr>
            <w:tcW w:w="806" w:type="dxa"/>
            <w:vAlign w:val="center"/>
          </w:tcPr>
          <w:p w14:paraId="3602DEA9">
            <w:pPr>
              <w:pStyle w:val="3"/>
              <w:rPr>
                <w:color w:val="auto"/>
                <w:kern w:val="0"/>
              </w:rPr>
            </w:pPr>
            <w:r>
              <w:rPr>
                <w:rFonts w:hint="eastAsia"/>
                <w:color w:val="auto"/>
                <w:kern w:val="0"/>
              </w:rPr>
              <w:t>环境风险</w:t>
            </w:r>
          </w:p>
          <w:p w14:paraId="1717E9CF">
            <w:pPr>
              <w:pStyle w:val="3"/>
              <w:rPr>
                <w:rFonts w:ascii="宋体" w:hAnsi="宋体" w:cs="宋体"/>
                <w:color w:val="auto"/>
                <w:kern w:val="0"/>
              </w:rPr>
            </w:pPr>
            <w:r>
              <w:rPr>
                <w:rFonts w:hint="eastAsia"/>
                <w:color w:val="auto"/>
                <w:kern w:val="0"/>
              </w:rPr>
              <w:t>防范措施</w:t>
            </w:r>
          </w:p>
        </w:tc>
        <w:tc>
          <w:tcPr>
            <w:tcW w:w="7994" w:type="dxa"/>
          </w:tcPr>
          <w:p w14:paraId="75569110">
            <w:pPr>
              <w:bidi w:val="0"/>
              <w:rPr>
                <w:rFonts w:hint="eastAsia"/>
                <w:color w:val="auto"/>
                <w:lang w:val="en-US" w:eastAsia="zh-CN"/>
              </w:rPr>
            </w:pPr>
            <w:r>
              <w:rPr>
                <w:rFonts w:hint="eastAsia"/>
                <w:color w:val="auto"/>
                <w:lang w:val="en-US" w:eastAsia="zh-CN"/>
              </w:rPr>
              <w:t>根据</w:t>
            </w:r>
            <w:r>
              <w:rPr>
                <w:rFonts w:hint="eastAsia" w:cs="Times New Roman"/>
                <w:color w:val="auto"/>
                <w:sz w:val="24"/>
                <w:szCs w:val="24"/>
                <w:lang w:eastAsia="zh-CN"/>
              </w:rPr>
              <w:t>《</w:t>
            </w:r>
            <w:r>
              <w:rPr>
                <w:rFonts w:hint="default" w:ascii="Times New Roman" w:hAnsi="Times New Roman" w:eastAsia="宋体" w:cs="Times New Roman"/>
                <w:color w:val="auto"/>
                <w:sz w:val="24"/>
                <w:szCs w:val="24"/>
                <w:lang w:eastAsia="zh-CN"/>
              </w:rPr>
              <w:t>中粮油脂重庆新建</w:t>
            </w:r>
            <w:r>
              <w:rPr>
                <w:rFonts w:hint="default" w:ascii="Times New Roman" w:hAnsi="Times New Roman" w:eastAsia="宋体" w:cs="Times New Roman"/>
                <w:color w:val="auto"/>
                <w:sz w:val="24"/>
                <w:szCs w:val="24"/>
                <w:lang w:val="en-US" w:eastAsia="zh-CN"/>
              </w:rPr>
              <w:t>膨化大豆粉生产线及磷脂生产线项目</w:t>
            </w:r>
            <w:r>
              <w:rPr>
                <w:rFonts w:hint="eastAsia" w:cs="Times New Roman"/>
                <w:color w:val="auto"/>
                <w:sz w:val="24"/>
                <w:szCs w:val="24"/>
                <w:lang w:eastAsia="zh-CN"/>
              </w:rPr>
              <w:t>环境风险影响专项评价》，本项目环境风险防范措施如下：</w:t>
            </w:r>
          </w:p>
          <w:p w14:paraId="17DECB00">
            <w:pPr>
              <w:bidi w:val="0"/>
              <w:rPr>
                <w:rFonts w:hint="eastAsia"/>
                <w:color w:val="auto"/>
                <w:lang w:val="en-US" w:eastAsia="zh-CN"/>
              </w:rPr>
            </w:pPr>
            <w:r>
              <w:rPr>
                <w:rFonts w:hint="eastAsia"/>
                <w:color w:val="auto"/>
                <w:lang w:val="en-US" w:eastAsia="zh-CN"/>
              </w:rPr>
              <w:t>本项目</w:t>
            </w:r>
            <w:r>
              <w:rPr>
                <w:rFonts w:hint="eastAsia"/>
                <w:color w:val="auto"/>
                <w:lang w:eastAsia="zh-CN"/>
              </w:rPr>
              <w:t>各</w:t>
            </w:r>
            <w:r>
              <w:rPr>
                <w:rFonts w:hint="default"/>
                <w:color w:val="auto"/>
              </w:rPr>
              <w:t>储罐区设置</w:t>
            </w:r>
            <w:r>
              <w:rPr>
                <w:rFonts w:hint="eastAsia"/>
                <w:color w:val="auto"/>
                <w:lang w:eastAsia="zh-CN"/>
              </w:rPr>
              <w:t>围堰，围堰容积足够大，围堰内部进行防腐防渗处理，并设置了雨污切换阀；正己烷储罐区设置报警装置和泡沫灭火装置，正己烷储罐设置氮封、呼吸阀各</w:t>
            </w:r>
            <w:r>
              <w:rPr>
                <w:rFonts w:hint="eastAsia"/>
                <w:color w:val="auto"/>
                <w:lang w:val="en-US" w:eastAsia="zh-CN"/>
              </w:rPr>
              <w:t>1套，防止罐内压力过高而爆炸；浸出车间设置PLC自动控制装置，超高温报警装置、紧急切断装置，装置区域周围设置截污沟、围堰；</w:t>
            </w:r>
            <w:r>
              <w:rPr>
                <w:rFonts w:hint="eastAsia"/>
                <w:color w:val="auto"/>
                <w:lang w:eastAsia="zh-CN"/>
              </w:rPr>
              <w:t>品控室内设置截污沟，能有效拦截、收集泄漏的实验试剂；厂区设置</w:t>
            </w:r>
            <w:r>
              <w:rPr>
                <w:rFonts w:hint="eastAsia"/>
                <w:color w:val="auto"/>
                <w:lang w:val="en-US" w:eastAsia="zh-CN"/>
              </w:rPr>
              <w:t>1个容积为700m</w:t>
            </w:r>
            <w:r>
              <w:rPr>
                <w:rFonts w:hint="eastAsia"/>
                <w:color w:val="auto"/>
                <w:vertAlign w:val="superscript"/>
                <w:lang w:val="en-US" w:eastAsia="zh-CN"/>
              </w:rPr>
              <w:t>3</w:t>
            </w:r>
            <w:r>
              <w:rPr>
                <w:rFonts w:hint="eastAsia"/>
                <w:color w:val="auto"/>
                <w:lang w:val="en-US" w:eastAsia="zh-CN"/>
              </w:rPr>
              <w:t>的应急事故罐，</w:t>
            </w:r>
            <w:r>
              <w:rPr>
                <w:rFonts w:hint="eastAsia" w:cs="Times New Roman"/>
                <w:color w:val="auto"/>
                <w:lang w:eastAsia="zh-CN"/>
              </w:rPr>
              <w:t>企业</w:t>
            </w:r>
            <w:r>
              <w:rPr>
                <w:rFonts w:hint="default" w:ascii="Times New Roman" w:hAnsi="Times New Roman" w:cs="Times New Roman"/>
                <w:color w:val="auto"/>
              </w:rPr>
              <w:t>装置区周边设置有</w:t>
            </w:r>
            <w:r>
              <w:rPr>
                <w:rFonts w:hint="default" w:ascii="Times New Roman" w:hAnsi="Times New Roman" w:cs="Times New Roman"/>
                <w:color w:val="auto"/>
                <w:lang w:eastAsia="zh-CN"/>
              </w:rPr>
              <w:t>围堰</w:t>
            </w:r>
            <w:r>
              <w:rPr>
                <w:rFonts w:hint="default" w:ascii="Times New Roman" w:hAnsi="Times New Roman" w:cs="Times New Roman"/>
                <w:color w:val="auto"/>
              </w:rPr>
              <w:t>和截污沟，</w:t>
            </w:r>
            <w:r>
              <w:rPr>
                <w:rFonts w:hint="eastAsia"/>
                <w:color w:val="auto"/>
                <w:lang w:val="en-US" w:eastAsia="zh-CN"/>
              </w:rPr>
              <w:t>风险物质发生泄漏后物料、事故废水</w:t>
            </w:r>
            <w:r>
              <w:rPr>
                <w:rFonts w:hint="default" w:ascii="Times New Roman" w:hAnsi="Times New Roman" w:cs="Times New Roman"/>
                <w:color w:val="auto"/>
              </w:rPr>
              <w:t>能够有效地将泄漏的物料废水拦截后收集到</w:t>
            </w:r>
            <w:r>
              <w:rPr>
                <w:rFonts w:hint="eastAsia" w:cs="Times New Roman"/>
                <w:color w:val="auto"/>
                <w:lang w:eastAsia="zh-CN"/>
              </w:rPr>
              <w:t>厂区内的应急处置罐暂存</w:t>
            </w:r>
            <w:r>
              <w:rPr>
                <w:rFonts w:hint="default" w:ascii="Times New Roman" w:hAnsi="Times New Roman" w:cs="Times New Roman"/>
                <w:color w:val="auto"/>
              </w:rPr>
              <w:t>，待事故过后逐步送入厂区污水处理站预处理</w:t>
            </w:r>
            <w:r>
              <w:rPr>
                <w:rFonts w:hint="eastAsia" w:ascii="Times New Roman" w:hAnsi="Times New Roman" w:cs="Times New Roman"/>
                <w:color w:val="auto"/>
                <w:lang w:eastAsia="zh-CN"/>
              </w:rPr>
              <w:t>；</w:t>
            </w:r>
            <w:r>
              <w:rPr>
                <w:rFonts w:hint="default"/>
                <w:color w:val="auto"/>
              </w:rPr>
              <w:t>雨水系统外排口设置有雨污切换阀，有专人负责紧急情况下关闭雨水排口</w:t>
            </w:r>
            <w:r>
              <w:rPr>
                <w:rFonts w:hint="eastAsia"/>
                <w:color w:val="auto"/>
                <w:lang w:eastAsia="zh-CN"/>
              </w:rPr>
              <w:t>。企业</w:t>
            </w:r>
            <w:r>
              <w:rPr>
                <w:rFonts w:hint="default"/>
                <w:color w:val="auto"/>
              </w:rPr>
              <w:t>制定突发环境事件应急预案，并定期开展应急演练</w:t>
            </w:r>
            <w:r>
              <w:rPr>
                <w:rFonts w:hint="eastAsia"/>
                <w:color w:val="auto"/>
                <w:lang w:eastAsia="zh-CN"/>
              </w:rPr>
              <w:t>，</w:t>
            </w:r>
            <w:r>
              <w:rPr>
                <w:rFonts w:hint="eastAsia"/>
                <w:color w:val="auto"/>
                <w:lang w:val="en-US" w:eastAsia="zh-CN"/>
              </w:rPr>
              <w:t>配备一定数量的</w:t>
            </w:r>
            <w:r>
              <w:rPr>
                <w:rFonts w:hint="eastAsia"/>
                <w:color w:val="auto"/>
              </w:rPr>
              <w:t>吸油毡</w:t>
            </w:r>
            <w:r>
              <w:rPr>
                <w:rFonts w:hint="eastAsia"/>
                <w:color w:val="auto"/>
                <w:lang w:eastAsia="zh-CN"/>
              </w:rPr>
              <w:t>、</w:t>
            </w:r>
            <w:r>
              <w:rPr>
                <w:rFonts w:hint="eastAsia"/>
                <w:color w:val="auto"/>
              </w:rPr>
              <w:t>灭火毯</w:t>
            </w:r>
            <w:r>
              <w:rPr>
                <w:rFonts w:hint="eastAsia"/>
                <w:color w:val="auto"/>
                <w:lang w:eastAsia="zh-CN"/>
              </w:rPr>
              <w:t>、</w:t>
            </w:r>
            <w:r>
              <w:rPr>
                <w:rFonts w:hint="eastAsia"/>
                <w:color w:val="auto"/>
              </w:rPr>
              <w:t>消防战斗服</w:t>
            </w:r>
            <w:r>
              <w:rPr>
                <w:rFonts w:hint="eastAsia"/>
                <w:color w:val="auto"/>
                <w:lang w:eastAsia="zh-CN"/>
              </w:rPr>
              <w:t>、</w:t>
            </w:r>
            <w:r>
              <w:rPr>
                <w:rFonts w:hint="eastAsia"/>
                <w:color w:val="auto"/>
              </w:rPr>
              <w:t>防毒面具</w:t>
            </w:r>
            <w:r>
              <w:rPr>
                <w:rFonts w:hint="eastAsia"/>
                <w:color w:val="auto"/>
                <w:lang w:eastAsia="zh-CN"/>
              </w:rPr>
              <w:t>、</w:t>
            </w:r>
            <w:r>
              <w:rPr>
                <w:rFonts w:hint="eastAsia"/>
                <w:color w:val="auto"/>
              </w:rPr>
              <w:t>医药急救箱</w:t>
            </w:r>
            <w:r>
              <w:rPr>
                <w:rFonts w:hint="eastAsia"/>
                <w:color w:val="auto"/>
                <w:lang w:eastAsia="zh-CN"/>
              </w:rPr>
              <w:t>、</w:t>
            </w:r>
            <w:r>
              <w:rPr>
                <w:rFonts w:hint="eastAsia"/>
                <w:color w:val="auto"/>
              </w:rPr>
              <w:t>隔离警示带</w:t>
            </w:r>
            <w:r>
              <w:rPr>
                <w:rFonts w:hint="eastAsia"/>
                <w:color w:val="auto"/>
                <w:lang w:eastAsia="zh-CN"/>
              </w:rPr>
              <w:t>、</w:t>
            </w:r>
            <w:r>
              <w:rPr>
                <w:rFonts w:hint="eastAsia"/>
                <w:color w:val="auto"/>
              </w:rPr>
              <w:t>堵漏胶</w:t>
            </w:r>
            <w:r>
              <w:rPr>
                <w:rFonts w:hint="eastAsia"/>
                <w:color w:val="auto"/>
                <w:lang w:val="en-US" w:eastAsia="zh-CN"/>
              </w:rPr>
              <w:t>等应急救援物资。</w:t>
            </w:r>
          </w:p>
          <w:p w14:paraId="57D5914C">
            <w:pPr>
              <w:pStyle w:val="23"/>
              <w:rPr>
                <w:rFonts w:hint="eastAsia" w:eastAsia="等线"/>
                <w:color w:val="auto"/>
                <w:lang w:eastAsia="zh-CN"/>
              </w:rPr>
            </w:pPr>
          </w:p>
        </w:tc>
      </w:tr>
      <w:tr w14:paraId="4582DA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15" w:hRule="atLeast"/>
          <w:jc w:val="center"/>
        </w:trPr>
        <w:tc>
          <w:tcPr>
            <w:tcW w:w="806" w:type="dxa"/>
            <w:vAlign w:val="center"/>
          </w:tcPr>
          <w:p w14:paraId="3D5F9E61">
            <w:pPr>
              <w:ind w:firstLine="0" w:firstLineChars="0"/>
              <w:jc w:val="center"/>
              <w:rPr>
                <w:rFonts w:ascii="宋体" w:hAnsi="宋体" w:cs="宋体"/>
                <w:color w:val="auto"/>
                <w:kern w:val="0"/>
              </w:rPr>
            </w:pPr>
            <w:r>
              <w:rPr>
                <w:rFonts w:hint="eastAsia" w:ascii="宋体" w:hAnsi="宋体" w:cs="宋体"/>
                <w:color w:val="auto"/>
                <w:kern w:val="0"/>
              </w:rPr>
              <w:t>其他环境</w:t>
            </w:r>
          </w:p>
          <w:p w14:paraId="49BF5192">
            <w:pPr>
              <w:ind w:firstLine="0" w:firstLineChars="0"/>
              <w:jc w:val="center"/>
              <w:rPr>
                <w:rFonts w:ascii="宋体" w:hAnsi="宋体" w:cs="宋体"/>
                <w:color w:val="auto"/>
                <w:kern w:val="0"/>
              </w:rPr>
            </w:pPr>
            <w:r>
              <w:rPr>
                <w:rFonts w:hint="eastAsia" w:ascii="宋体" w:hAnsi="宋体" w:cs="宋体"/>
                <w:color w:val="auto"/>
                <w:kern w:val="0"/>
              </w:rPr>
              <w:t>管理要求</w:t>
            </w:r>
          </w:p>
        </w:tc>
        <w:tc>
          <w:tcPr>
            <w:tcW w:w="7994" w:type="dxa"/>
          </w:tcPr>
          <w:p w14:paraId="1749CDDB">
            <w:pPr>
              <w:ind w:firstLine="0" w:firstLineChars="0"/>
              <w:rPr>
                <w:b/>
                <w:bCs/>
                <w:color w:val="auto"/>
                <w:kern w:val="0"/>
              </w:rPr>
            </w:pPr>
            <w:r>
              <w:rPr>
                <w:rFonts w:hint="eastAsia" w:eastAsia="宋体"/>
                <w:b/>
                <w:bCs/>
                <w:color w:val="auto"/>
                <w:kern w:val="0"/>
                <w:lang w:val="en-US" w:eastAsia="zh-CN"/>
              </w:rPr>
              <w:t>1.</w:t>
            </w:r>
            <w:r>
              <w:rPr>
                <w:b/>
                <w:bCs/>
                <w:color w:val="auto"/>
                <w:kern w:val="0"/>
              </w:rPr>
              <w:t>环境管理要求</w:t>
            </w:r>
          </w:p>
          <w:p w14:paraId="62661FCC">
            <w:pPr>
              <w:pStyle w:val="23"/>
              <w:spacing w:line="360" w:lineRule="auto"/>
              <w:ind w:firstLine="480" w:firstLineChars="200"/>
              <w:jc w:val="both"/>
              <w:rPr>
                <w:rFonts w:hint="default" w:ascii="Times New Roman" w:hAnsi="Times New Roman" w:cs="Times New Roman"/>
                <w:color w:val="auto"/>
              </w:rPr>
            </w:pPr>
            <w:r>
              <w:rPr>
                <w:rFonts w:hint="default" w:ascii="Times New Roman" w:hAnsi="Times New Roman" w:cs="Times New Roman"/>
                <w:color w:val="auto"/>
              </w:rPr>
              <w:t>根据《</w:t>
            </w:r>
            <w:r>
              <w:rPr>
                <w:rFonts w:hint="default" w:ascii="Times New Roman" w:hAnsi="Times New Roman" w:eastAsia="宋体" w:cs="Times New Roman"/>
                <w:color w:val="auto"/>
                <w:sz w:val="24"/>
                <w:szCs w:val="24"/>
              </w:rPr>
              <w:t>排污许可证申请与核发技术规范</w:t>
            </w:r>
            <w:r>
              <w:rPr>
                <w:rFonts w:hint="default" w:ascii="Times New Roman" w:hAnsi="Times New Roman" w:eastAsia="宋体" w:cs="Times New Roman"/>
                <w:color w:val="auto"/>
                <w:sz w:val="24"/>
                <w:szCs w:val="24"/>
                <w:lang w:eastAsia="zh-CN"/>
              </w:rPr>
              <w:t>农副食品加工工业</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饲料</w:t>
            </w:r>
            <w:r>
              <w:rPr>
                <w:rFonts w:hint="default" w:ascii="Times New Roman" w:hAnsi="Times New Roman" w:eastAsia="宋体" w:cs="Times New Roman"/>
                <w:color w:val="auto"/>
                <w:sz w:val="24"/>
                <w:szCs w:val="24"/>
              </w:rPr>
              <w:t>加工</w:t>
            </w:r>
            <w:r>
              <w:rPr>
                <w:rFonts w:hint="default" w:ascii="Times New Roman" w:hAnsi="Times New Roman" w:eastAsia="宋体" w:cs="Times New Roman"/>
                <w:color w:val="auto"/>
                <w:sz w:val="24"/>
                <w:szCs w:val="24"/>
                <w:lang w:eastAsia="zh-CN"/>
              </w:rPr>
              <w:t>、植物油加工</w:t>
            </w:r>
            <w:r>
              <w:rPr>
                <w:rFonts w:hint="default" w:ascii="Times New Roman" w:hAnsi="Times New Roman" w:eastAsia="宋体" w:cs="Times New Roman"/>
                <w:color w:val="auto"/>
                <w:sz w:val="24"/>
                <w:szCs w:val="24"/>
              </w:rPr>
              <w:t>工业》（HJ1</w:t>
            </w:r>
            <w:r>
              <w:rPr>
                <w:rFonts w:hint="default" w:ascii="Times New Roman" w:hAnsi="Times New Roman" w:eastAsia="宋体" w:cs="Times New Roman"/>
                <w:color w:val="auto"/>
                <w:sz w:val="24"/>
                <w:szCs w:val="24"/>
                <w:lang w:val="en-US" w:eastAsia="zh-CN"/>
              </w:rPr>
              <w:t>110</w:t>
            </w:r>
            <w:r>
              <w:rPr>
                <w:rFonts w:hint="default" w:ascii="Times New Roman" w:hAnsi="Times New Roman" w:eastAsia="宋体" w:cs="Times New Roman"/>
                <w:color w:val="auto"/>
                <w:sz w:val="24"/>
                <w:szCs w:val="24"/>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rPr>
              <w:t>）</w:t>
            </w:r>
            <w:r>
              <w:rPr>
                <w:rFonts w:hint="eastAsia" w:ascii="Times New Roman" w:cs="Times New Roman"/>
                <w:color w:val="auto"/>
                <w:lang w:eastAsia="zh-CN"/>
              </w:rPr>
              <w:t>，</w:t>
            </w:r>
            <w:r>
              <w:rPr>
                <w:rFonts w:hint="default" w:ascii="Times New Roman" w:hAnsi="Times New Roman" w:cs="Times New Roman"/>
                <w:color w:val="auto"/>
              </w:rPr>
              <w:t>本评价针对项目运营期提出如下环境管理要求：</w:t>
            </w:r>
          </w:p>
          <w:p w14:paraId="025FFEE3">
            <w:pPr>
              <w:adjustRightInd w:val="0"/>
              <w:snapToGrid w:val="0"/>
              <w:spacing w:line="360" w:lineRule="auto"/>
              <w:ind w:firstLine="480" w:firstLineChars="200"/>
              <w:rPr>
                <w:color w:val="auto"/>
                <w:sz w:val="24"/>
              </w:rPr>
            </w:pPr>
            <w:r>
              <w:rPr>
                <w:rFonts w:hint="default" w:ascii="Times New Roman" w:hAnsi="Times New Roman" w:cs="Times New Roman"/>
                <w:color w:val="auto"/>
                <w:sz w:val="24"/>
              </w:rPr>
              <w:t>（1）建立完善的环境管理机构，设立专门环保人员，确定各个部门及岗位的环境保护目标和</w:t>
            </w:r>
            <w:r>
              <w:rPr>
                <w:color w:val="auto"/>
                <w:sz w:val="24"/>
              </w:rPr>
              <w:t>可量化的指标，促进全体员工参与</w:t>
            </w:r>
            <w:r>
              <w:rPr>
                <w:rFonts w:hint="eastAsia" w:eastAsia="宋体"/>
                <w:color w:val="auto"/>
                <w:sz w:val="24"/>
                <w:lang w:eastAsia="zh-CN"/>
              </w:rPr>
              <w:t>到</w:t>
            </w:r>
            <w:r>
              <w:rPr>
                <w:color w:val="auto"/>
                <w:sz w:val="24"/>
              </w:rPr>
              <w:t>环保工作之中。</w:t>
            </w:r>
          </w:p>
          <w:p w14:paraId="5F47AE36">
            <w:pPr>
              <w:adjustRightInd w:val="0"/>
              <w:snapToGrid w:val="0"/>
              <w:spacing w:line="360" w:lineRule="auto"/>
              <w:ind w:firstLine="480" w:firstLineChars="200"/>
              <w:rPr>
                <w:color w:val="auto"/>
                <w:sz w:val="24"/>
              </w:rPr>
            </w:pPr>
            <w:r>
              <w:rPr>
                <w:color w:val="auto"/>
                <w:sz w:val="24"/>
              </w:rPr>
              <w:t>（2）制定环境保护规章制度。如岗位环保责任制、环保设施运行管理规定等，对全体员工进行定期和不定期的环境保护知识培训，</w:t>
            </w:r>
            <w:r>
              <w:rPr>
                <w:rFonts w:hint="eastAsia" w:eastAsia="宋体"/>
                <w:color w:val="auto"/>
                <w:sz w:val="24"/>
                <w:lang w:eastAsia="zh-CN"/>
              </w:rPr>
              <w:t>增强</w:t>
            </w:r>
            <w:r>
              <w:rPr>
                <w:color w:val="auto"/>
                <w:sz w:val="24"/>
              </w:rPr>
              <w:t>他们的环境保护意识，以保证环境管理工作的顺利进行。</w:t>
            </w:r>
          </w:p>
          <w:p w14:paraId="5D10FF20">
            <w:pPr>
              <w:tabs>
                <w:tab w:val="left" w:pos="1080"/>
              </w:tabs>
              <w:adjustRightInd w:val="0"/>
              <w:snapToGrid w:val="0"/>
              <w:spacing w:line="360" w:lineRule="auto"/>
              <w:ind w:firstLine="480" w:firstLineChars="200"/>
              <w:rPr>
                <w:color w:val="auto"/>
                <w:sz w:val="24"/>
              </w:rPr>
            </w:pPr>
            <w:r>
              <w:rPr>
                <w:color w:val="auto"/>
                <w:sz w:val="24"/>
              </w:rPr>
              <w:t>（3）加强环保设施监督管理，加强环保设施的检修、维护，确保设备正常高效运行。</w:t>
            </w:r>
          </w:p>
          <w:p w14:paraId="110D7C7F">
            <w:pPr>
              <w:pStyle w:val="25"/>
              <w:adjustRightInd w:val="0"/>
              <w:snapToGrid w:val="0"/>
              <w:spacing w:line="360" w:lineRule="auto"/>
              <w:ind w:firstLine="480"/>
              <w:rPr>
                <w:rFonts w:hint="eastAsia" w:eastAsia="宋体"/>
                <w:color w:val="auto"/>
                <w:sz w:val="24"/>
                <w:lang w:eastAsia="zh-CN"/>
              </w:rPr>
            </w:pPr>
            <w:r>
              <w:rPr>
                <w:color w:val="auto"/>
                <w:sz w:val="24"/>
              </w:rPr>
              <w:t>（4）企业应建立环境管理台账制度，落实环境管理台账制度记录的责任部门和责任人，明确工作职责，包括台账的记录、整理、维护和管理，并对台账的真实性、完整性和规范性负责。一般按照日批次进行记录，异常情况按次记录。</w:t>
            </w:r>
          </w:p>
          <w:p w14:paraId="5ABFD833">
            <w:pPr>
              <w:pStyle w:val="25"/>
              <w:adjustRightInd w:val="0"/>
              <w:snapToGrid w:val="0"/>
              <w:spacing w:line="360" w:lineRule="auto"/>
              <w:ind w:firstLine="480"/>
              <w:rPr>
                <w:color w:val="auto"/>
                <w:sz w:val="24"/>
              </w:rPr>
            </w:pPr>
            <w:r>
              <w:rPr>
                <w:color w:val="auto"/>
                <w:sz w:val="24"/>
              </w:rPr>
              <w:t>环境管理台账按照电子台账和纸质台账两种形式同步管理，应</w:t>
            </w:r>
            <w:r>
              <w:rPr>
                <w:rFonts w:hint="eastAsia"/>
                <w:color w:val="auto"/>
                <w:sz w:val="24"/>
                <w:lang w:eastAsia="zh-CN"/>
              </w:rPr>
              <w:t>真实</w:t>
            </w:r>
            <w:r>
              <w:rPr>
                <w:color w:val="auto"/>
                <w:sz w:val="24"/>
              </w:rPr>
              <w:t>记录基本信息、产污设施运行管理信息、污染防治设施运行管理信息、监测记录及其他环境管理信息。产污设施、污染防治设施、排放口应与排污许可证副本中载明的编码一致。</w:t>
            </w:r>
          </w:p>
          <w:p w14:paraId="4CA96012">
            <w:pPr>
              <w:adjustRightInd w:val="0"/>
              <w:snapToGrid w:val="0"/>
              <w:spacing w:line="360" w:lineRule="auto"/>
              <w:ind w:firstLine="480" w:firstLineChars="200"/>
              <w:rPr>
                <w:color w:val="auto"/>
                <w:sz w:val="24"/>
              </w:rPr>
            </w:pPr>
            <w:r>
              <w:rPr>
                <w:color w:val="auto"/>
                <w:sz w:val="24"/>
              </w:rPr>
              <w:t>（5）企业应按排污许可证规定时间提交执行报告，并对执行报告中各项内容和数据的真实性有效性负责，并承担相应法律责任；应自觉接受生态环境主管部门监管和社会公众监督，如提交的内容和数据与实际情况不符，应积极接受调查，并依法接受处罚。</w:t>
            </w:r>
          </w:p>
          <w:p w14:paraId="7872FA3C">
            <w:pPr>
              <w:pStyle w:val="2"/>
              <w:spacing w:line="360" w:lineRule="auto"/>
              <w:ind w:left="0" w:leftChars="0" w:firstLine="0" w:firstLineChars="0"/>
              <w:rPr>
                <w:rFonts w:ascii="Times New Roman" w:hAnsi="Times New Roman"/>
                <w:b/>
                <w:bCs/>
                <w:color w:val="auto"/>
                <w:sz w:val="24"/>
              </w:rPr>
            </w:pPr>
            <w:r>
              <w:rPr>
                <w:rFonts w:hint="eastAsia" w:ascii="Times New Roman" w:hAnsi="Times New Roman" w:eastAsia="宋体"/>
                <w:b/>
                <w:bCs/>
                <w:color w:val="auto"/>
                <w:sz w:val="24"/>
                <w:lang w:val="en-US" w:eastAsia="zh-CN"/>
              </w:rPr>
              <w:t>2.</w:t>
            </w:r>
            <w:r>
              <w:rPr>
                <w:rFonts w:ascii="Times New Roman" w:hAnsi="Times New Roman"/>
                <w:b/>
                <w:bCs/>
                <w:color w:val="auto"/>
                <w:sz w:val="24"/>
              </w:rPr>
              <w:t>排污口设置及规范要求</w:t>
            </w:r>
          </w:p>
          <w:p w14:paraId="1892EABC">
            <w:pPr>
              <w:widowControl/>
              <w:spacing w:line="360" w:lineRule="auto"/>
              <w:ind w:firstLine="480" w:firstLineChars="200"/>
              <w:rPr>
                <w:color w:val="auto"/>
                <w:sz w:val="24"/>
              </w:rPr>
            </w:pPr>
            <w:r>
              <w:rPr>
                <w:color w:val="auto"/>
                <w:kern w:val="0"/>
                <w:sz w:val="24"/>
                <w:lang w:bidi="ar"/>
              </w:rPr>
              <w:t>根据国家环保总局《关于开展排放口规范化整治工作的通知》（环发[1999]24号）以及重庆市环保局《关于印发重庆市排污口规范化清理整治实施方案的通知》（渝环发[2012]26号）中相关要求：</w:t>
            </w:r>
          </w:p>
          <w:p w14:paraId="216B273B">
            <w:pPr>
              <w:widowControl/>
              <w:spacing w:line="360" w:lineRule="auto"/>
              <w:ind w:firstLine="480" w:firstLineChars="200"/>
              <w:rPr>
                <w:color w:val="auto"/>
                <w:sz w:val="24"/>
              </w:rPr>
            </w:pPr>
            <w:r>
              <w:rPr>
                <w:color w:val="auto"/>
                <w:kern w:val="0"/>
                <w:sz w:val="24"/>
                <w:lang w:bidi="ar"/>
              </w:rPr>
              <w:t>（1）废水</w:t>
            </w:r>
          </w:p>
          <w:p w14:paraId="0C2C7F29">
            <w:pPr>
              <w:spacing w:line="360" w:lineRule="auto"/>
              <w:ind w:firstLine="480"/>
              <w:rPr>
                <w:rFonts w:hint="eastAsia" w:ascii="宋体" w:hAnsi="宋体" w:eastAsia="宋体" w:cs="宋体"/>
                <w:color w:val="auto"/>
                <w:kern w:val="44"/>
                <w:sz w:val="24"/>
                <w:lang w:eastAsia="zh-CN"/>
              </w:rPr>
            </w:pPr>
            <w:r>
              <w:rPr>
                <w:rFonts w:hint="eastAsia" w:ascii="宋体" w:hAnsi="宋体" w:eastAsia="宋体" w:cs="宋体"/>
                <w:color w:val="auto"/>
                <w:kern w:val="44"/>
                <w:sz w:val="24"/>
                <w:lang w:eastAsia="zh-CN"/>
              </w:rPr>
              <w:t>本项目废水依托厂区现有污水处理站处理后排放，不新增废水排放口，因此本评价不对废水排放口的设置提出相关要求。</w:t>
            </w:r>
          </w:p>
          <w:p w14:paraId="59E65B84">
            <w:pPr>
              <w:spacing w:line="360" w:lineRule="auto"/>
              <w:ind w:firstLine="480"/>
              <w:rPr>
                <w:color w:val="auto"/>
                <w:sz w:val="24"/>
              </w:rPr>
            </w:pPr>
            <w:r>
              <w:rPr>
                <w:color w:val="auto"/>
                <w:sz w:val="24"/>
              </w:rPr>
              <w:t>（2）废气</w:t>
            </w:r>
          </w:p>
          <w:p w14:paraId="7D8290A4">
            <w:pPr>
              <w:spacing w:line="360" w:lineRule="auto"/>
              <w:ind w:firstLine="480"/>
              <w:rPr>
                <w:color w:val="auto"/>
                <w:sz w:val="24"/>
              </w:rPr>
            </w:pPr>
            <w:r>
              <w:rPr>
                <w:color w:val="auto"/>
                <w:sz w:val="24"/>
              </w:rPr>
              <w:t>①新增废气排气筒应修建采样平台，设置监测采样口，采样口的设置应符合《污染源技术规范》要求；采样口必须设置常备电源。</w:t>
            </w:r>
          </w:p>
          <w:p w14:paraId="14DD4CD9">
            <w:pPr>
              <w:spacing w:line="360" w:lineRule="auto"/>
              <w:ind w:firstLine="480"/>
              <w:rPr>
                <w:color w:val="auto"/>
                <w:sz w:val="24"/>
              </w:rPr>
            </w:pPr>
            <w:r>
              <w:rPr>
                <w:color w:val="auto"/>
                <w:sz w:val="24"/>
              </w:rPr>
              <w:t>根据《固定污染源排气中颗粒物测定与气态污染源采样方法》（GB/T16157-1996），废气排污口采样孔设置的位置应该是“距弯头、阀门、变径下游方向不小于6倍直径，上游方向不小于3倍直径”，如果是矩形烟道的，其当量直径D＝2AB/(A+B)，式中A、B为边长。</w:t>
            </w:r>
          </w:p>
          <w:p w14:paraId="0408E44E">
            <w:pPr>
              <w:spacing w:line="360" w:lineRule="auto"/>
              <w:ind w:firstLine="480"/>
              <w:rPr>
                <w:color w:val="auto"/>
                <w:sz w:val="24"/>
              </w:rPr>
            </w:pPr>
            <w:r>
              <w:rPr>
                <w:color w:val="auto"/>
                <w:sz w:val="24"/>
              </w:rPr>
              <w:t>采样平台应有足够的工作面积使工作人员安全、方便地操作，平台面积应不小于1.5m</w:t>
            </w:r>
            <w:r>
              <w:rPr>
                <w:color w:val="auto"/>
                <w:sz w:val="24"/>
                <w:vertAlign w:val="superscript"/>
              </w:rPr>
              <w:t>2</w:t>
            </w:r>
            <w:r>
              <w:rPr>
                <w:color w:val="auto"/>
                <w:sz w:val="24"/>
              </w:rPr>
              <w:t>，并设有1.1m高的护栏和不低于10cm的脚部挡板，采样平台的承重应不小于200kg/m</w:t>
            </w:r>
            <w:r>
              <w:rPr>
                <w:color w:val="auto"/>
                <w:sz w:val="24"/>
                <w:vertAlign w:val="superscript"/>
              </w:rPr>
              <w:t>2</w:t>
            </w:r>
            <w:r>
              <w:rPr>
                <w:color w:val="auto"/>
                <w:sz w:val="24"/>
              </w:rPr>
              <w:t>，采样孔距平台面约为1.2m～1.3m。</w:t>
            </w:r>
          </w:p>
          <w:p w14:paraId="65524FA1">
            <w:pPr>
              <w:spacing w:line="360" w:lineRule="auto"/>
              <w:ind w:firstLine="480"/>
              <w:rPr>
                <w:color w:val="auto"/>
                <w:sz w:val="24"/>
              </w:rPr>
            </w:pPr>
            <w:r>
              <w:rPr>
                <w:color w:val="auto"/>
                <w:sz w:val="24"/>
              </w:rPr>
              <w:t>②排气筒应设置、注明以下内容：标准编号、污染源名称及型号；排放高度、出口直径；排气量、最大允许排放浓度；排放大气污染物的名称、最大允许排放量。</w:t>
            </w:r>
          </w:p>
          <w:p w14:paraId="585DAEDD">
            <w:pPr>
              <w:widowControl/>
              <w:ind w:firstLine="480"/>
              <w:rPr>
                <w:color w:val="auto"/>
                <w:kern w:val="0"/>
              </w:rPr>
            </w:pPr>
            <w:r>
              <w:rPr>
                <w:color w:val="auto"/>
                <w:kern w:val="0"/>
                <w:lang w:bidi="ar"/>
              </w:rPr>
              <w:t>（</w:t>
            </w:r>
            <w:r>
              <w:rPr>
                <w:rFonts w:hint="eastAsia"/>
                <w:color w:val="auto"/>
                <w:kern w:val="0"/>
                <w:lang w:bidi="ar"/>
              </w:rPr>
              <w:t>3</w:t>
            </w:r>
            <w:r>
              <w:rPr>
                <w:color w:val="auto"/>
                <w:kern w:val="0"/>
                <w:lang w:bidi="ar"/>
              </w:rPr>
              <w:t>）噪声</w:t>
            </w:r>
          </w:p>
          <w:p w14:paraId="51FDA627">
            <w:pPr>
              <w:widowControl/>
              <w:ind w:firstLine="480"/>
              <w:rPr>
                <w:color w:val="auto"/>
                <w:kern w:val="0"/>
              </w:rPr>
            </w:pPr>
            <w:r>
              <w:rPr>
                <w:color w:val="auto"/>
                <w:kern w:val="0"/>
                <w:lang w:bidi="ar"/>
              </w:rPr>
              <w:t>①工业企业厂界噪声监测点应在厂界外1m、高度1.2m以上的噪声敏感</w:t>
            </w:r>
            <w:r>
              <w:rPr>
                <w:rFonts w:hint="eastAsia" w:eastAsia="宋体"/>
                <w:color w:val="auto"/>
                <w:kern w:val="0"/>
                <w:lang w:eastAsia="zh-CN" w:bidi="ar"/>
              </w:rPr>
              <w:t>点</w:t>
            </w:r>
            <w:r>
              <w:rPr>
                <w:color w:val="auto"/>
                <w:kern w:val="0"/>
                <w:lang w:bidi="ar"/>
              </w:rPr>
              <w:t>处；</w:t>
            </w:r>
          </w:p>
          <w:p w14:paraId="053DDF49">
            <w:pPr>
              <w:widowControl/>
              <w:ind w:firstLine="480"/>
              <w:rPr>
                <w:color w:val="auto"/>
                <w:kern w:val="0"/>
              </w:rPr>
            </w:pPr>
            <w:r>
              <w:rPr>
                <w:color w:val="auto"/>
                <w:kern w:val="0"/>
                <w:lang w:bidi="ar"/>
              </w:rPr>
              <w:t>②在固定噪声源对外界影响最大处设置监测点。</w:t>
            </w:r>
          </w:p>
          <w:p w14:paraId="63091A14">
            <w:pPr>
              <w:widowControl/>
              <w:ind w:firstLine="480"/>
              <w:rPr>
                <w:color w:val="auto"/>
                <w:kern w:val="0"/>
              </w:rPr>
            </w:pPr>
            <w:r>
              <w:rPr>
                <w:color w:val="auto"/>
                <w:kern w:val="0"/>
                <w:lang w:bidi="ar"/>
              </w:rPr>
              <w:t>（3）固废</w:t>
            </w:r>
          </w:p>
          <w:p w14:paraId="6C75FE84">
            <w:pPr>
              <w:widowControl/>
              <w:ind w:firstLine="480"/>
              <w:rPr>
                <w:color w:val="auto"/>
                <w:kern w:val="0"/>
              </w:rPr>
            </w:pPr>
            <w:r>
              <w:rPr>
                <w:color w:val="auto"/>
                <w:kern w:val="0"/>
                <w:lang w:bidi="ar"/>
              </w:rPr>
              <w:t>①一般固体废弃物应设置专用贮存、堆放场地。</w:t>
            </w:r>
          </w:p>
          <w:p w14:paraId="408A2C0A">
            <w:pPr>
              <w:widowControl/>
              <w:ind w:firstLine="480"/>
              <w:rPr>
                <w:color w:val="auto"/>
                <w:kern w:val="0"/>
              </w:rPr>
            </w:pPr>
            <w:r>
              <w:rPr>
                <w:color w:val="auto"/>
                <w:kern w:val="0"/>
                <w:lang w:bidi="ar"/>
              </w:rPr>
              <w:t>②危险废物专用堆放场地必须有防扬散、防流失，防渗漏等防治措施，并按规范设置相应标志牌。</w:t>
            </w:r>
          </w:p>
          <w:p w14:paraId="37B14E04">
            <w:pPr>
              <w:widowControl/>
              <w:ind w:firstLine="480"/>
              <w:rPr>
                <w:color w:val="auto"/>
                <w:kern w:val="0"/>
              </w:rPr>
            </w:pPr>
            <w:r>
              <w:rPr>
                <w:color w:val="auto"/>
                <w:kern w:val="0"/>
                <w:lang w:bidi="ar"/>
              </w:rPr>
              <w:t>（4）排污口标志要求</w:t>
            </w:r>
          </w:p>
          <w:p w14:paraId="7E73646C">
            <w:pPr>
              <w:widowControl/>
              <w:ind w:firstLine="480"/>
              <w:rPr>
                <w:color w:val="auto"/>
                <w:kern w:val="0"/>
              </w:rPr>
            </w:pPr>
            <w:r>
              <w:rPr>
                <w:color w:val="auto"/>
                <w:kern w:val="0"/>
                <w:lang w:bidi="ar"/>
              </w:rPr>
              <w:t>排污口必须按照国家颁布的有关污染物强制性排放标准的要求，设置排污口标志牌，排污口标志牌是对排污单位排放污染物实施监测采样和监督管理的法定标志。标志牌设置应距污染物排污口（源）及固体废物贮存（处置）场或采样、监测点附近且醒目处，并能长久保留。可根据情况分别选择设置立式或平面固定式标志牌，在地面设置标志牌上缘距离地面2米。标志牌制作和规格参照《关于印发排污口标志牌技术规格的通知》（环办[2003]95号）执行。</w:t>
            </w:r>
          </w:p>
          <w:p w14:paraId="66E48C45">
            <w:pPr>
              <w:ind w:firstLine="480"/>
              <w:rPr>
                <w:rFonts w:hint="default"/>
                <w:color w:val="auto"/>
                <w:kern w:val="0"/>
                <w:lang w:val="en-US"/>
              </w:rPr>
            </w:pPr>
          </w:p>
        </w:tc>
      </w:tr>
    </w:tbl>
    <w:p w14:paraId="31B9849E">
      <w:pPr>
        <w:ind w:firstLine="480"/>
        <w:jc w:val="center"/>
        <w:outlineLvl w:val="0"/>
        <w:rPr>
          <w:rFonts w:ascii="黑体" w:hAnsi="黑体" w:eastAsia="黑体"/>
          <w:snapToGrid w:val="0"/>
          <w:color w:val="auto"/>
          <w:kern w:val="0"/>
          <w:sz w:val="30"/>
          <w:szCs w:val="30"/>
        </w:rPr>
      </w:pPr>
      <w:r>
        <w:rPr>
          <w:snapToGrid w:val="0"/>
          <w:color w:val="auto"/>
          <w:kern w:val="0"/>
        </w:rPr>
        <w:br w:type="page"/>
      </w:r>
      <w:r>
        <w:rPr>
          <w:rFonts w:hint="eastAsia" w:ascii="黑体" w:hAnsi="黑体" w:eastAsia="黑体"/>
          <w:snapToGrid w:val="0"/>
          <w:color w:val="auto"/>
          <w:kern w:val="0"/>
          <w:sz w:val="30"/>
          <w:szCs w:val="30"/>
        </w:rPr>
        <w:t>六、结论</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14:paraId="096070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tcPr>
          <w:p w14:paraId="56A1874D">
            <w:pPr>
              <w:ind w:left="0" w:leftChars="0" w:firstLine="0" w:firstLineChars="0"/>
              <w:rPr>
                <w:b/>
                <w:color w:val="auto"/>
                <w:kern w:val="0"/>
              </w:rPr>
            </w:pPr>
            <w:r>
              <w:rPr>
                <w:b/>
                <w:color w:val="auto"/>
                <w:kern w:val="0"/>
              </w:rPr>
              <w:t>综合结论</w:t>
            </w:r>
          </w:p>
          <w:p w14:paraId="2CE21668">
            <w:pPr>
              <w:keepNext w:val="0"/>
              <w:keepLines w:val="0"/>
              <w:pageBreakBefore w:val="0"/>
              <w:widowControl w:val="0"/>
              <w:kinsoku/>
              <w:wordWrap/>
              <w:overflowPunct/>
              <w:topLinePunct w:val="0"/>
              <w:bidi w:val="0"/>
              <w:adjustRightInd w:val="0"/>
              <w:snapToGrid w:val="0"/>
              <w:spacing w:line="360" w:lineRule="auto"/>
              <w:ind w:firstLine="480" w:firstLineChars="200"/>
              <w:textAlignment w:val="auto"/>
              <w:rPr>
                <w:rFonts w:ascii="宋体" w:cs="宋体"/>
                <w:color w:val="auto"/>
                <w:kern w:val="0"/>
              </w:rPr>
            </w:pPr>
            <w:r>
              <w:rPr>
                <w:rFonts w:hint="eastAsia"/>
                <w:color w:val="auto"/>
                <w:sz w:val="24"/>
                <w:highlight w:val="none"/>
                <w:lang w:eastAsia="zh-CN"/>
              </w:rPr>
              <w:t>“</w:t>
            </w:r>
            <w:r>
              <w:rPr>
                <w:rFonts w:hint="default" w:ascii="Times New Roman" w:hAnsi="Times New Roman" w:eastAsia="宋体" w:cs="Times New Roman"/>
                <w:color w:val="auto"/>
                <w:sz w:val="24"/>
                <w:szCs w:val="24"/>
                <w:lang w:eastAsia="zh-CN"/>
              </w:rPr>
              <w:t>中粮油脂重庆新建</w:t>
            </w:r>
            <w:r>
              <w:rPr>
                <w:rFonts w:hint="default" w:ascii="Times New Roman" w:hAnsi="Times New Roman" w:eastAsia="宋体" w:cs="Times New Roman"/>
                <w:color w:val="auto"/>
                <w:sz w:val="24"/>
                <w:szCs w:val="24"/>
                <w:lang w:val="en-US" w:eastAsia="zh-CN"/>
              </w:rPr>
              <w:t>膨化大豆粉生产线及磷脂生产线项目</w:t>
            </w:r>
            <w:r>
              <w:rPr>
                <w:rFonts w:hint="eastAsia"/>
                <w:color w:val="auto"/>
                <w:sz w:val="24"/>
                <w:highlight w:val="none"/>
                <w:lang w:eastAsia="zh-CN"/>
              </w:rPr>
              <w:t>”</w:t>
            </w:r>
            <w:r>
              <w:rPr>
                <w:rFonts w:hint="eastAsia" w:cs="宋体"/>
                <w:bCs/>
                <w:color w:val="auto"/>
                <w:sz w:val="24"/>
              </w:rPr>
              <w:t>符合国家产业政策，符合城市总体规划，符合</w:t>
            </w:r>
            <w:r>
              <w:rPr>
                <w:rFonts w:hint="default" w:ascii="Times New Roman" w:hAnsi="Times New Roman" w:cs="Times New Roman"/>
                <w:color w:val="auto"/>
                <w:sz w:val="24"/>
                <w:szCs w:val="24"/>
                <w:lang w:eastAsia="zh-CN"/>
              </w:rPr>
              <w:t>涪陵工业园区龙桥组团</w:t>
            </w:r>
            <w:r>
              <w:rPr>
                <w:rFonts w:hint="eastAsia"/>
                <w:bCs/>
                <w:color w:val="auto"/>
                <w:sz w:val="24"/>
              </w:rPr>
              <w:t>产业</w:t>
            </w:r>
            <w:r>
              <w:rPr>
                <w:rFonts w:hint="eastAsia" w:cs="宋体"/>
                <w:bCs/>
                <w:color w:val="auto"/>
                <w:sz w:val="24"/>
              </w:rPr>
              <w:t>定</w:t>
            </w:r>
            <w:r>
              <w:rPr>
                <w:rFonts w:hint="eastAsia" w:cs="宋体"/>
                <w:bCs/>
                <w:color w:val="auto"/>
                <w:sz w:val="24"/>
                <w:highlight w:val="none"/>
              </w:rPr>
              <w:t>位要求</w:t>
            </w:r>
            <w:r>
              <w:rPr>
                <w:rFonts w:hint="eastAsia" w:cs="宋体"/>
                <w:bCs/>
                <w:color w:val="auto"/>
                <w:spacing w:val="-6"/>
                <w:sz w:val="24"/>
                <w:highlight w:val="none"/>
              </w:rPr>
              <w:t>，</w:t>
            </w:r>
            <w:r>
              <w:rPr>
                <w:rFonts w:hint="eastAsia" w:cs="宋体"/>
                <w:bCs/>
                <w:color w:val="auto"/>
                <w:sz w:val="24"/>
                <w:highlight w:val="none"/>
              </w:rPr>
              <w:t>选址合理；外排污染物经有效治理措施治理后，能够做到达标排放，</w:t>
            </w:r>
            <w:r>
              <w:rPr>
                <w:bCs/>
                <w:color w:val="auto"/>
                <w:sz w:val="24"/>
                <w:highlight w:val="none"/>
              </w:rPr>
              <w:t>对周边环境影响在可接受范围内</w:t>
            </w:r>
            <w:r>
              <w:rPr>
                <w:rFonts w:hint="eastAsia" w:cs="宋体"/>
                <w:bCs/>
                <w:color w:val="auto"/>
                <w:sz w:val="24"/>
                <w:highlight w:val="none"/>
              </w:rPr>
              <w:t>，因此从环保角度来说，本评价认为“</w:t>
            </w:r>
            <w:r>
              <w:rPr>
                <w:rFonts w:hint="default" w:ascii="Times New Roman" w:hAnsi="Times New Roman" w:eastAsia="宋体" w:cs="Times New Roman"/>
                <w:color w:val="auto"/>
                <w:sz w:val="24"/>
                <w:szCs w:val="24"/>
                <w:lang w:eastAsia="zh-CN"/>
              </w:rPr>
              <w:t>中粮油脂重庆新建</w:t>
            </w:r>
            <w:r>
              <w:rPr>
                <w:rFonts w:hint="default" w:ascii="Times New Roman" w:hAnsi="Times New Roman" w:eastAsia="宋体" w:cs="Times New Roman"/>
                <w:color w:val="auto"/>
                <w:sz w:val="24"/>
                <w:szCs w:val="24"/>
                <w:lang w:val="en-US" w:eastAsia="zh-CN"/>
              </w:rPr>
              <w:t>膨化大豆粉生产线及磷脂生产线项目</w:t>
            </w:r>
            <w:r>
              <w:rPr>
                <w:rFonts w:hint="eastAsia" w:cs="宋体"/>
                <w:bCs/>
                <w:color w:val="auto"/>
                <w:sz w:val="24"/>
                <w:highlight w:val="none"/>
              </w:rPr>
              <w:t>”建设可行。</w:t>
            </w:r>
          </w:p>
        </w:tc>
      </w:tr>
    </w:tbl>
    <w:p w14:paraId="23DB1E1E">
      <w:pPr>
        <w:rPr>
          <w:rFonts w:ascii="宋体"/>
          <w:color w:val="auto"/>
        </w:r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14:paraId="5A9D139E">
      <w:pPr>
        <w:keepNext w:val="0"/>
        <w:keepLines w:val="0"/>
        <w:pageBreakBefore w:val="0"/>
        <w:widowControl w:val="0"/>
        <w:kinsoku/>
        <w:wordWrap/>
        <w:overflowPunct/>
        <w:topLinePunct w:val="0"/>
        <w:autoSpaceDE/>
        <w:autoSpaceDN/>
        <w:bidi w:val="0"/>
        <w:adjustRightInd w:val="0"/>
        <w:snapToGrid w:val="0"/>
        <w:textAlignment w:val="auto"/>
        <w:outlineLvl w:val="9"/>
        <w:rPr>
          <w:rFonts w:ascii="黑体" w:hAnsi="黑体" w:eastAsia="黑体"/>
          <w:snapToGrid w:val="0"/>
          <w:color w:val="auto"/>
          <w:kern w:val="0"/>
          <w:sz w:val="32"/>
          <w:szCs w:val="32"/>
        </w:rPr>
      </w:pPr>
      <w:r>
        <w:rPr>
          <w:rFonts w:hint="eastAsia" w:ascii="黑体" w:hAnsi="黑体" w:eastAsia="黑体"/>
          <w:snapToGrid w:val="0"/>
          <w:color w:val="auto"/>
          <w:kern w:val="0"/>
          <w:sz w:val="32"/>
          <w:szCs w:val="32"/>
        </w:rPr>
        <w:t>附表</w:t>
      </w:r>
    </w:p>
    <w:p w14:paraId="3CE05483">
      <w:pPr>
        <w:keepNext w:val="0"/>
        <w:keepLines w:val="0"/>
        <w:pageBreakBefore w:val="0"/>
        <w:widowControl w:val="0"/>
        <w:kinsoku/>
        <w:wordWrap/>
        <w:overflowPunct/>
        <w:topLinePunct w:val="0"/>
        <w:autoSpaceDE/>
        <w:autoSpaceDN/>
        <w:bidi w:val="0"/>
        <w:adjustRightInd w:val="0"/>
        <w:snapToGrid w:val="0"/>
        <w:ind w:firstLine="760"/>
        <w:jc w:val="center"/>
        <w:textAlignment w:val="auto"/>
        <w:outlineLvl w:val="0"/>
        <w:rPr>
          <w:rFonts w:ascii="方正小标宋_GBK" w:hAnsi="黑体" w:eastAsia="方正小标宋_GBK"/>
          <w:snapToGrid w:val="0"/>
          <w:color w:val="auto"/>
          <w:kern w:val="0"/>
          <w:sz w:val="38"/>
          <w:szCs w:val="38"/>
          <w:highlight w:val="yellow"/>
        </w:rPr>
      </w:pPr>
      <w:r>
        <w:rPr>
          <w:rFonts w:hint="eastAsia" w:ascii="方正小标宋_GBK" w:hAnsi="黑体" w:eastAsia="方正小标宋_GBK"/>
          <w:snapToGrid w:val="0"/>
          <w:color w:val="auto"/>
          <w:kern w:val="0"/>
          <w:sz w:val="38"/>
          <w:szCs w:val="38"/>
          <w:highlight w:val="none"/>
        </w:rPr>
        <w:t>建设项目污染物排放量汇总表</w:t>
      </w:r>
    </w:p>
    <w:tbl>
      <w:tblPr>
        <w:tblStyle w:val="17"/>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761"/>
        <w:gridCol w:w="1959"/>
        <w:gridCol w:w="826"/>
      </w:tblGrid>
      <w:tr w14:paraId="06AB79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tcMar>
              <w:left w:w="28" w:type="dxa"/>
              <w:right w:w="28" w:type="dxa"/>
            </w:tcMar>
            <w:vAlign w:val="center"/>
          </w:tcPr>
          <w:p w14:paraId="7643810C">
            <w:pPr>
              <w:pStyle w:val="3"/>
              <w:jc w:val="right"/>
              <w:rPr>
                <w:color w:val="auto"/>
                <w:kern w:val="0"/>
              </w:rPr>
            </w:pPr>
            <w:r>
              <w:rPr>
                <w:rFonts w:hint="eastAsia"/>
                <w:color w:val="auto"/>
                <w:kern w:val="0"/>
              </w:rPr>
              <w:t>项目</w:t>
            </w:r>
          </w:p>
          <w:p w14:paraId="121D9C67">
            <w:pPr>
              <w:pStyle w:val="3"/>
              <w:jc w:val="both"/>
              <w:rPr>
                <w:color w:val="auto"/>
                <w:kern w:val="0"/>
              </w:rPr>
            </w:pPr>
            <w:r>
              <w:rPr>
                <w:rFonts w:hint="eastAsia"/>
                <w:color w:val="auto"/>
                <w:kern w:val="0"/>
              </w:rPr>
              <w:t>分类</w:t>
            </w:r>
          </w:p>
        </w:tc>
        <w:tc>
          <w:tcPr>
            <w:tcW w:w="1417" w:type="dxa"/>
            <w:tcMar>
              <w:left w:w="28" w:type="dxa"/>
              <w:right w:w="28" w:type="dxa"/>
            </w:tcMar>
            <w:vAlign w:val="center"/>
          </w:tcPr>
          <w:p w14:paraId="1671206F">
            <w:pPr>
              <w:pStyle w:val="3"/>
              <w:rPr>
                <w:color w:val="auto"/>
                <w:kern w:val="0"/>
              </w:rPr>
            </w:pPr>
            <w:r>
              <w:rPr>
                <w:rFonts w:hint="eastAsia"/>
                <w:color w:val="auto"/>
                <w:kern w:val="0"/>
              </w:rPr>
              <w:t>污染物名称</w:t>
            </w:r>
          </w:p>
        </w:tc>
        <w:tc>
          <w:tcPr>
            <w:tcW w:w="1701" w:type="dxa"/>
            <w:tcMar>
              <w:left w:w="28" w:type="dxa"/>
              <w:right w:w="28" w:type="dxa"/>
            </w:tcMar>
            <w:vAlign w:val="center"/>
          </w:tcPr>
          <w:p w14:paraId="6A091EC1">
            <w:pPr>
              <w:pStyle w:val="3"/>
              <w:rPr>
                <w:color w:val="auto"/>
                <w:kern w:val="0"/>
              </w:rPr>
            </w:pPr>
            <w:r>
              <w:rPr>
                <w:color w:val="auto"/>
                <w:kern w:val="0"/>
              </w:rPr>
              <w:t>现有工程</w:t>
            </w:r>
          </w:p>
          <w:p w14:paraId="09EE329C">
            <w:pPr>
              <w:pStyle w:val="3"/>
              <w:rPr>
                <w:color w:val="auto"/>
                <w:kern w:val="0"/>
              </w:rPr>
            </w:pPr>
            <w:r>
              <w:rPr>
                <w:color w:val="auto"/>
                <w:kern w:val="0"/>
              </w:rPr>
              <w:t>排放量（固</w:t>
            </w:r>
            <w:r>
              <w:rPr>
                <w:rFonts w:hint="eastAsia"/>
                <w:color w:val="auto"/>
                <w:kern w:val="0"/>
              </w:rPr>
              <w:t>体</w:t>
            </w:r>
            <w:r>
              <w:rPr>
                <w:color w:val="auto"/>
                <w:kern w:val="0"/>
              </w:rPr>
              <w:t>废</w:t>
            </w:r>
            <w:r>
              <w:rPr>
                <w:rFonts w:hint="eastAsia"/>
                <w:color w:val="auto"/>
                <w:kern w:val="0"/>
              </w:rPr>
              <w:t>物</w:t>
            </w:r>
            <w:r>
              <w:rPr>
                <w:color w:val="auto"/>
                <w:kern w:val="0"/>
              </w:rPr>
              <w:t>产生量）</w:t>
            </w:r>
            <w:r>
              <w:rPr>
                <w:color w:val="auto"/>
                <w:kern w:val="0"/>
              </w:rPr>
              <w:fldChar w:fldCharType="begin"/>
            </w:r>
            <w:r>
              <w:rPr>
                <w:color w:val="auto"/>
                <w:kern w:val="0"/>
              </w:rPr>
              <w:instrText xml:space="preserve"> = 1 \* GB3 \* MERGEFORMAT </w:instrText>
            </w:r>
            <w:r>
              <w:rPr>
                <w:color w:val="auto"/>
                <w:kern w:val="0"/>
              </w:rPr>
              <w:fldChar w:fldCharType="separate"/>
            </w:r>
            <w:r>
              <w:rPr>
                <w:rFonts w:hint="eastAsia"/>
                <w:color w:val="auto"/>
                <w:kern w:val="0"/>
              </w:rPr>
              <w:t>①</w:t>
            </w:r>
            <w:r>
              <w:rPr>
                <w:color w:val="auto"/>
                <w:kern w:val="0"/>
              </w:rPr>
              <w:fldChar w:fldCharType="end"/>
            </w:r>
          </w:p>
        </w:tc>
        <w:tc>
          <w:tcPr>
            <w:tcW w:w="1276" w:type="dxa"/>
            <w:tcMar>
              <w:left w:w="28" w:type="dxa"/>
              <w:right w:w="28" w:type="dxa"/>
            </w:tcMar>
            <w:vAlign w:val="center"/>
          </w:tcPr>
          <w:p w14:paraId="18D886F8">
            <w:pPr>
              <w:pStyle w:val="3"/>
              <w:rPr>
                <w:color w:val="auto"/>
                <w:kern w:val="0"/>
              </w:rPr>
            </w:pPr>
            <w:r>
              <w:rPr>
                <w:color w:val="auto"/>
                <w:kern w:val="0"/>
              </w:rPr>
              <w:t>现有工程</w:t>
            </w:r>
          </w:p>
          <w:p w14:paraId="2B2AF747">
            <w:pPr>
              <w:pStyle w:val="3"/>
              <w:rPr>
                <w:color w:val="auto"/>
                <w:kern w:val="0"/>
              </w:rPr>
            </w:pPr>
            <w:r>
              <w:rPr>
                <w:color w:val="auto"/>
                <w:kern w:val="0"/>
              </w:rPr>
              <w:t>许可排放量</w:t>
            </w:r>
          </w:p>
          <w:p w14:paraId="151C5F17">
            <w:pPr>
              <w:pStyle w:val="3"/>
              <w:rPr>
                <w:color w:val="auto"/>
                <w:kern w:val="0"/>
              </w:rPr>
            </w:pPr>
            <w:r>
              <w:rPr>
                <w:color w:val="auto"/>
                <w:kern w:val="0"/>
              </w:rPr>
              <w:fldChar w:fldCharType="begin"/>
            </w:r>
            <w:r>
              <w:rPr>
                <w:color w:val="auto"/>
                <w:kern w:val="0"/>
              </w:rPr>
              <w:instrText xml:space="preserve"> = 2 \* GB3 \* MERGEFORMAT </w:instrText>
            </w:r>
            <w:r>
              <w:rPr>
                <w:color w:val="auto"/>
                <w:kern w:val="0"/>
              </w:rPr>
              <w:fldChar w:fldCharType="separate"/>
            </w:r>
            <w:r>
              <w:rPr>
                <w:rFonts w:hint="eastAsia"/>
                <w:color w:val="auto"/>
                <w:kern w:val="0"/>
              </w:rPr>
              <w:t>②</w:t>
            </w:r>
            <w:r>
              <w:rPr>
                <w:color w:val="auto"/>
                <w:kern w:val="0"/>
              </w:rPr>
              <w:fldChar w:fldCharType="end"/>
            </w:r>
          </w:p>
        </w:tc>
        <w:tc>
          <w:tcPr>
            <w:tcW w:w="1701" w:type="dxa"/>
            <w:tcMar>
              <w:left w:w="28" w:type="dxa"/>
              <w:right w:w="28" w:type="dxa"/>
            </w:tcMar>
            <w:vAlign w:val="center"/>
          </w:tcPr>
          <w:p w14:paraId="50F004E6">
            <w:pPr>
              <w:pStyle w:val="3"/>
              <w:rPr>
                <w:color w:val="auto"/>
                <w:kern w:val="0"/>
              </w:rPr>
            </w:pPr>
            <w:r>
              <w:rPr>
                <w:color w:val="auto"/>
                <w:kern w:val="0"/>
              </w:rPr>
              <w:t>在建工程</w:t>
            </w:r>
          </w:p>
          <w:p w14:paraId="02538C77">
            <w:pPr>
              <w:pStyle w:val="3"/>
              <w:rPr>
                <w:color w:val="auto"/>
                <w:kern w:val="0"/>
              </w:rPr>
            </w:pPr>
            <w:r>
              <w:rPr>
                <w:color w:val="auto"/>
                <w:kern w:val="0"/>
              </w:rPr>
              <w:t>排放量（固</w:t>
            </w:r>
            <w:r>
              <w:rPr>
                <w:rFonts w:hint="eastAsia"/>
                <w:color w:val="auto"/>
                <w:kern w:val="0"/>
              </w:rPr>
              <w:t>体</w:t>
            </w:r>
            <w:r>
              <w:rPr>
                <w:color w:val="auto"/>
                <w:kern w:val="0"/>
              </w:rPr>
              <w:t>废</w:t>
            </w:r>
            <w:r>
              <w:rPr>
                <w:rFonts w:hint="eastAsia"/>
                <w:color w:val="auto"/>
                <w:kern w:val="0"/>
              </w:rPr>
              <w:t>物</w:t>
            </w:r>
            <w:r>
              <w:rPr>
                <w:color w:val="auto"/>
                <w:kern w:val="0"/>
              </w:rPr>
              <w:t>产生量）</w:t>
            </w:r>
            <w:r>
              <w:rPr>
                <w:color w:val="auto"/>
                <w:kern w:val="0"/>
              </w:rPr>
              <w:fldChar w:fldCharType="begin"/>
            </w:r>
            <w:r>
              <w:rPr>
                <w:color w:val="auto"/>
                <w:kern w:val="0"/>
              </w:rPr>
              <w:instrText xml:space="preserve"> = 3 \* GB3 \* MERGEFORMAT </w:instrText>
            </w:r>
            <w:r>
              <w:rPr>
                <w:color w:val="auto"/>
                <w:kern w:val="0"/>
              </w:rPr>
              <w:fldChar w:fldCharType="separate"/>
            </w:r>
            <w:r>
              <w:rPr>
                <w:rFonts w:hint="eastAsia"/>
                <w:color w:val="auto"/>
                <w:kern w:val="0"/>
              </w:rPr>
              <w:t>③</w:t>
            </w:r>
            <w:r>
              <w:rPr>
                <w:color w:val="auto"/>
                <w:kern w:val="0"/>
              </w:rPr>
              <w:fldChar w:fldCharType="end"/>
            </w:r>
          </w:p>
        </w:tc>
        <w:tc>
          <w:tcPr>
            <w:tcW w:w="1559" w:type="dxa"/>
            <w:tcMar>
              <w:left w:w="28" w:type="dxa"/>
              <w:right w:w="28" w:type="dxa"/>
            </w:tcMar>
            <w:vAlign w:val="center"/>
          </w:tcPr>
          <w:p w14:paraId="232856CA">
            <w:pPr>
              <w:pStyle w:val="3"/>
              <w:rPr>
                <w:color w:val="auto"/>
                <w:kern w:val="0"/>
              </w:rPr>
            </w:pPr>
            <w:r>
              <w:rPr>
                <w:color w:val="auto"/>
                <w:kern w:val="0"/>
              </w:rPr>
              <w:t>本项目</w:t>
            </w:r>
          </w:p>
          <w:p w14:paraId="0D8B3CAE">
            <w:pPr>
              <w:pStyle w:val="3"/>
              <w:rPr>
                <w:color w:val="auto"/>
                <w:kern w:val="0"/>
              </w:rPr>
            </w:pPr>
            <w:r>
              <w:rPr>
                <w:color w:val="auto"/>
                <w:kern w:val="0"/>
              </w:rPr>
              <w:t>排放量（固</w:t>
            </w:r>
            <w:r>
              <w:rPr>
                <w:rFonts w:hint="eastAsia"/>
                <w:color w:val="auto"/>
                <w:kern w:val="0"/>
              </w:rPr>
              <w:t>体</w:t>
            </w:r>
            <w:r>
              <w:rPr>
                <w:color w:val="auto"/>
                <w:kern w:val="0"/>
              </w:rPr>
              <w:t>废</w:t>
            </w:r>
            <w:r>
              <w:rPr>
                <w:rFonts w:hint="eastAsia"/>
                <w:color w:val="auto"/>
                <w:kern w:val="0"/>
              </w:rPr>
              <w:t>物</w:t>
            </w:r>
            <w:r>
              <w:rPr>
                <w:color w:val="auto"/>
                <w:kern w:val="0"/>
              </w:rPr>
              <w:t>产生量）</w:t>
            </w:r>
            <w:r>
              <w:rPr>
                <w:color w:val="auto"/>
                <w:kern w:val="0"/>
              </w:rPr>
              <w:fldChar w:fldCharType="begin"/>
            </w:r>
            <w:r>
              <w:rPr>
                <w:color w:val="auto"/>
                <w:kern w:val="0"/>
              </w:rPr>
              <w:instrText xml:space="preserve"> = 4 \* GB3 \* MERGEFORMAT </w:instrText>
            </w:r>
            <w:r>
              <w:rPr>
                <w:color w:val="auto"/>
                <w:kern w:val="0"/>
              </w:rPr>
              <w:fldChar w:fldCharType="separate"/>
            </w:r>
            <w:r>
              <w:rPr>
                <w:rFonts w:hint="eastAsia"/>
                <w:color w:val="auto"/>
                <w:kern w:val="0"/>
              </w:rPr>
              <w:t>④</w:t>
            </w:r>
            <w:r>
              <w:rPr>
                <w:color w:val="auto"/>
                <w:kern w:val="0"/>
              </w:rPr>
              <w:fldChar w:fldCharType="end"/>
            </w:r>
          </w:p>
        </w:tc>
        <w:tc>
          <w:tcPr>
            <w:tcW w:w="1761" w:type="dxa"/>
            <w:tcMar>
              <w:left w:w="28" w:type="dxa"/>
              <w:right w:w="28" w:type="dxa"/>
            </w:tcMar>
            <w:vAlign w:val="center"/>
          </w:tcPr>
          <w:p w14:paraId="28C98EA0">
            <w:pPr>
              <w:pStyle w:val="3"/>
              <w:rPr>
                <w:color w:val="auto"/>
                <w:kern w:val="0"/>
              </w:rPr>
            </w:pPr>
            <w:r>
              <w:rPr>
                <w:color w:val="auto"/>
                <w:kern w:val="0"/>
              </w:rPr>
              <w:t>以新带老削减量</w:t>
            </w:r>
          </w:p>
          <w:p w14:paraId="2ABCCC94">
            <w:pPr>
              <w:pStyle w:val="3"/>
              <w:rPr>
                <w:color w:val="auto"/>
                <w:kern w:val="0"/>
              </w:rPr>
            </w:pPr>
            <w:r>
              <w:rPr>
                <w:color w:val="auto"/>
                <w:kern w:val="0"/>
              </w:rPr>
              <w:t>（新建项目不填）</w:t>
            </w:r>
            <w:r>
              <w:rPr>
                <w:color w:val="auto"/>
                <w:kern w:val="0"/>
              </w:rPr>
              <w:fldChar w:fldCharType="begin"/>
            </w:r>
            <w:r>
              <w:rPr>
                <w:color w:val="auto"/>
                <w:kern w:val="0"/>
              </w:rPr>
              <w:instrText xml:space="preserve"> = 5 \* GB3 \* MERGEFORMAT </w:instrText>
            </w:r>
            <w:r>
              <w:rPr>
                <w:color w:val="auto"/>
                <w:kern w:val="0"/>
              </w:rPr>
              <w:fldChar w:fldCharType="separate"/>
            </w:r>
            <w:r>
              <w:rPr>
                <w:rFonts w:hint="eastAsia"/>
                <w:color w:val="auto"/>
                <w:kern w:val="0"/>
              </w:rPr>
              <w:t>⑤</w:t>
            </w:r>
            <w:r>
              <w:rPr>
                <w:color w:val="auto"/>
                <w:kern w:val="0"/>
              </w:rPr>
              <w:fldChar w:fldCharType="end"/>
            </w:r>
          </w:p>
        </w:tc>
        <w:tc>
          <w:tcPr>
            <w:tcW w:w="1959" w:type="dxa"/>
            <w:tcMar>
              <w:left w:w="28" w:type="dxa"/>
              <w:right w:w="28" w:type="dxa"/>
            </w:tcMar>
            <w:vAlign w:val="center"/>
          </w:tcPr>
          <w:p w14:paraId="59BFC7C1">
            <w:pPr>
              <w:pStyle w:val="3"/>
              <w:rPr>
                <w:color w:val="auto"/>
                <w:kern w:val="0"/>
              </w:rPr>
            </w:pPr>
            <w:r>
              <w:rPr>
                <w:color w:val="auto"/>
                <w:kern w:val="0"/>
              </w:rPr>
              <w:t>本项目建成后</w:t>
            </w:r>
          </w:p>
          <w:p w14:paraId="617D0995">
            <w:pPr>
              <w:pStyle w:val="3"/>
              <w:rPr>
                <w:color w:val="auto"/>
                <w:kern w:val="0"/>
              </w:rPr>
            </w:pPr>
            <w:r>
              <w:rPr>
                <w:rFonts w:hint="eastAsia"/>
                <w:color w:val="auto"/>
                <w:kern w:val="0"/>
              </w:rPr>
              <w:t>全厂</w:t>
            </w:r>
            <w:r>
              <w:rPr>
                <w:color w:val="auto"/>
                <w:kern w:val="0"/>
              </w:rPr>
              <w:t>排放量（固</w:t>
            </w:r>
            <w:r>
              <w:rPr>
                <w:rFonts w:hint="eastAsia"/>
                <w:color w:val="auto"/>
                <w:kern w:val="0"/>
              </w:rPr>
              <w:t>体</w:t>
            </w:r>
            <w:r>
              <w:rPr>
                <w:color w:val="auto"/>
                <w:kern w:val="0"/>
              </w:rPr>
              <w:t>废</w:t>
            </w:r>
            <w:r>
              <w:rPr>
                <w:rFonts w:hint="eastAsia"/>
                <w:color w:val="auto"/>
                <w:kern w:val="0"/>
              </w:rPr>
              <w:t>物</w:t>
            </w:r>
            <w:r>
              <w:rPr>
                <w:color w:val="auto"/>
                <w:kern w:val="0"/>
              </w:rPr>
              <w:t>产生量）</w:t>
            </w:r>
            <w:r>
              <w:rPr>
                <w:color w:val="auto"/>
                <w:kern w:val="0"/>
              </w:rPr>
              <w:fldChar w:fldCharType="begin"/>
            </w:r>
            <w:r>
              <w:rPr>
                <w:color w:val="auto"/>
                <w:kern w:val="0"/>
              </w:rPr>
              <w:instrText xml:space="preserve"> = 6 \* GB3 \* MERGEFORMAT </w:instrText>
            </w:r>
            <w:r>
              <w:rPr>
                <w:color w:val="auto"/>
                <w:kern w:val="0"/>
              </w:rPr>
              <w:fldChar w:fldCharType="separate"/>
            </w:r>
            <w:r>
              <w:rPr>
                <w:rFonts w:hint="eastAsia"/>
                <w:color w:val="auto"/>
                <w:kern w:val="0"/>
              </w:rPr>
              <w:t>⑥</w:t>
            </w:r>
            <w:r>
              <w:rPr>
                <w:color w:val="auto"/>
                <w:kern w:val="0"/>
              </w:rPr>
              <w:fldChar w:fldCharType="end"/>
            </w:r>
          </w:p>
        </w:tc>
        <w:tc>
          <w:tcPr>
            <w:tcW w:w="826" w:type="dxa"/>
            <w:tcMar>
              <w:left w:w="28" w:type="dxa"/>
              <w:right w:w="28" w:type="dxa"/>
            </w:tcMar>
            <w:vAlign w:val="center"/>
          </w:tcPr>
          <w:p w14:paraId="0A0D28DA">
            <w:pPr>
              <w:pStyle w:val="3"/>
              <w:rPr>
                <w:color w:val="auto"/>
                <w:kern w:val="0"/>
              </w:rPr>
            </w:pPr>
            <w:r>
              <w:rPr>
                <w:color w:val="auto"/>
                <w:kern w:val="0"/>
              </w:rPr>
              <w:t>变化量</w:t>
            </w:r>
          </w:p>
          <w:p w14:paraId="2F27C70D">
            <w:pPr>
              <w:pStyle w:val="3"/>
              <w:rPr>
                <w:color w:val="auto"/>
                <w:kern w:val="0"/>
              </w:rPr>
            </w:pPr>
            <w:r>
              <w:rPr>
                <w:color w:val="auto"/>
                <w:kern w:val="0"/>
              </w:rPr>
              <w:fldChar w:fldCharType="begin"/>
            </w:r>
            <w:r>
              <w:rPr>
                <w:color w:val="auto"/>
                <w:kern w:val="0"/>
              </w:rPr>
              <w:instrText xml:space="preserve"> = 7 \* GB3 \* MERGEFORMAT </w:instrText>
            </w:r>
            <w:r>
              <w:rPr>
                <w:color w:val="auto"/>
                <w:kern w:val="0"/>
              </w:rPr>
              <w:fldChar w:fldCharType="separate"/>
            </w:r>
            <w:r>
              <w:rPr>
                <w:rFonts w:hint="eastAsia"/>
                <w:color w:val="auto"/>
                <w:kern w:val="0"/>
              </w:rPr>
              <w:t>⑦</w:t>
            </w:r>
            <w:r>
              <w:rPr>
                <w:color w:val="auto"/>
                <w:kern w:val="0"/>
              </w:rPr>
              <w:fldChar w:fldCharType="end"/>
            </w:r>
          </w:p>
        </w:tc>
      </w:tr>
      <w:tr w14:paraId="45309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5D7DE076">
            <w:pPr>
              <w:pStyle w:val="3"/>
              <w:rPr>
                <w:color w:val="auto"/>
                <w:kern w:val="0"/>
              </w:rPr>
            </w:pPr>
            <w:r>
              <w:rPr>
                <w:rFonts w:hint="eastAsia"/>
                <w:color w:val="auto"/>
                <w:kern w:val="0"/>
              </w:rPr>
              <w:t>废气</w:t>
            </w:r>
          </w:p>
        </w:tc>
        <w:tc>
          <w:tcPr>
            <w:tcW w:w="1417" w:type="dxa"/>
            <w:vAlign w:val="center"/>
          </w:tcPr>
          <w:p w14:paraId="72EAE9DE">
            <w:pPr>
              <w:pStyle w:val="3"/>
              <w:bidi w:val="0"/>
              <w:rPr>
                <w:rFonts w:hint="default" w:ascii="Times New Roman" w:hAnsi="Times New Roman" w:eastAsia="宋体" w:cs="Times New Roman"/>
                <w:color w:val="auto"/>
                <w:lang w:eastAsia="zh-CN"/>
              </w:rPr>
            </w:pPr>
            <w:r>
              <w:rPr>
                <w:rFonts w:hint="default" w:ascii="Times New Roman" w:hAnsi="Times New Roman" w:cs="Times New Roman"/>
                <w:color w:val="auto"/>
                <w:lang w:val="en-US" w:eastAsia="zh-CN"/>
              </w:rPr>
              <w:t>非甲烷总烃</w:t>
            </w:r>
          </w:p>
        </w:tc>
        <w:tc>
          <w:tcPr>
            <w:tcW w:w="1701" w:type="dxa"/>
            <w:shd w:val="clear" w:color="auto" w:fill="auto"/>
            <w:vAlign w:val="center"/>
          </w:tcPr>
          <w:p w14:paraId="2E612D32">
            <w:pPr>
              <w:pStyle w:val="3"/>
              <w:bidi w:val="0"/>
              <w:rPr>
                <w:rFonts w:hint="default"/>
                <w:color w:val="auto"/>
                <w:lang w:val="en-US" w:eastAsia="zh-CN"/>
              </w:rPr>
            </w:pPr>
            <w:r>
              <w:rPr>
                <w:rFonts w:hint="default" w:ascii="Times New Roman" w:hAnsi="Times New Roman" w:cs="Times New Roman"/>
                <w:color w:val="auto"/>
                <w:lang w:val="en-US" w:eastAsia="zh-CN"/>
              </w:rPr>
              <w:t>9.337t/a</w:t>
            </w:r>
          </w:p>
        </w:tc>
        <w:tc>
          <w:tcPr>
            <w:tcW w:w="1276" w:type="dxa"/>
            <w:vAlign w:val="center"/>
          </w:tcPr>
          <w:p w14:paraId="11146F41">
            <w:pPr>
              <w:pStyle w:val="3"/>
              <w:rPr>
                <w:color w:val="auto"/>
                <w:kern w:val="0"/>
              </w:rPr>
            </w:pPr>
          </w:p>
        </w:tc>
        <w:tc>
          <w:tcPr>
            <w:tcW w:w="1701" w:type="dxa"/>
            <w:vAlign w:val="center"/>
          </w:tcPr>
          <w:p w14:paraId="70B106E0">
            <w:pPr>
              <w:pStyle w:val="3"/>
              <w:rPr>
                <w:rFonts w:hint="default" w:eastAsia="宋体"/>
                <w:color w:val="auto"/>
                <w:kern w:val="0"/>
                <w:lang w:val="en-US" w:eastAsia="zh-CN"/>
              </w:rPr>
            </w:pPr>
          </w:p>
        </w:tc>
        <w:tc>
          <w:tcPr>
            <w:tcW w:w="1559" w:type="dxa"/>
            <w:vAlign w:val="center"/>
          </w:tcPr>
          <w:p w14:paraId="0FBF4D94">
            <w:pPr>
              <w:pStyle w:val="3"/>
              <w:bidi w:val="0"/>
              <w:rPr>
                <w:rFonts w:hint="default"/>
                <w:color w:val="auto"/>
                <w:lang w:val="en-US"/>
              </w:rPr>
            </w:pPr>
            <w:r>
              <w:rPr>
                <w:rFonts w:hint="default" w:ascii="Times New Roman" w:hAnsi="Times New Roman" w:cs="Times New Roman"/>
                <w:color w:val="auto"/>
                <w:lang w:val="en-US" w:eastAsia="zh-CN"/>
              </w:rPr>
              <w:t>0t/a</w:t>
            </w:r>
          </w:p>
        </w:tc>
        <w:tc>
          <w:tcPr>
            <w:tcW w:w="1761" w:type="dxa"/>
            <w:vAlign w:val="center"/>
          </w:tcPr>
          <w:p w14:paraId="5835F6CF">
            <w:pPr>
              <w:pStyle w:val="3"/>
              <w:rPr>
                <w:rFonts w:hint="default" w:eastAsia="宋体"/>
                <w:color w:val="auto"/>
                <w:kern w:val="0"/>
                <w:lang w:val="en-US" w:eastAsia="zh-CN"/>
              </w:rPr>
            </w:pPr>
            <w:r>
              <w:rPr>
                <w:rFonts w:hint="default" w:ascii="Times New Roman" w:hAnsi="Times New Roman" w:cs="Times New Roman"/>
                <w:color w:val="auto"/>
                <w:lang w:val="en-US" w:eastAsia="zh-CN"/>
              </w:rPr>
              <w:t>0t/a</w:t>
            </w:r>
          </w:p>
        </w:tc>
        <w:tc>
          <w:tcPr>
            <w:tcW w:w="1959" w:type="dxa"/>
            <w:vAlign w:val="center"/>
          </w:tcPr>
          <w:p w14:paraId="02E72ECB">
            <w:pPr>
              <w:pStyle w:val="3"/>
              <w:bidi w:val="0"/>
              <w:ind w:firstLine="0" w:firstLineChars="0"/>
              <w:rPr>
                <w:color w:val="auto"/>
                <w:kern w:val="0"/>
              </w:rPr>
            </w:pPr>
            <w:r>
              <w:rPr>
                <w:rFonts w:hint="default" w:ascii="Times New Roman" w:hAnsi="Times New Roman" w:cs="Times New Roman"/>
                <w:color w:val="auto"/>
                <w:lang w:val="en-US" w:eastAsia="zh-CN"/>
              </w:rPr>
              <w:t>9.337t/a</w:t>
            </w:r>
          </w:p>
        </w:tc>
        <w:tc>
          <w:tcPr>
            <w:tcW w:w="826" w:type="dxa"/>
            <w:vAlign w:val="center"/>
          </w:tcPr>
          <w:p w14:paraId="753204DA">
            <w:pPr>
              <w:pStyle w:val="3"/>
              <w:bidi w:val="0"/>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00FDE1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7527D6B">
            <w:pPr>
              <w:pStyle w:val="3"/>
              <w:rPr>
                <w:color w:val="auto"/>
                <w:kern w:val="0"/>
              </w:rPr>
            </w:pPr>
          </w:p>
        </w:tc>
        <w:tc>
          <w:tcPr>
            <w:tcW w:w="1417" w:type="dxa"/>
            <w:vAlign w:val="center"/>
          </w:tcPr>
          <w:p w14:paraId="4E71E531">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SO</w:t>
            </w:r>
            <w:r>
              <w:rPr>
                <w:rFonts w:hint="default" w:ascii="Times New Roman" w:hAnsi="Times New Roman" w:cs="Times New Roman"/>
                <w:color w:val="auto"/>
                <w:vertAlign w:val="subscript"/>
                <w:lang w:val="en-US" w:eastAsia="zh-CN"/>
              </w:rPr>
              <w:t>2</w:t>
            </w:r>
          </w:p>
        </w:tc>
        <w:tc>
          <w:tcPr>
            <w:tcW w:w="1701" w:type="dxa"/>
            <w:vAlign w:val="center"/>
          </w:tcPr>
          <w:p w14:paraId="512AA848">
            <w:pPr>
              <w:pStyle w:val="3"/>
              <w:bidi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eastAsia="zh-CN"/>
              </w:rPr>
              <w:t>0.168</w:t>
            </w:r>
            <w:r>
              <w:rPr>
                <w:rFonts w:hint="eastAsia" w:ascii="Times New Roman" w:hAnsi="Times New Roman" w:cs="Times New Roman"/>
                <w:color w:val="auto"/>
                <w:lang w:val="en-US" w:eastAsia="zh-CN"/>
              </w:rPr>
              <w:t>t/a</w:t>
            </w:r>
          </w:p>
        </w:tc>
        <w:tc>
          <w:tcPr>
            <w:tcW w:w="1276" w:type="dxa"/>
            <w:vAlign w:val="center"/>
          </w:tcPr>
          <w:p w14:paraId="0F6AB335">
            <w:pPr>
              <w:pStyle w:val="3"/>
              <w:rPr>
                <w:color w:val="auto"/>
                <w:kern w:val="0"/>
              </w:rPr>
            </w:pPr>
          </w:p>
        </w:tc>
        <w:tc>
          <w:tcPr>
            <w:tcW w:w="1701" w:type="dxa"/>
            <w:vAlign w:val="center"/>
          </w:tcPr>
          <w:p w14:paraId="7B511B4B">
            <w:pPr>
              <w:pStyle w:val="3"/>
              <w:rPr>
                <w:color w:val="auto"/>
                <w:kern w:val="0"/>
              </w:rPr>
            </w:pPr>
          </w:p>
        </w:tc>
        <w:tc>
          <w:tcPr>
            <w:tcW w:w="1559" w:type="dxa"/>
            <w:vAlign w:val="center"/>
          </w:tcPr>
          <w:p w14:paraId="17FF99D3">
            <w:pPr>
              <w:pStyle w:val="3"/>
              <w:bidi w:val="0"/>
              <w:rPr>
                <w:rFonts w:hint="default" w:eastAsia="宋体"/>
                <w:color w:val="auto"/>
                <w:lang w:val="en-US" w:eastAsia="zh-CN"/>
              </w:rPr>
            </w:pPr>
            <w:r>
              <w:rPr>
                <w:rFonts w:hint="default" w:ascii="Times New Roman" w:hAnsi="Times New Roman" w:cs="Times New Roman"/>
                <w:color w:val="auto"/>
                <w:lang w:val="en-US" w:eastAsia="zh-CN"/>
              </w:rPr>
              <w:t>0t/a</w:t>
            </w:r>
          </w:p>
        </w:tc>
        <w:tc>
          <w:tcPr>
            <w:tcW w:w="1761" w:type="dxa"/>
            <w:vAlign w:val="center"/>
          </w:tcPr>
          <w:p w14:paraId="47427EC2">
            <w:pPr>
              <w:pStyle w:val="3"/>
              <w:rPr>
                <w:color w:val="auto"/>
                <w:kern w:val="0"/>
              </w:rPr>
            </w:pPr>
            <w:r>
              <w:rPr>
                <w:rFonts w:hint="default" w:ascii="Times New Roman" w:hAnsi="Times New Roman" w:cs="Times New Roman"/>
                <w:color w:val="auto"/>
                <w:lang w:val="en-US" w:eastAsia="zh-CN"/>
              </w:rPr>
              <w:t>0t/a</w:t>
            </w:r>
          </w:p>
        </w:tc>
        <w:tc>
          <w:tcPr>
            <w:tcW w:w="1959" w:type="dxa"/>
            <w:vAlign w:val="center"/>
          </w:tcPr>
          <w:p w14:paraId="6B8F8C11">
            <w:pPr>
              <w:pStyle w:val="3"/>
              <w:bidi w:val="0"/>
              <w:ind w:firstLine="0" w:firstLineChars="0"/>
              <w:rPr>
                <w:color w:val="auto"/>
                <w:kern w:val="0"/>
              </w:rPr>
            </w:pPr>
            <w:r>
              <w:rPr>
                <w:rFonts w:hint="default" w:ascii="Times New Roman" w:hAnsi="Times New Roman" w:cs="Times New Roman"/>
                <w:color w:val="auto"/>
                <w:lang w:val="en-US" w:eastAsia="zh-CN"/>
              </w:rPr>
              <w:t>0.168</w:t>
            </w:r>
            <w:r>
              <w:rPr>
                <w:rFonts w:hint="eastAsia" w:ascii="Times New Roman" w:hAnsi="Times New Roman" w:cs="Times New Roman"/>
                <w:color w:val="auto"/>
                <w:lang w:val="en-US" w:eastAsia="zh-CN"/>
              </w:rPr>
              <w:t>t/a</w:t>
            </w:r>
          </w:p>
        </w:tc>
        <w:tc>
          <w:tcPr>
            <w:tcW w:w="826" w:type="dxa"/>
            <w:vAlign w:val="center"/>
          </w:tcPr>
          <w:p w14:paraId="3319FFAC">
            <w:pPr>
              <w:pStyle w:val="3"/>
              <w:bidi w:val="0"/>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149905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EC78976">
            <w:pPr>
              <w:pStyle w:val="3"/>
              <w:rPr>
                <w:color w:val="auto"/>
                <w:kern w:val="0"/>
              </w:rPr>
            </w:pPr>
          </w:p>
        </w:tc>
        <w:tc>
          <w:tcPr>
            <w:tcW w:w="1417" w:type="dxa"/>
            <w:vAlign w:val="center"/>
          </w:tcPr>
          <w:p w14:paraId="488FEE1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NO</w:t>
            </w:r>
            <w:r>
              <w:rPr>
                <w:rFonts w:hint="default" w:ascii="Times New Roman" w:hAnsi="Times New Roman" w:cs="Times New Roman"/>
                <w:color w:val="auto"/>
                <w:vertAlign w:val="subscript"/>
                <w:lang w:val="en-US" w:eastAsia="zh-CN"/>
              </w:rPr>
              <w:t>X</w:t>
            </w:r>
          </w:p>
        </w:tc>
        <w:tc>
          <w:tcPr>
            <w:tcW w:w="1701" w:type="dxa"/>
            <w:vAlign w:val="center"/>
          </w:tcPr>
          <w:p w14:paraId="203BDC96">
            <w:pPr>
              <w:pStyle w:val="3"/>
              <w:bidi w:val="0"/>
              <w:ind w:firstLine="0" w:firstLineChars="0"/>
              <w:rPr>
                <w:rFonts w:hint="default" w:ascii="Times New Roman" w:hAnsi="Times New Roman" w:cs="Times New Roman"/>
                <w:color w:val="auto"/>
                <w:lang w:val="en-US"/>
              </w:rPr>
            </w:pPr>
            <w:r>
              <w:rPr>
                <w:rFonts w:hint="default" w:ascii="Times New Roman" w:hAnsi="Times New Roman" w:cs="Times New Roman"/>
                <w:color w:val="auto"/>
                <w:lang w:val="en-US" w:eastAsia="zh-CN"/>
              </w:rPr>
              <w:t>0.315</w:t>
            </w:r>
            <w:r>
              <w:rPr>
                <w:rFonts w:hint="eastAsia" w:ascii="Times New Roman" w:hAnsi="Times New Roman" w:cs="Times New Roman"/>
                <w:color w:val="auto"/>
                <w:lang w:val="en-US" w:eastAsia="zh-CN"/>
              </w:rPr>
              <w:t>t/a</w:t>
            </w:r>
          </w:p>
        </w:tc>
        <w:tc>
          <w:tcPr>
            <w:tcW w:w="1276" w:type="dxa"/>
            <w:vAlign w:val="center"/>
          </w:tcPr>
          <w:p w14:paraId="5631E710">
            <w:pPr>
              <w:pStyle w:val="3"/>
              <w:rPr>
                <w:color w:val="auto"/>
                <w:kern w:val="0"/>
              </w:rPr>
            </w:pPr>
          </w:p>
        </w:tc>
        <w:tc>
          <w:tcPr>
            <w:tcW w:w="1701" w:type="dxa"/>
            <w:vAlign w:val="center"/>
          </w:tcPr>
          <w:p w14:paraId="2963B28B">
            <w:pPr>
              <w:pStyle w:val="3"/>
              <w:rPr>
                <w:color w:val="auto"/>
                <w:kern w:val="0"/>
              </w:rPr>
            </w:pPr>
          </w:p>
        </w:tc>
        <w:tc>
          <w:tcPr>
            <w:tcW w:w="1559" w:type="dxa"/>
            <w:vAlign w:val="center"/>
          </w:tcPr>
          <w:p w14:paraId="265F8F80">
            <w:pPr>
              <w:pStyle w:val="3"/>
              <w:bidi w:val="0"/>
              <w:rPr>
                <w:rFonts w:hint="default"/>
                <w:color w:val="auto"/>
                <w:lang w:val="en-US" w:eastAsia="zh-CN"/>
              </w:rPr>
            </w:pPr>
            <w:r>
              <w:rPr>
                <w:rFonts w:hint="default" w:ascii="Times New Roman" w:hAnsi="Times New Roman" w:cs="Times New Roman"/>
                <w:color w:val="auto"/>
                <w:lang w:val="en-US" w:eastAsia="zh-CN"/>
              </w:rPr>
              <w:t>0t/a</w:t>
            </w:r>
          </w:p>
        </w:tc>
        <w:tc>
          <w:tcPr>
            <w:tcW w:w="1761" w:type="dxa"/>
            <w:vAlign w:val="center"/>
          </w:tcPr>
          <w:p w14:paraId="79B8E40B">
            <w:pPr>
              <w:pStyle w:val="3"/>
              <w:rPr>
                <w:color w:val="auto"/>
                <w:kern w:val="0"/>
              </w:rPr>
            </w:pPr>
            <w:r>
              <w:rPr>
                <w:rFonts w:hint="default" w:ascii="Times New Roman" w:hAnsi="Times New Roman" w:cs="Times New Roman"/>
                <w:color w:val="auto"/>
                <w:lang w:val="en-US" w:eastAsia="zh-CN"/>
              </w:rPr>
              <w:t>0t/a</w:t>
            </w:r>
          </w:p>
        </w:tc>
        <w:tc>
          <w:tcPr>
            <w:tcW w:w="1959" w:type="dxa"/>
            <w:vAlign w:val="center"/>
          </w:tcPr>
          <w:p w14:paraId="7EE97CD8">
            <w:pPr>
              <w:pStyle w:val="3"/>
              <w:bidi w:val="0"/>
              <w:ind w:firstLine="0" w:firstLineChars="0"/>
              <w:rPr>
                <w:rFonts w:hint="eastAsia" w:eastAsia="宋体"/>
                <w:color w:val="auto"/>
                <w:kern w:val="0"/>
              </w:rPr>
            </w:pPr>
            <w:r>
              <w:rPr>
                <w:rFonts w:hint="default" w:ascii="Times New Roman" w:hAnsi="Times New Roman" w:cs="Times New Roman"/>
                <w:color w:val="auto"/>
                <w:lang w:val="en-US" w:eastAsia="zh-CN"/>
              </w:rPr>
              <w:t>0.315</w:t>
            </w:r>
            <w:r>
              <w:rPr>
                <w:rFonts w:hint="eastAsia" w:ascii="Times New Roman" w:hAnsi="Times New Roman" w:cs="Times New Roman"/>
                <w:color w:val="auto"/>
                <w:lang w:val="en-US" w:eastAsia="zh-CN"/>
              </w:rPr>
              <w:t>t/a</w:t>
            </w:r>
          </w:p>
        </w:tc>
        <w:tc>
          <w:tcPr>
            <w:tcW w:w="826" w:type="dxa"/>
            <w:vAlign w:val="center"/>
          </w:tcPr>
          <w:p w14:paraId="5B9A2316">
            <w:pPr>
              <w:pStyle w:val="3"/>
              <w:bidi w:val="0"/>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2822B0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7C6DE9D">
            <w:pPr>
              <w:pStyle w:val="3"/>
              <w:rPr>
                <w:color w:val="auto"/>
                <w:kern w:val="0"/>
              </w:rPr>
            </w:pPr>
          </w:p>
        </w:tc>
        <w:tc>
          <w:tcPr>
            <w:tcW w:w="1417" w:type="dxa"/>
            <w:vAlign w:val="center"/>
          </w:tcPr>
          <w:p w14:paraId="17E59327">
            <w:pPr>
              <w:pStyle w:val="3"/>
              <w:bidi w:val="0"/>
              <w:ind w:firstLine="0" w:firstLineChars="0"/>
              <w:rPr>
                <w:rFonts w:hint="default" w:ascii="Times New Roman" w:hAnsi="Times New Roman" w:cs="Times New Roman"/>
                <w:color w:val="auto"/>
                <w:lang w:eastAsia="zh-CN"/>
              </w:rPr>
            </w:pPr>
            <w:r>
              <w:rPr>
                <w:rFonts w:hint="default" w:ascii="Times New Roman" w:hAnsi="Times New Roman" w:eastAsia="宋体" w:cs="Times New Roman"/>
                <w:color w:val="auto"/>
                <w:lang w:val="en-US" w:eastAsia="zh-CN"/>
              </w:rPr>
              <w:t>颗粒物</w:t>
            </w:r>
          </w:p>
        </w:tc>
        <w:tc>
          <w:tcPr>
            <w:tcW w:w="1701" w:type="dxa"/>
            <w:vAlign w:val="center"/>
          </w:tcPr>
          <w:p w14:paraId="37FE9128">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40.203</w:t>
            </w:r>
            <w:r>
              <w:rPr>
                <w:rFonts w:hint="eastAsia" w:ascii="Times New Roman" w:hAnsi="Times New Roman" w:cs="Times New Roman"/>
                <w:color w:val="auto"/>
                <w:lang w:val="en-US" w:eastAsia="zh-CN"/>
              </w:rPr>
              <w:t>t/a</w:t>
            </w:r>
          </w:p>
        </w:tc>
        <w:tc>
          <w:tcPr>
            <w:tcW w:w="1276" w:type="dxa"/>
            <w:vAlign w:val="center"/>
          </w:tcPr>
          <w:p w14:paraId="5A40A07B">
            <w:pPr>
              <w:pStyle w:val="3"/>
              <w:ind w:firstLine="0" w:firstLineChars="0"/>
              <w:rPr>
                <w:color w:val="auto"/>
                <w:kern w:val="0"/>
              </w:rPr>
            </w:pPr>
          </w:p>
        </w:tc>
        <w:tc>
          <w:tcPr>
            <w:tcW w:w="1701" w:type="dxa"/>
            <w:vAlign w:val="center"/>
          </w:tcPr>
          <w:p w14:paraId="311D76DB">
            <w:pPr>
              <w:pStyle w:val="3"/>
              <w:ind w:firstLine="0" w:firstLineChars="0"/>
              <w:rPr>
                <w:color w:val="auto"/>
                <w:kern w:val="0"/>
              </w:rPr>
            </w:pPr>
          </w:p>
        </w:tc>
        <w:tc>
          <w:tcPr>
            <w:tcW w:w="1559" w:type="dxa"/>
            <w:vAlign w:val="center"/>
          </w:tcPr>
          <w:p w14:paraId="7417ECE6">
            <w:pPr>
              <w:pStyle w:val="3"/>
              <w:bidi w:val="0"/>
              <w:ind w:firstLine="0" w:firstLineChars="0"/>
              <w:rPr>
                <w:rFonts w:hint="default" w:eastAsia="宋体"/>
                <w:color w:val="auto"/>
                <w:lang w:val="en-US" w:eastAsia="zh-CN"/>
              </w:rPr>
            </w:pPr>
            <w:r>
              <w:rPr>
                <w:rFonts w:hint="default" w:ascii="Times New Roman" w:hAnsi="Times New Roman" w:eastAsia="宋体" w:cs="Times New Roman"/>
                <w:color w:val="auto"/>
                <w:lang w:val="en-US" w:eastAsia="zh-CN"/>
              </w:rPr>
              <w:t>1.788t/a</w:t>
            </w:r>
          </w:p>
        </w:tc>
        <w:tc>
          <w:tcPr>
            <w:tcW w:w="1761" w:type="dxa"/>
            <w:vAlign w:val="center"/>
          </w:tcPr>
          <w:p w14:paraId="2DBFFC07">
            <w:pPr>
              <w:pStyle w:val="3"/>
              <w:ind w:firstLine="0" w:firstLineChars="0"/>
              <w:rPr>
                <w:color w:val="auto"/>
                <w:kern w:val="0"/>
              </w:rPr>
            </w:pPr>
            <w:r>
              <w:rPr>
                <w:rFonts w:hint="default" w:ascii="Times New Roman" w:hAnsi="Times New Roman" w:cs="Times New Roman"/>
                <w:color w:val="auto"/>
                <w:lang w:val="en-US" w:eastAsia="zh-CN"/>
              </w:rPr>
              <w:t>0t/a</w:t>
            </w:r>
          </w:p>
        </w:tc>
        <w:tc>
          <w:tcPr>
            <w:tcW w:w="1959" w:type="dxa"/>
            <w:vAlign w:val="center"/>
          </w:tcPr>
          <w:p w14:paraId="14DF60BC">
            <w:pPr>
              <w:pStyle w:val="3"/>
              <w:bidi w:val="0"/>
              <w:ind w:firstLine="0" w:firstLineChars="0"/>
              <w:rPr>
                <w:rFonts w:hint="default" w:eastAsia="宋体"/>
                <w:color w:val="auto"/>
                <w:kern w:val="0"/>
                <w:lang w:val="en-US" w:eastAsia="zh-CN"/>
              </w:rPr>
            </w:pPr>
            <w:r>
              <w:rPr>
                <w:rFonts w:hint="default" w:ascii="Times New Roman" w:hAnsi="Times New Roman" w:cs="Times New Roman"/>
                <w:color w:val="auto"/>
                <w:lang w:val="en-US" w:eastAsia="zh-CN"/>
              </w:rPr>
              <w:t>4</w:t>
            </w:r>
            <w:r>
              <w:rPr>
                <w:rFonts w:hint="eastAsia" w:ascii="Times New Roman" w:hAnsi="Times New Roman" w:cs="Times New Roman"/>
                <w:color w:val="auto"/>
                <w:lang w:val="en-US" w:eastAsia="zh-CN"/>
              </w:rPr>
              <w:t>1.981t/a</w:t>
            </w:r>
          </w:p>
        </w:tc>
        <w:tc>
          <w:tcPr>
            <w:tcW w:w="826" w:type="dxa"/>
            <w:vAlign w:val="center"/>
          </w:tcPr>
          <w:p w14:paraId="3A918B3E">
            <w:pPr>
              <w:pStyle w:val="3"/>
              <w:ind w:firstLine="0" w:firstLineChars="0"/>
              <w:rPr>
                <w:color w:val="auto"/>
                <w:kern w:val="0"/>
              </w:rPr>
            </w:pP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lang w:val="en-US" w:eastAsia="zh-CN"/>
              </w:rPr>
              <w:t>1.788t/a</w:t>
            </w:r>
          </w:p>
        </w:tc>
      </w:tr>
      <w:tr w14:paraId="1B2BDE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8FF885B">
            <w:pPr>
              <w:pStyle w:val="3"/>
              <w:rPr>
                <w:color w:val="auto"/>
                <w:kern w:val="0"/>
              </w:rPr>
            </w:pPr>
          </w:p>
        </w:tc>
        <w:tc>
          <w:tcPr>
            <w:tcW w:w="1417" w:type="dxa"/>
            <w:vAlign w:val="center"/>
          </w:tcPr>
          <w:p w14:paraId="78072D5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硫酸雾</w:t>
            </w:r>
          </w:p>
        </w:tc>
        <w:tc>
          <w:tcPr>
            <w:tcW w:w="1701" w:type="dxa"/>
            <w:vAlign w:val="center"/>
          </w:tcPr>
          <w:p w14:paraId="7FC43D5C">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0.004</w:t>
            </w:r>
            <w:r>
              <w:rPr>
                <w:rFonts w:hint="eastAsia" w:ascii="Times New Roman" w:hAnsi="Times New Roman" w:cs="Times New Roman"/>
                <w:color w:val="auto"/>
                <w:lang w:val="en-US" w:eastAsia="zh-CN"/>
              </w:rPr>
              <w:t>t/a</w:t>
            </w:r>
          </w:p>
        </w:tc>
        <w:tc>
          <w:tcPr>
            <w:tcW w:w="1276" w:type="dxa"/>
            <w:vAlign w:val="center"/>
          </w:tcPr>
          <w:p w14:paraId="1696F23B">
            <w:pPr>
              <w:pStyle w:val="3"/>
              <w:ind w:firstLine="0" w:firstLineChars="0"/>
              <w:rPr>
                <w:color w:val="auto"/>
                <w:kern w:val="0"/>
              </w:rPr>
            </w:pPr>
          </w:p>
        </w:tc>
        <w:tc>
          <w:tcPr>
            <w:tcW w:w="1701" w:type="dxa"/>
            <w:vAlign w:val="center"/>
          </w:tcPr>
          <w:p w14:paraId="459FCF29">
            <w:pPr>
              <w:pStyle w:val="3"/>
              <w:ind w:firstLine="0" w:firstLineChars="0"/>
              <w:rPr>
                <w:color w:val="auto"/>
                <w:kern w:val="0"/>
              </w:rPr>
            </w:pPr>
          </w:p>
        </w:tc>
        <w:tc>
          <w:tcPr>
            <w:tcW w:w="1559" w:type="dxa"/>
            <w:vAlign w:val="center"/>
          </w:tcPr>
          <w:p w14:paraId="520B7178">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0t/a</w:t>
            </w:r>
          </w:p>
        </w:tc>
        <w:tc>
          <w:tcPr>
            <w:tcW w:w="1761" w:type="dxa"/>
            <w:vAlign w:val="center"/>
          </w:tcPr>
          <w:p w14:paraId="0D775995">
            <w:pPr>
              <w:pStyle w:val="3"/>
              <w:ind w:firstLine="0" w:firstLineChars="0"/>
              <w:rPr>
                <w:color w:val="auto"/>
                <w:kern w:val="0"/>
              </w:rPr>
            </w:pPr>
            <w:r>
              <w:rPr>
                <w:rFonts w:hint="default" w:ascii="Times New Roman" w:hAnsi="Times New Roman" w:cs="Times New Roman"/>
                <w:color w:val="auto"/>
                <w:lang w:val="en-US" w:eastAsia="zh-CN"/>
              </w:rPr>
              <w:t>0t/a</w:t>
            </w:r>
          </w:p>
        </w:tc>
        <w:tc>
          <w:tcPr>
            <w:tcW w:w="1959" w:type="dxa"/>
            <w:vAlign w:val="center"/>
          </w:tcPr>
          <w:p w14:paraId="7B887D1E">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0.004</w:t>
            </w:r>
            <w:r>
              <w:rPr>
                <w:rFonts w:hint="eastAsia" w:ascii="Times New Roman" w:hAnsi="Times New Roman" w:cs="Times New Roman"/>
                <w:color w:val="auto"/>
                <w:lang w:val="en-US" w:eastAsia="zh-CN"/>
              </w:rPr>
              <w:t>t/a</w:t>
            </w:r>
          </w:p>
        </w:tc>
        <w:tc>
          <w:tcPr>
            <w:tcW w:w="826" w:type="dxa"/>
            <w:vAlign w:val="center"/>
          </w:tcPr>
          <w:p w14:paraId="0C73C08E">
            <w:pPr>
              <w:pStyle w:val="3"/>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258E41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C73E18F">
            <w:pPr>
              <w:pStyle w:val="3"/>
              <w:rPr>
                <w:color w:val="auto"/>
                <w:kern w:val="0"/>
              </w:rPr>
            </w:pPr>
          </w:p>
        </w:tc>
        <w:tc>
          <w:tcPr>
            <w:tcW w:w="1417" w:type="dxa"/>
            <w:vAlign w:val="center"/>
          </w:tcPr>
          <w:p w14:paraId="3C1DD420">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氯化氢</w:t>
            </w:r>
          </w:p>
        </w:tc>
        <w:tc>
          <w:tcPr>
            <w:tcW w:w="1701" w:type="dxa"/>
            <w:vAlign w:val="center"/>
          </w:tcPr>
          <w:p w14:paraId="041E976B">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0.001</w:t>
            </w:r>
            <w:r>
              <w:rPr>
                <w:rFonts w:hint="eastAsia" w:ascii="Times New Roman" w:hAnsi="Times New Roman" w:cs="Times New Roman"/>
                <w:color w:val="auto"/>
                <w:lang w:val="en-US" w:eastAsia="zh-CN"/>
              </w:rPr>
              <w:t>t/a</w:t>
            </w:r>
          </w:p>
        </w:tc>
        <w:tc>
          <w:tcPr>
            <w:tcW w:w="1276" w:type="dxa"/>
            <w:vAlign w:val="center"/>
          </w:tcPr>
          <w:p w14:paraId="0F83A912">
            <w:pPr>
              <w:pStyle w:val="3"/>
              <w:ind w:firstLine="0" w:firstLineChars="0"/>
              <w:rPr>
                <w:color w:val="auto"/>
                <w:kern w:val="0"/>
              </w:rPr>
            </w:pPr>
          </w:p>
        </w:tc>
        <w:tc>
          <w:tcPr>
            <w:tcW w:w="1701" w:type="dxa"/>
            <w:vAlign w:val="center"/>
          </w:tcPr>
          <w:p w14:paraId="1CF40530">
            <w:pPr>
              <w:pStyle w:val="3"/>
              <w:ind w:firstLine="0" w:firstLineChars="0"/>
              <w:rPr>
                <w:color w:val="auto"/>
                <w:kern w:val="0"/>
              </w:rPr>
            </w:pPr>
          </w:p>
        </w:tc>
        <w:tc>
          <w:tcPr>
            <w:tcW w:w="1559" w:type="dxa"/>
            <w:vAlign w:val="center"/>
          </w:tcPr>
          <w:p w14:paraId="6BCB60BA">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0t/a</w:t>
            </w:r>
          </w:p>
        </w:tc>
        <w:tc>
          <w:tcPr>
            <w:tcW w:w="1761" w:type="dxa"/>
            <w:vAlign w:val="center"/>
          </w:tcPr>
          <w:p w14:paraId="5C9F2276">
            <w:pPr>
              <w:pStyle w:val="3"/>
              <w:ind w:firstLine="0" w:firstLineChars="0"/>
              <w:rPr>
                <w:color w:val="auto"/>
                <w:kern w:val="0"/>
              </w:rPr>
            </w:pPr>
            <w:r>
              <w:rPr>
                <w:rFonts w:hint="default" w:ascii="Times New Roman" w:hAnsi="Times New Roman" w:cs="Times New Roman"/>
                <w:color w:val="auto"/>
                <w:lang w:val="en-US" w:eastAsia="zh-CN"/>
              </w:rPr>
              <w:t>0t/a</w:t>
            </w:r>
          </w:p>
        </w:tc>
        <w:tc>
          <w:tcPr>
            <w:tcW w:w="1959" w:type="dxa"/>
            <w:vAlign w:val="center"/>
          </w:tcPr>
          <w:p w14:paraId="57861528">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0.001</w:t>
            </w:r>
            <w:r>
              <w:rPr>
                <w:rFonts w:hint="eastAsia" w:ascii="Times New Roman" w:hAnsi="Times New Roman" w:cs="Times New Roman"/>
                <w:color w:val="auto"/>
                <w:lang w:val="en-US" w:eastAsia="zh-CN"/>
              </w:rPr>
              <w:t>t/a</w:t>
            </w:r>
          </w:p>
        </w:tc>
        <w:tc>
          <w:tcPr>
            <w:tcW w:w="826" w:type="dxa"/>
            <w:vAlign w:val="center"/>
          </w:tcPr>
          <w:p w14:paraId="49FCFFFA">
            <w:pPr>
              <w:pStyle w:val="3"/>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7801FD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3C03FD0">
            <w:pPr>
              <w:pStyle w:val="3"/>
              <w:rPr>
                <w:color w:val="auto"/>
                <w:kern w:val="0"/>
              </w:rPr>
            </w:pPr>
          </w:p>
        </w:tc>
        <w:tc>
          <w:tcPr>
            <w:tcW w:w="1417" w:type="dxa"/>
            <w:vAlign w:val="center"/>
          </w:tcPr>
          <w:p w14:paraId="28223E36">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硫化氢</w:t>
            </w:r>
          </w:p>
        </w:tc>
        <w:tc>
          <w:tcPr>
            <w:tcW w:w="1701" w:type="dxa"/>
            <w:vAlign w:val="center"/>
          </w:tcPr>
          <w:p w14:paraId="519292AA">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0.001</w:t>
            </w:r>
            <w:r>
              <w:rPr>
                <w:rFonts w:hint="eastAsia" w:ascii="Times New Roman" w:hAnsi="Times New Roman" w:cs="Times New Roman"/>
                <w:color w:val="auto"/>
                <w:lang w:val="en-US" w:eastAsia="zh-CN"/>
              </w:rPr>
              <w:t>t/a</w:t>
            </w:r>
          </w:p>
        </w:tc>
        <w:tc>
          <w:tcPr>
            <w:tcW w:w="1276" w:type="dxa"/>
            <w:vAlign w:val="center"/>
          </w:tcPr>
          <w:p w14:paraId="0DE46176">
            <w:pPr>
              <w:pStyle w:val="3"/>
              <w:ind w:firstLine="0" w:firstLineChars="0"/>
              <w:rPr>
                <w:color w:val="auto"/>
                <w:kern w:val="0"/>
              </w:rPr>
            </w:pPr>
          </w:p>
        </w:tc>
        <w:tc>
          <w:tcPr>
            <w:tcW w:w="1701" w:type="dxa"/>
            <w:vAlign w:val="center"/>
          </w:tcPr>
          <w:p w14:paraId="2E0FE50D">
            <w:pPr>
              <w:pStyle w:val="3"/>
              <w:ind w:firstLine="0" w:firstLineChars="0"/>
              <w:rPr>
                <w:color w:val="auto"/>
                <w:kern w:val="0"/>
              </w:rPr>
            </w:pPr>
          </w:p>
        </w:tc>
        <w:tc>
          <w:tcPr>
            <w:tcW w:w="1559" w:type="dxa"/>
            <w:vAlign w:val="center"/>
          </w:tcPr>
          <w:p w14:paraId="172C486C">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0t/a</w:t>
            </w:r>
          </w:p>
        </w:tc>
        <w:tc>
          <w:tcPr>
            <w:tcW w:w="1761" w:type="dxa"/>
            <w:vAlign w:val="center"/>
          </w:tcPr>
          <w:p w14:paraId="1B928192">
            <w:pPr>
              <w:pStyle w:val="3"/>
              <w:ind w:firstLine="0" w:firstLineChars="0"/>
              <w:rPr>
                <w:color w:val="auto"/>
                <w:kern w:val="0"/>
              </w:rPr>
            </w:pPr>
            <w:r>
              <w:rPr>
                <w:rFonts w:hint="default" w:ascii="Times New Roman" w:hAnsi="Times New Roman" w:cs="Times New Roman"/>
                <w:color w:val="auto"/>
                <w:lang w:val="en-US" w:eastAsia="zh-CN"/>
              </w:rPr>
              <w:t>0t/a</w:t>
            </w:r>
          </w:p>
        </w:tc>
        <w:tc>
          <w:tcPr>
            <w:tcW w:w="1959" w:type="dxa"/>
            <w:vAlign w:val="center"/>
          </w:tcPr>
          <w:p w14:paraId="6E3D9661">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0.001</w:t>
            </w:r>
            <w:r>
              <w:rPr>
                <w:rFonts w:hint="eastAsia" w:ascii="Times New Roman" w:hAnsi="Times New Roman" w:cs="Times New Roman"/>
                <w:color w:val="auto"/>
                <w:lang w:val="en-US" w:eastAsia="zh-CN"/>
              </w:rPr>
              <w:t>t/a</w:t>
            </w:r>
          </w:p>
        </w:tc>
        <w:tc>
          <w:tcPr>
            <w:tcW w:w="826" w:type="dxa"/>
            <w:vAlign w:val="center"/>
          </w:tcPr>
          <w:p w14:paraId="4249D2FE">
            <w:pPr>
              <w:pStyle w:val="3"/>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389ABB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74BFEBC7">
            <w:pPr>
              <w:pStyle w:val="3"/>
              <w:rPr>
                <w:color w:val="auto"/>
                <w:kern w:val="0"/>
              </w:rPr>
            </w:pPr>
          </w:p>
        </w:tc>
        <w:tc>
          <w:tcPr>
            <w:tcW w:w="1417" w:type="dxa"/>
            <w:vAlign w:val="center"/>
          </w:tcPr>
          <w:p w14:paraId="062DA70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氨气</w:t>
            </w:r>
          </w:p>
        </w:tc>
        <w:tc>
          <w:tcPr>
            <w:tcW w:w="1701" w:type="dxa"/>
            <w:vAlign w:val="center"/>
          </w:tcPr>
          <w:p w14:paraId="2425090C">
            <w:pPr>
              <w:pStyle w:val="3"/>
              <w:bidi w:val="0"/>
              <w:ind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0.0004</w:t>
            </w:r>
            <w:r>
              <w:rPr>
                <w:rFonts w:hint="eastAsia" w:ascii="Times New Roman" w:hAnsi="Times New Roman" w:cs="Times New Roman"/>
                <w:color w:val="auto"/>
                <w:lang w:val="en-US" w:eastAsia="zh-CN"/>
              </w:rPr>
              <w:t>t/a</w:t>
            </w:r>
          </w:p>
        </w:tc>
        <w:tc>
          <w:tcPr>
            <w:tcW w:w="1276" w:type="dxa"/>
            <w:vAlign w:val="center"/>
          </w:tcPr>
          <w:p w14:paraId="3BDFABB6">
            <w:pPr>
              <w:pStyle w:val="3"/>
              <w:ind w:firstLine="0" w:firstLineChars="0"/>
              <w:rPr>
                <w:color w:val="auto"/>
                <w:kern w:val="0"/>
              </w:rPr>
            </w:pPr>
          </w:p>
        </w:tc>
        <w:tc>
          <w:tcPr>
            <w:tcW w:w="1701" w:type="dxa"/>
            <w:vAlign w:val="center"/>
          </w:tcPr>
          <w:p w14:paraId="4BB1723B">
            <w:pPr>
              <w:pStyle w:val="3"/>
              <w:ind w:firstLine="0" w:firstLineChars="0"/>
              <w:rPr>
                <w:color w:val="auto"/>
                <w:kern w:val="0"/>
              </w:rPr>
            </w:pPr>
          </w:p>
        </w:tc>
        <w:tc>
          <w:tcPr>
            <w:tcW w:w="1559" w:type="dxa"/>
            <w:vAlign w:val="center"/>
          </w:tcPr>
          <w:p w14:paraId="4B179017">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0t/a</w:t>
            </w:r>
          </w:p>
        </w:tc>
        <w:tc>
          <w:tcPr>
            <w:tcW w:w="1761" w:type="dxa"/>
            <w:vAlign w:val="center"/>
          </w:tcPr>
          <w:p w14:paraId="32E19BAC">
            <w:pPr>
              <w:pStyle w:val="3"/>
              <w:ind w:firstLine="0" w:firstLineChars="0"/>
              <w:rPr>
                <w:color w:val="auto"/>
                <w:kern w:val="0"/>
              </w:rPr>
            </w:pPr>
            <w:r>
              <w:rPr>
                <w:rFonts w:hint="default" w:ascii="Times New Roman" w:hAnsi="Times New Roman" w:cs="Times New Roman"/>
                <w:color w:val="auto"/>
                <w:lang w:val="en-US" w:eastAsia="zh-CN"/>
              </w:rPr>
              <w:t>0t/a</w:t>
            </w:r>
          </w:p>
        </w:tc>
        <w:tc>
          <w:tcPr>
            <w:tcW w:w="1959" w:type="dxa"/>
            <w:vAlign w:val="center"/>
          </w:tcPr>
          <w:p w14:paraId="365C2365">
            <w:pPr>
              <w:pStyle w:val="3"/>
              <w:bidi w:val="0"/>
              <w:ind w:firstLine="0" w:firstLineChars="0"/>
              <w:rPr>
                <w:rFonts w:hint="eastAsia" w:eastAsia="宋体"/>
                <w:color w:val="auto"/>
                <w:lang w:val="en-US" w:eastAsia="zh-CN"/>
              </w:rPr>
            </w:pPr>
            <w:r>
              <w:rPr>
                <w:rFonts w:hint="default" w:ascii="Times New Roman" w:hAnsi="Times New Roman" w:cs="Times New Roman"/>
                <w:color w:val="auto"/>
                <w:lang w:val="en-US" w:eastAsia="zh-CN"/>
              </w:rPr>
              <w:t>0.0004</w:t>
            </w:r>
            <w:r>
              <w:rPr>
                <w:rFonts w:hint="eastAsia" w:ascii="Times New Roman" w:hAnsi="Times New Roman" w:cs="Times New Roman"/>
                <w:color w:val="auto"/>
                <w:lang w:val="en-US" w:eastAsia="zh-CN"/>
              </w:rPr>
              <w:t>t/a</w:t>
            </w:r>
          </w:p>
        </w:tc>
        <w:tc>
          <w:tcPr>
            <w:tcW w:w="826" w:type="dxa"/>
            <w:vAlign w:val="center"/>
          </w:tcPr>
          <w:p w14:paraId="0327E4F0">
            <w:pPr>
              <w:pStyle w:val="3"/>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7DD30A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88" w:type="dxa"/>
            <w:vMerge w:val="restart"/>
            <w:vAlign w:val="center"/>
          </w:tcPr>
          <w:p w14:paraId="4A26F397">
            <w:pPr>
              <w:pStyle w:val="3"/>
              <w:rPr>
                <w:color w:val="auto"/>
                <w:kern w:val="0"/>
              </w:rPr>
            </w:pPr>
            <w:r>
              <w:rPr>
                <w:rFonts w:hint="eastAsia"/>
                <w:color w:val="auto"/>
                <w:kern w:val="0"/>
              </w:rPr>
              <w:t>废水</w:t>
            </w:r>
          </w:p>
        </w:tc>
        <w:tc>
          <w:tcPr>
            <w:tcW w:w="1417" w:type="dxa"/>
            <w:vAlign w:val="center"/>
          </w:tcPr>
          <w:p w14:paraId="243CE501">
            <w:pPr>
              <w:pStyle w:val="3"/>
              <w:rPr>
                <w:color w:val="auto"/>
                <w:kern w:val="0"/>
              </w:rPr>
            </w:pPr>
            <w:r>
              <w:rPr>
                <w:rFonts w:hint="eastAsia"/>
                <w:color w:val="auto"/>
                <w:kern w:val="0"/>
              </w:rPr>
              <w:t>COD</w:t>
            </w:r>
          </w:p>
        </w:tc>
        <w:tc>
          <w:tcPr>
            <w:tcW w:w="1701" w:type="dxa"/>
            <w:vAlign w:val="center"/>
          </w:tcPr>
          <w:p w14:paraId="5A4FD55C">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5.060t/a</w:t>
            </w:r>
          </w:p>
        </w:tc>
        <w:tc>
          <w:tcPr>
            <w:tcW w:w="1276" w:type="dxa"/>
            <w:vAlign w:val="center"/>
          </w:tcPr>
          <w:p w14:paraId="71FA23D8">
            <w:pPr>
              <w:pStyle w:val="3"/>
              <w:rPr>
                <w:rFonts w:hint="default" w:ascii="Times New Roman" w:hAnsi="Times New Roman" w:cs="Times New Roman"/>
                <w:color w:val="auto"/>
                <w:kern w:val="0"/>
              </w:rPr>
            </w:pPr>
          </w:p>
        </w:tc>
        <w:tc>
          <w:tcPr>
            <w:tcW w:w="1701" w:type="dxa"/>
            <w:vAlign w:val="center"/>
          </w:tcPr>
          <w:p w14:paraId="41723943">
            <w:pPr>
              <w:pStyle w:val="3"/>
              <w:rPr>
                <w:rFonts w:hint="default" w:ascii="Times New Roman" w:hAnsi="Times New Roman" w:cs="Times New Roman"/>
                <w:color w:val="auto"/>
                <w:kern w:val="0"/>
              </w:rPr>
            </w:pPr>
          </w:p>
        </w:tc>
        <w:tc>
          <w:tcPr>
            <w:tcW w:w="1559" w:type="dxa"/>
            <w:vAlign w:val="center"/>
          </w:tcPr>
          <w:p w14:paraId="491C6BAC">
            <w:pPr>
              <w:pStyle w:val="3"/>
              <w:bidi w:val="0"/>
              <w:rPr>
                <w:rFonts w:hint="default" w:ascii="Times New Roman" w:hAnsi="Times New Roman" w:cs="Times New Roman"/>
                <w:color w:val="auto"/>
                <w:lang w:val="en-US"/>
              </w:rPr>
            </w:pPr>
            <w:r>
              <w:rPr>
                <w:rFonts w:hint="eastAsia" w:ascii="Times New Roman" w:hAnsi="Times New Roman" w:cs="Times New Roman"/>
                <w:color w:val="auto"/>
                <w:lang w:val="en-US" w:eastAsia="zh-CN"/>
              </w:rPr>
              <w:t>2.939</w:t>
            </w:r>
            <w:r>
              <w:rPr>
                <w:rFonts w:hint="default" w:ascii="Times New Roman" w:hAnsi="Times New Roman" w:cs="Times New Roman"/>
                <w:color w:val="auto"/>
                <w:lang w:val="en-US" w:eastAsia="zh-CN"/>
              </w:rPr>
              <w:t>t/a</w:t>
            </w:r>
          </w:p>
        </w:tc>
        <w:tc>
          <w:tcPr>
            <w:tcW w:w="1761" w:type="dxa"/>
            <w:vAlign w:val="center"/>
          </w:tcPr>
          <w:p w14:paraId="6A7DD438">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0t/a</w:t>
            </w:r>
          </w:p>
        </w:tc>
        <w:tc>
          <w:tcPr>
            <w:tcW w:w="1959" w:type="dxa"/>
            <w:vAlign w:val="center"/>
          </w:tcPr>
          <w:p w14:paraId="7781E43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r>
              <w:rPr>
                <w:rFonts w:hint="eastAsia" w:ascii="Times New Roman" w:hAnsi="Times New Roman" w:cs="Times New Roman"/>
                <w:color w:val="auto"/>
                <w:lang w:val="en-US" w:eastAsia="zh-CN"/>
              </w:rPr>
              <w:t>999</w:t>
            </w:r>
            <w:r>
              <w:rPr>
                <w:rFonts w:hint="default" w:ascii="Times New Roman" w:hAnsi="Times New Roman" w:cs="Times New Roman"/>
                <w:color w:val="auto"/>
                <w:lang w:val="en-US" w:eastAsia="zh-CN"/>
              </w:rPr>
              <w:t>t/a</w:t>
            </w:r>
          </w:p>
        </w:tc>
        <w:tc>
          <w:tcPr>
            <w:tcW w:w="826" w:type="dxa"/>
            <w:vAlign w:val="center"/>
          </w:tcPr>
          <w:p w14:paraId="2758F0C8">
            <w:pPr>
              <w:pStyle w:val="3"/>
              <w:bidi w:val="0"/>
              <w:ind w:firstLine="0" w:firstLineChars="0"/>
              <w:rPr>
                <w:color w:val="auto"/>
                <w:kern w:val="0"/>
              </w:rPr>
            </w:pPr>
            <w:r>
              <w:rPr>
                <w:rFonts w:hint="eastAsia" w:ascii="Times New Roman" w:hAnsi="Times New Roman" w:cs="Times New Roman"/>
                <w:color w:val="auto"/>
                <w:lang w:val="en-US" w:eastAsia="zh-CN"/>
              </w:rPr>
              <w:t>+2.939</w:t>
            </w:r>
            <w:r>
              <w:rPr>
                <w:rFonts w:hint="default" w:ascii="Times New Roman" w:hAnsi="Times New Roman" w:cs="Times New Roman"/>
                <w:color w:val="auto"/>
                <w:lang w:val="en-US" w:eastAsia="zh-CN"/>
              </w:rPr>
              <w:t>t/a</w:t>
            </w:r>
          </w:p>
        </w:tc>
      </w:tr>
      <w:tr w14:paraId="26E5A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20BA2BAB">
            <w:pPr>
              <w:pStyle w:val="3"/>
              <w:rPr>
                <w:color w:val="auto"/>
                <w:kern w:val="0"/>
              </w:rPr>
            </w:pPr>
          </w:p>
        </w:tc>
        <w:tc>
          <w:tcPr>
            <w:tcW w:w="1417" w:type="dxa"/>
            <w:vAlign w:val="center"/>
          </w:tcPr>
          <w:p w14:paraId="44CA9D43">
            <w:pPr>
              <w:pStyle w:val="3"/>
              <w:rPr>
                <w:color w:val="auto"/>
                <w:kern w:val="0"/>
              </w:rPr>
            </w:pPr>
            <w:r>
              <w:rPr>
                <w:rFonts w:hint="eastAsia"/>
                <w:color w:val="auto"/>
                <w:kern w:val="0"/>
              </w:rPr>
              <w:t>BOD</w:t>
            </w:r>
            <w:r>
              <w:rPr>
                <w:rFonts w:hint="eastAsia"/>
                <w:color w:val="auto"/>
                <w:kern w:val="0"/>
                <w:vertAlign w:val="subscript"/>
              </w:rPr>
              <w:t>5</w:t>
            </w:r>
          </w:p>
        </w:tc>
        <w:tc>
          <w:tcPr>
            <w:tcW w:w="1701" w:type="dxa"/>
            <w:vAlign w:val="center"/>
          </w:tcPr>
          <w:p w14:paraId="5072C303">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1.290t/a</w:t>
            </w:r>
          </w:p>
        </w:tc>
        <w:tc>
          <w:tcPr>
            <w:tcW w:w="1276" w:type="dxa"/>
            <w:vAlign w:val="center"/>
          </w:tcPr>
          <w:p w14:paraId="4D61E851">
            <w:pPr>
              <w:pStyle w:val="3"/>
              <w:rPr>
                <w:rFonts w:hint="default" w:ascii="Times New Roman" w:hAnsi="Times New Roman" w:cs="Times New Roman"/>
                <w:color w:val="auto"/>
                <w:kern w:val="0"/>
              </w:rPr>
            </w:pPr>
          </w:p>
        </w:tc>
        <w:tc>
          <w:tcPr>
            <w:tcW w:w="1701" w:type="dxa"/>
            <w:vAlign w:val="center"/>
          </w:tcPr>
          <w:p w14:paraId="0EC8E3C1">
            <w:pPr>
              <w:pStyle w:val="3"/>
              <w:rPr>
                <w:rFonts w:hint="default" w:ascii="Times New Roman" w:hAnsi="Times New Roman" w:cs="Times New Roman"/>
                <w:color w:val="auto"/>
                <w:kern w:val="0"/>
              </w:rPr>
            </w:pPr>
          </w:p>
        </w:tc>
        <w:tc>
          <w:tcPr>
            <w:tcW w:w="1559" w:type="dxa"/>
            <w:vAlign w:val="center"/>
          </w:tcPr>
          <w:p w14:paraId="10349912">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928</w:t>
            </w:r>
            <w:r>
              <w:rPr>
                <w:rFonts w:hint="default" w:ascii="Times New Roman" w:hAnsi="Times New Roman" w:cs="Times New Roman"/>
                <w:color w:val="auto"/>
                <w:lang w:val="en-US" w:eastAsia="zh-CN"/>
              </w:rPr>
              <w:t>t/a</w:t>
            </w:r>
          </w:p>
        </w:tc>
        <w:tc>
          <w:tcPr>
            <w:tcW w:w="1761" w:type="dxa"/>
            <w:vAlign w:val="center"/>
          </w:tcPr>
          <w:p w14:paraId="45A871CA">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0t/a</w:t>
            </w:r>
          </w:p>
        </w:tc>
        <w:tc>
          <w:tcPr>
            <w:tcW w:w="1959" w:type="dxa"/>
            <w:vAlign w:val="center"/>
          </w:tcPr>
          <w:p w14:paraId="11DF051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w:t>
            </w:r>
            <w:r>
              <w:rPr>
                <w:rFonts w:hint="eastAsia" w:ascii="Times New Roman" w:hAnsi="Times New Roman" w:cs="Times New Roman"/>
                <w:color w:val="auto"/>
                <w:lang w:val="en-US" w:eastAsia="zh-CN"/>
              </w:rPr>
              <w:t>218</w:t>
            </w:r>
            <w:r>
              <w:rPr>
                <w:rFonts w:hint="default" w:ascii="Times New Roman" w:hAnsi="Times New Roman" w:cs="Times New Roman"/>
                <w:color w:val="auto"/>
                <w:lang w:val="en-US" w:eastAsia="zh-CN"/>
              </w:rPr>
              <w:t>t/a</w:t>
            </w:r>
          </w:p>
        </w:tc>
        <w:tc>
          <w:tcPr>
            <w:tcW w:w="826" w:type="dxa"/>
            <w:vAlign w:val="center"/>
          </w:tcPr>
          <w:p w14:paraId="6918DEC6">
            <w:pPr>
              <w:pStyle w:val="3"/>
              <w:bidi w:val="0"/>
              <w:ind w:firstLine="0" w:firstLineChars="0"/>
              <w:rPr>
                <w:color w:val="auto"/>
                <w:kern w:val="0"/>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w:t>
            </w:r>
            <w:r>
              <w:rPr>
                <w:rFonts w:hint="eastAsia" w:ascii="Times New Roman" w:hAnsi="Times New Roman" w:cs="Times New Roman"/>
                <w:color w:val="auto"/>
                <w:lang w:val="en-US" w:eastAsia="zh-CN"/>
              </w:rPr>
              <w:t>928</w:t>
            </w:r>
            <w:r>
              <w:rPr>
                <w:rFonts w:hint="default" w:ascii="Times New Roman" w:hAnsi="Times New Roman" w:cs="Times New Roman"/>
                <w:color w:val="auto"/>
                <w:lang w:val="en-US" w:eastAsia="zh-CN"/>
              </w:rPr>
              <w:t>t/a</w:t>
            </w:r>
          </w:p>
        </w:tc>
      </w:tr>
      <w:tr w14:paraId="017B1C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80ADDBB">
            <w:pPr>
              <w:pStyle w:val="3"/>
              <w:rPr>
                <w:color w:val="auto"/>
                <w:kern w:val="0"/>
              </w:rPr>
            </w:pPr>
          </w:p>
        </w:tc>
        <w:tc>
          <w:tcPr>
            <w:tcW w:w="1417" w:type="dxa"/>
            <w:vAlign w:val="center"/>
          </w:tcPr>
          <w:p w14:paraId="10A1A05A">
            <w:pPr>
              <w:pStyle w:val="3"/>
              <w:rPr>
                <w:color w:val="auto"/>
                <w:kern w:val="0"/>
              </w:rPr>
            </w:pPr>
            <w:r>
              <w:rPr>
                <w:rFonts w:hint="eastAsia"/>
                <w:color w:val="auto"/>
                <w:kern w:val="0"/>
              </w:rPr>
              <w:t>SS</w:t>
            </w:r>
          </w:p>
        </w:tc>
        <w:tc>
          <w:tcPr>
            <w:tcW w:w="1701" w:type="dxa"/>
            <w:vAlign w:val="center"/>
          </w:tcPr>
          <w:p w14:paraId="5B8326FC">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4.000t/a</w:t>
            </w:r>
          </w:p>
        </w:tc>
        <w:tc>
          <w:tcPr>
            <w:tcW w:w="1276" w:type="dxa"/>
            <w:vAlign w:val="center"/>
          </w:tcPr>
          <w:p w14:paraId="5E678613">
            <w:pPr>
              <w:pStyle w:val="3"/>
              <w:rPr>
                <w:rFonts w:hint="default" w:ascii="Times New Roman" w:hAnsi="Times New Roman" w:cs="Times New Roman"/>
                <w:color w:val="auto"/>
                <w:kern w:val="0"/>
              </w:rPr>
            </w:pPr>
          </w:p>
        </w:tc>
        <w:tc>
          <w:tcPr>
            <w:tcW w:w="1701" w:type="dxa"/>
            <w:vAlign w:val="center"/>
          </w:tcPr>
          <w:p w14:paraId="1ADEC220">
            <w:pPr>
              <w:pStyle w:val="3"/>
              <w:rPr>
                <w:rFonts w:hint="default" w:ascii="Times New Roman" w:hAnsi="Times New Roman" w:cs="Times New Roman"/>
                <w:color w:val="auto"/>
                <w:kern w:val="0"/>
              </w:rPr>
            </w:pPr>
          </w:p>
        </w:tc>
        <w:tc>
          <w:tcPr>
            <w:tcW w:w="1559" w:type="dxa"/>
            <w:vAlign w:val="center"/>
          </w:tcPr>
          <w:p w14:paraId="76B256BA">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249</w:t>
            </w:r>
            <w:r>
              <w:rPr>
                <w:rFonts w:hint="default" w:ascii="Times New Roman" w:hAnsi="Times New Roman" w:cs="Times New Roman"/>
                <w:color w:val="auto"/>
                <w:lang w:val="en-US" w:eastAsia="zh-CN"/>
              </w:rPr>
              <w:t>t/a</w:t>
            </w:r>
          </w:p>
        </w:tc>
        <w:tc>
          <w:tcPr>
            <w:tcW w:w="1761" w:type="dxa"/>
            <w:vAlign w:val="center"/>
          </w:tcPr>
          <w:p w14:paraId="3A4AF40F">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0t/a</w:t>
            </w:r>
          </w:p>
        </w:tc>
        <w:tc>
          <w:tcPr>
            <w:tcW w:w="1959" w:type="dxa"/>
            <w:vAlign w:val="center"/>
          </w:tcPr>
          <w:p w14:paraId="1D76685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r>
              <w:rPr>
                <w:rFonts w:hint="eastAsia" w:ascii="Times New Roman" w:hAnsi="Times New Roman" w:cs="Times New Roman"/>
                <w:color w:val="auto"/>
                <w:lang w:val="en-US" w:eastAsia="zh-CN"/>
              </w:rPr>
              <w:t>249</w:t>
            </w:r>
            <w:r>
              <w:rPr>
                <w:rFonts w:hint="default" w:ascii="Times New Roman" w:hAnsi="Times New Roman" w:cs="Times New Roman"/>
                <w:color w:val="auto"/>
                <w:lang w:val="en-US" w:eastAsia="zh-CN"/>
              </w:rPr>
              <w:t>t/a</w:t>
            </w:r>
          </w:p>
        </w:tc>
        <w:tc>
          <w:tcPr>
            <w:tcW w:w="826" w:type="dxa"/>
            <w:vAlign w:val="center"/>
          </w:tcPr>
          <w:p w14:paraId="41D953BC">
            <w:pPr>
              <w:pStyle w:val="3"/>
              <w:bidi w:val="0"/>
              <w:ind w:firstLine="0" w:firstLineChars="0"/>
              <w:rPr>
                <w:color w:val="auto"/>
                <w:kern w:val="0"/>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3.</w:t>
            </w:r>
            <w:r>
              <w:rPr>
                <w:rFonts w:hint="eastAsia" w:ascii="Times New Roman" w:hAnsi="Times New Roman" w:cs="Times New Roman"/>
                <w:color w:val="auto"/>
                <w:lang w:val="en-US" w:eastAsia="zh-CN"/>
              </w:rPr>
              <w:t>249</w:t>
            </w:r>
            <w:r>
              <w:rPr>
                <w:rFonts w:hint="default" w:ascii="Times New Roman" w:hAnsi="Times New Roman" w:cs="Times New Roman"/>
                <w:color w:val="auto"/>
                <w:lang w:val="en-US" w:eastAsia="zh-CN"/>
              </w:rPr>
              <w:t>t/a</w:t>
            </w:r>
          </w:p>
        </w:tc>
      </w:tr>
      <w:tr w14:paraId="41EC28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F2ABCCA">
            <w:pPr>
              <w:pStyle w:val="3"/>
              <w:rPr>
                <w:color w:val="auto"/>
                <w:kern w:val="0"/>
              </w:rPr>
            </w:pPr>
          </w:p>
        </w:tc>
        <w:tc>
          <w:tcPr>
            <w:tcW w:w="1417" w:type="dxa"/>
            <w:vAlign w:val="center"/>
          </w:tcPr>
          <w:p w14:paraId="3C2403FE">
            <w:pPr>
              <w:pStyle w:val="3"/>
              <w:rPr>
                <w:color w:val="auto"/>
                <w:kern w:val="0"/>
              </w:rPr>
            </w:pPr>
            <w:r>
              <w:rPr>
                <w:rFonts w:hint="eastAsia"/>
                <w:color w:val="auto"/>
                <w:kern w:val="0"/>
              </w:rPr>
              <w:t>氨氮</w:t>
            </w:r>
          </w:p>
        </w:tc>
        <w:tc>
          <w:tcPr>
            <w:tcW w:w="1701" w:type="dxa"/>
            <w:vAlign w:val="center"/>
          </w:tcPr>
          <w:p w14:paraId="3385A876">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0.279t/a</w:t>
            </w:r>
          </w:p>
        </w:tc>
        <w:tc>
          <w:tcPr>
            <w:tcW w:w="1276" w:type="dxa"/>
            <w:vAlign w:val="center"/>
          </w:tcPr>
          <w:p w14:paraId="7429A9E7">
            <w:pPr>
              <w:pStyle w:val="3"/>
              <w:rPr>
                <w:rFonts w:hint="default" w:ascii="Times New Roman" w:hAnsi="Times New Roman" w:cs="Times New Roman"/>
                <w:color w:val="auto"/>
                <w:kern w:val="0"/>
              </w:rPr>
            </w:pPr>
          </w:p>
        </w:tc>
        <w:tc>
          <w:tcPr>
            <w:tcW w:w="1701" w:type="dxa"/>
            <w:vAlign w:val="center"/>
          </w:tcPr>
          <w:p w14:paraId="4A9A8D19">
            <w:pPr>
              <w:pStyle w:val="3"/>
              <w:rPr>
                <w:rFonts w:hint="default" w:ascii="Times New Roman" w:hAnsi="Times New Roman" w:cs="Times New Roman"/>
                <w:color w:val="auto"/>
                <w:kern w:val="0"/>
              </w:rPr>
            </w:pPr>
          </w:p>
        </w:tc>
        <w:tc>
          <w:tcPr>
            <w:tcW w:w="1559" w:type="dxa"/>
            <w:vAlign w:val="center"/>
          </w:tcPr>
          <w:p w14:paraId="7BF0E560">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0.095t/a</w:t>
            </w:r>
          </w:p>
        </w:tc>
        <w:tc>
          <w:tcPr>
            <w:tcW w:w="1761" w:type="dxa"/>
            <w:vAlign w:val="center"/>
          </w:tcPr>
          <w:p w14:paraId="42B913E9">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0t/a</w:t>
            </w:r>
          </w:p>
        </w:tc>
        <w:tc>
          <w:tcPr>
            <w:tcW w:w="1959" w:type="dxa"/>
            <w:vAlign w:val="center"/>
          </w:tcPr>
          <w:p w14:paraId="72679125">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0.374t/a</w:t>
            </w:r>
          </w:p>
        </w:tc>
        <w:tc>
          <w:tcPr>
            <w:tcW w:w="826" w:type="dxa"/>
            <w:vAlign w:val="center"/>
          </w:tcPr>
          <w:p w14:paraId="1A1897AF">
            <w:pPr>
              <w:pStyle w:val="3"/>
              <w:bidi w:val="0"/>
              <w:ind w:firstLine="0" w:firstLineChars="0"/>
              <w:rPr>
                <w:color w:val="auto"/>
                <w:kern w:val="0"/>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0.095t/a</w:t>
            </w:r>
          </w:p>
        </w:tc>
      </w:tr>
      <w:tr w14:paraId="1FD06A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88" w:type="dxa"/>
            <w:vMerge w:val="continue"/>
            <w:vAlign w:val="center"/>
          </w:tcPr>
          <w:p w14:paraId="20F91C1B">
            <w:pPr>
              <w:pStyle w:val="3"/>
              <w:rPr>
                <w:color w:val="auto"/>
                <w:kern w:val="0"/>
              </w:rPr>
            </w:pPr>
          </w:p>
        </w:tc>
        <w:tc>
          <w:tcPr>
            <w:tcW w:w="1417" w:type="dxa"/>
            <w:vAlign w:val="center"/>
          </w:tcPr>
          <w:p w14:paraId="51B5A2C2">
            <w:pPr>
              <w:pStyle w:val="3"/>
              <w:bidi w:val="0"/>
              <w:rPr>
                <w:rFonts w:hint="eastAsia"/>
                <w:color w:val="auto"/>
              </w:rPr>
            </w:pPr>
            <w:r>
              <w:rPr>
                <w:rFonts w:hint="eastAsia"/>
                <w:color w:val="auto"/>
                <w:lang w:val="en-US" w:eastAsia="zh-CN"/>
              </w:rPr>
              <w:t>总氮</w:t>
            </w:r>
          </w:p>
        </w:tc>
        <w:tc>
          <w:tcPr>
            <w:tcW w:w="1701" w:type="dxa"/>
            <w:vAlign w:val="center"/>
          </w:tcPr>
          <w:p w14:paraId="47A7CCBD">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0.558t/a</w:t>
            </w:r>
          </w:p>
        </w:tc>
        <w:tc>
          <w:tcPr>
            <w:tcW w:w="1276" w:type="dxa"/>
            <w:vAlign w:val="center"/>
          </w:tcPr>
          <w:p w14:paraId="4A50CF4D">
            <w:pPr>
              <w:pStyle w:val="3"/>
              <w:rPr>
                <w:rFonts w:hint="default" w:ascii="Times New Roman" w:hAnsi="Times New Roman" w:cs="Times New Roman"/>
                <w:color w:val="auto"/>
                <w:kern w:val="0"/>
              </w:rPr>
            </w:pPr>
          </w:p>
        </w:tc>
        <w:tc>
          <w:tcPr>
            <w:tcW w:w="1701" w:type="dxa"/>
            <w:vAlign w:val="center"/>
          </w:tcPr>
          <w:p w14:paraId="4DA553CA">
            <w:pPr>
              <w:pStyle w:val="3"/>
              <w:rPr>
                <w:rFonts w:hint="default" w:ascii="Times New Roman" w:hAnsi="Times New Roman" w:cs="Times New Roman"/>
                <w:color w:val="auto"/>
                <w:kern w:val="0"/>
              </w:rPr>
            </w:pPr>
          </w:p>
        </w:tc>
        <w:tc>
          <w:tcPr>
            <w:tcW w:w="1559" w:type="dxa"/>
            <w:vAlign w:val="center"/>
          </w:tcPr>
          <w:p w14:paraId="14D0FB0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0.191t/a</w:t>
            </w:r>
          </w:p>
        </w:tc>
        <w:tc>
          <w:tcPr>
            <w:tcW w:w="1761" w:type="dxa"/>
            <w:vAlign w:val="center"/>
          </w:tcPr>
          <w:p w14:paraId="0866BBB1">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0t/a</w:t>
            </w:r>
          </w:p>
        </w:tc>
        <w:tc>
          <w:tcPr>
            <w:tcW w:w="1959" w:type="dxa"/>
            <w:vAlign w:val="center"/>
          </w:tcPr>
          <w:p w14:paraId="5012D60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0.749t/a</w:t>
            </w:r>
          </w:p>
        </w:tc>
        <w:tc>
          <w:tcPr>
            <w:tcW w:w="826" w:type="dxa"/>
            <w:vAlign w:val="center"/>
          </w:tcPr>
          <w:p w14:paraId="1D7B9711">
            <w:pPr>
              <w:pStyle w:val="3"/>
              <w:bidi w:val="0"/>
              <w:ind w:firstLine="0" w:firstLineChars="0"/>
              <w:rPr>
                <w:color w:val="auto"/>
                <w:kern w:val="0"/>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0.191t/a</w:t>
            </w:r>
          </w:p>
        </w:tc>
      </w:tr>
      <w:tr w14:paraId="2EB98D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08A6097">
            <w:pPr>
              <w:pStyle w:val="3"/>
              <w:rPr>
                <w:color w:val="auto"/>
                <w:kern w:val="0"/>
              </w:rPr>
            </w:pPr>
          </w:p>
        </w:tc>
        <w:tc>
          <w:tcPr>
            <w:tcW w:w="1417" w:type="dxa"/>
            <w:vAlign w:val="center"/>
          </w:tcPr>
          <w:p w14:paraId="749F03D6">
            <w:pPr>
              <w:pStyle w:val="3"/>
              <w:bidi w:val="0"/>
              <w:rPr>
                <w:rFonts w:hint="eastAsia"/>
                <w:color w:val="auto"/>
              </w:rPr>
            </w:pPr>
            <w:r>
              <w:rPr>
                <w:rFonts w:hint="eastAsia"/>
                <w:color w:val="auto"/>
                <w:lang w:val="en-US" w:eastAsia="zh-CN"/>
              </w:rPr>
              <w:t>总磷</w:t>
            </w:r>
          </w:p>
        </w:tc>
        <w:tc>
          <w:tcPr>
            <w:tcW w:w="1701" w:type="dxa"/>
            <w:vAlign w:val="center"/>
          </w:tcPr>
          <w:p w14:paraId="7DF72C94">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0.004t/a</w:t>
            </w:r>
          </w:p>
        </w:tc>
        <w:tc>
          <w:tcPr>
            <w:tcW w:w="1276" w:type="dxa"/>
            <w:vAlign w:val="center"/>
          </w:tcPr>
          <w:p w14:paraId="5A33C133">
            <w:pPr>
              <w:pStyle w:val="3"/>
              <w:rPr>
                <w:rFonts w:hint="default" w:ascii="Times New Roman" w:hAnsi="Times New Roman" w:cs="Times New Roman"/>
                <w:color w:val="auto"/>
                <w:kern w:val="0"/>
              </w:rPr>
            </w:pPr>
          </w:p>
        </w:tc>
        <w:tc>
          <w:tcPr>
            <w:tcW w:w="1701" w:type="dxa"/>
            <w:vAlign w:val="center"/>
          </w:tcPr>
          <w:p w14:paraId="6D02DD19">
            <w:pPr>
              <w:pStyle w:val="3"/>
              <w:rPr>
                <w:rFonts w:hint="default" w:ascii="Times New Roman" w:hAnsi="Times New Roman" w:cs="Times New Roman"/>
                <w:color w:val="auto"/>
                <w:kern w:val="0"/>
              </w:rPr>
            </w:pPr>
          </w:p>
        </w:tc>
        <w:tc>
          <w:tcPr>
            <w:tcW w:w="1559" w:type="dxa"/>
            <w:vAlign w:val="center"/>
          </w:tcPr>
          <w:p w14:paraId="028CD86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0.005t/a</w:t>
            </w:r>
          </w:p>
        </w:tc>
        <w:tc>
          <w:tcPr>
            <w:tcW w:w="1761" w:type="dxa"/>
            <w:vAlign w:val="center"/>
          </w:tcPr>
          <w:p w14:paraId="23C58CCF">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0t/a</w:t>
            </w:r>
          </w:p>
        </w:tc>
        <w:tc>
          <w:tcPr>
            <w:tcW w:w="1959" w:type="dxa"/>
            <w:vAlign w:val="center"/>
          </w:tcPr>
          <w:p w14:paraId="7714A61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0.009t/a</w:t>
            </w:r>
          </w:p>
        </w:tc>
        <w:tc>
          <w:tcPr>
            <w:tcW w:w="826" w:type="dxa"/>
            <w:vAlign w:val="center"/>
          </w:tcPr>
          <w:p w14:paraId="45D413D1">
            <w:pPr>
              <w:pStyle w:val="3"/>
              <w:bidi w:val="0"/>
              <w:ind w:firstLine="0" w:firstLineChars="0"/>
              <w:rPr>
                <w:color w:val="auto"/>
                <w:kern w:val="0"/>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0.005t/a</w:t>
            </w:r>
          </w:p>
        </w:tc>
      </w:tr>
      <w:tr w14:paraId="530BAF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204D6F0">
            <w:pPr>
              <w:pStyle w:val="3"/>
              <w:rPr>
                <w:color w:val="auto"/>
                <w:kern w:val="0"/>
              </w:rPr>
            </w:pPr>
          </w:p>
        </w:tc>
        <w:tc>
          <w:tcPr>
            <w:tcW w:w="1417" w:type="dxa"/>
            <w:vAlign w:val="center"/>
          </w:tcPr>
          <w:p w14:paraId="033ED92A">
            <w:pPr>
              <w:pStyle w:val="3"/>
              <w:rPr>
                <w:rFonts w:hint="eastAsia" w:eastAsia="宋体"/>
                <w:color w:val="auto"/>
                <w:kern w:val="0"/>
                <w:lang w:val="en-US" w:eastAsia="zh-CN"/>
              </w:rPr>
            </w:pPr>
            <w:r>
              <w:rPr>
                <w:rFonts w:hint="eastAsia" w:eastAsia="宋体"/>
                <w:color w:val="auto"/>
                <w:kern w:val="0"/>
                <w:lang w:val="en-US" w:eastAsia="zh-CN"/>
              </w:rPr>
              <w:t>动植物油</w:t>
            </w:r>
          </w:p>
        </w:tc>
        <w:tc>
          <w:tcPr>
            <w:tcW w:w="1701" w:type="dxa"/>
            <w:vAlign w:val="center"/>
          </w:tcPr>
          <w:p w14:paraId="29C3EA64">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0.052t/a</w:t>
            </w:r>
          </w:p>
        </w:tc>
        <w:tc>
          <w:tcPr>
            <w:tcW w:w="1276" w:type="dxa"/>
            <w:vAlign w:val="center"/>
          </w:tcPr>
          <w:p w14:paraId="7ADED42C">
            <w:pPr>
              <w:pStyle w:val="3"/>
              <w:rPr>
                <w:rFonts w:hint="default" w:ascii="Times New Roman" w:hAnsi="Times New Roman" w:cs="Times New Roman"/>
                <w:color w:val="auto"/>
                <w:kern w:val="0"/>
              </w:rPr>
            </w:pPr>
          </w:p>
        </w:tc>
        <w:tc>
          <w:tcPr>
            <w:tcW w:w="1701" w:type="dxa"/>
            <w:vAlign w:val="center"/>
          </w:tcPr>
          <w:p w14:paraId="11ECD7A3">
            <w:pPr>
              <w:pStyle w:val="3"/>
              <w:rPr>
                <w:rFonts w:hint="default" w:ascii="Times New Roman" w:hAnsi="Times New Roman" w:cs="Times New Roman"/>
                <w:color w:val="auto"/>
                <w:kern w:val="0"/>
              </w:rPr>
            </w:pPr>
          </w:p>
        </w:tc>
        <w:tc>
          <w:tcPr>
            <w:tcW w:w="1559" w:type="dxa"/>
            <w:vAlign w:val="center"/>
          </w:tcPr>
          <w:p w14:paraId="23152D7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0.095t/a</w:t>
            </w:r>
          </w:p>
        </w:tc>
        <w:tc>
          <w:tcPr>
            <w:tcW w:w="1761" w:type="dxa"/>
            <w:vAlign w:val="center"/>
          </w:tcPr>
          <w:p w14:paraId="1F83184D">
            <w:pPr>
              <w:pStyle w:val="3"/>
              <w:ind w:firstLine="0" w:firstLineChars="0"/>
              <w:rPr>
                <w:rFonts w:hint="default" w:ascii="Times New Roman" w:hAnsi="Times New Roman" w:eastAsia="宋体" w:cs="Times New Roman"/>
                <w:color w:val="auto"/>
                <w:kern w:val="0"/>
                <w:lang w:val="en-US" w:eastAsia="zh-CN"/>
              </w:rPr>
            </w:pPr>
            <w:r>
              <w:rPr>
                <w:rFonts w:hint="default" w:ascii="Times New Roman" w:hAnsi="Times New Roman" w:eastAsia="宋体" w:cs="Times New Roman"/>
                <w:color w:val="auto"/>
                <w:kern w:val="0"/>
                <w:lang w:val="en-US" w:eastAsia="zh-CN"/>
              </w:rPr>
              <w:t>0t/a</w:t>
            </w:r>
          </w:p>
        </w:tc>
        <w:tc>
          <w:tcPr>
            <w:tcW w:w="1959" w:type="dxa"/>
            <w:vAlign w:val="center"/>
          </w:tcPr>
          <w:p w14:paraId="0BBEFE3B">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0.147t/a</w:t>
            </w:r>
          </w:p>
        </w:tc>
        <w:tc>
          <w:tcPr>
            <w:tcW w:w="826" w:type="dxa"/>
            <w:vAlign w:val="center"/>
          </w:tcPr>
          <w:p w14:paraId="43F5817B">
            <w:pPr>
              <w:pStyle w:val="3"/>
              <w:bidi w:val="0"/>
              <w:ind w:firstLine="0" w:firstLineChars="0"/>
              <w:rPr>
                <w:color w:val="auto"/>
                <w:kern w:val="0"/>
              </w:rPr>
            </w:pP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0.095t/a</w:t>
            </w:r>
          </w:p>
        </w:tc>
      </w:tr>
      <w:tr w14:paraId="20722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vAlign w:val="center"/>
          </w:tcPr>
          <w:p w14:paraId="681A2817">
            <w:pPr>
              <w:pStyle w:val="3"/>
              <w:rPr>
                <w:color w:val="auto"/>
                <w:kern w:val="0"/>
              </w:rPr>
            </w:pPr>
            <w:r>
              <w:rPr>
                <w:rFonts w:hint="eastAsia"/>
                <w:color w:val="auto"/>
                <w:kern w:val="0"/>
              </w:rPr>
              <w:t>一般工业</w:t>
            </w:r>
          </w:p>
          <w:p w14:paraId="67DA34F7">
            <w:pPr>
              <w:pStyle w:val="3"/>
              <w:rPr>
                <w:color w:val="auto"/>
                <w:kern w:val="0"/>
              </w:rPr>
            </w:pPr>
            <w:r>
              <w:rPr>
                <w:rFonts w:hint="eastAsia"/>
                <w:color w:val="auto"/>
                <w:kern w:val="0"/>
              </w:rPr>
              <w:t>固体废物</w:t>
            </w:r>
          </w:p>
        </w:tc>
        <w:tc>
          <w:tcPr>
            <w:tcW w:w="1417" w:type="dxa"/>
            <w:vAlign w:val="center"/>
          </w:tcPr>
          <w:p w14:paraId="5F2F1E80">
            <w:pPr>
              <w:pStyle w:val="3"/>
              <w:bidi w:val="0"/>
              <w:rPr>
                <w:rFonts w:hint="default"/>
                <w:color w:val="auto"/>
                <w:lang w:val="en-US" w:eastAsia="zh-CN"/>
              </w:rPr>
            </w:pPr>
            <w:r>
              <w:rPr>
                <w:rFonts w:hint="eastAsia"/>
                <w:color w:val="auto"/>
                <w:lang w:val="en-US" w:eastAsia="zh-CN"/>
              </w:rPr>
              <w:t>皂脚</w:t>
            </w:r>
          </w:p>
        </w:tc>
        <w:tc>
          <w:tcPr>
            <w:tcW w:w="1701" w:type="dxa"/>
            <w:vAlign w:val="center"/>
          </w:tcPr>
          <w:p w14:paraId="6C923B45">
            <w:pPr>
              <w:pStyle w:val="3"/>
              <w:bidi w:val="0"/>
              <w:rPr>
                <w:rFonts w:hint="default" w:ascii="Times New Roman" w:hAnsi="Times New Roman" w:cs="Times New Roman"/>
                <w:color w:val="auto"/>
                <w:lang w:val="en-US"/>
              </w:rPr>
            </w:pPr>
            <w:r>
              <w:rPr>
                <w:rFonts w:hint="eastAsia" w:ascii="Times New Roman" w:hAnsi="Times New Roman" w:cs="Times New Roman"/>
                <w:color w:val="auto"/>
                <w:lang w:val="en-US" w:eastAsia="zh-CN"/>
              </w:rPr>
              <w:t>19231t/a</w:t>
            </w:r>
          </w:p>
        </w:tc>
        <w:tc>
          <w:tcPr>
            <w:tcW w:w="1276" w:type="dxa"/>
            <w:vAlign w:val="center"/>
          </w:tcPr>
          <w:p w14:paraId="3837E7B3">
            <w:pPr>
              <w:pStyle w:val="3"/>
              <w:rPr>
                <w:color w:val="auto"/>
                <w:kern w:val="0"/>
              </w:rPr>
            </w:pPr>
          </w:p>
        </w:tc>
        <w:tc>
          <w:tcPr>
            <w:tcW w:w="1701" w:type="dxa"/>
            <w:vAlign w:val="center"/>
          </w:tcPr>
          <w:p w14:paraId="7AC2850D">
            <w:pPr>
              <w:pStyle w:val="3"/>
              <w:rPr>
                <w:color w:val="auto"/>
                <w:kern w:val="0"/>
              </w:rPr>
            </w:pPr>
          </w:p>
        </w:tc>
        <w:tc>
          <w:tcPr>
            <w:tcW w:w="1559" w:type="dxa"/>
            <w:vAlign w:val="center"/>
          </w:tcPr>
          <w:p w14:paraId="2CFC7E12">
            <w:pPr>
              <w:pStyle w:val="3"/>
              <w:bidi w:val="0"/>
              <w:ind w:firstLine="0" w:firstLineChars="0"/>
              <w:rPr>
                <w:rFonts w:hint="default" w:eastAsia="宋体"/>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31175E09">
            <w:pPr>
              <w:pStyle w:val="3"/>
              <w:bidi w:val="0"/>
              <w:rPr>
                <w:rFonts w:hint="default" w:eastAsia="宋体"/>
                <w:color w:val="auto"/>
                <w:lang w:val="en-US" w:eastAsia="zh-CN"/>
              </w:rPr>
            </w:pPr>
            <w:r>
              <w:rPr>
                <w:rFonts w:hint="eastAsia" w:ascii="Times New Roman" w:hAnsi="Times New Roman" w:eastAsia="宋体" w:cs="Times New Roman"/>
                <w:color w:val="auto"/>
                <w:lang w:val="en-US" w:eastAsia="zh-CN"/>
              </w:rPr>
              <w:t>8137</w:t>
            </w:r>
            <w:r>
              <w:rPr>
                <w:rFonts w:hint="default" w:ascii="Times New Roman" w:hAnsi="Times New Roman" w:eastAsia="宋体" w:cs="Times New Roman"/>
                <w:color w:val="auto"/>
                <w:lang w:val="en-US" w:eastAsia="zh-CN"/>
              </w:rPr>
              <w:t>t/a</w:t>
            </w:r>
          </w:p>
        </w:tc>
        <w:tc>
          <w:tcPr>
            <w:tcW w:w="1959" w:type="dxa"/>
            <w:vAlign w:val="center"/>
          </w:tcPr>
          <w:p w14:paraId="719DC9C3">
            <w:pPr>
              <w:pStyle w:val="3"/>
              <w:bidi w:val="0"/>
              <w:ind w:firstLine="0" w:firstLineChars="0"/>
              <w:rPr>
                <w:rFonts w:hint="default" w:eastAsia="宋体"/>
                <w:color w:val="auto"/>
                <w:kern w:val="0"/>
                <w:lang w:val="en-US" w:eastAsia="zh-CN"/>
              </w:rPr>
            </w:pPr>
            <w:r>
              <w:rPr>
                <w:rFonts w:hint="eastAsia" w:ascii="Times New Roman" w:hAnsi="Times New Roman" w:eastAsia="宋体" w:cs="Times New Roman"/>
                <w:color w:val="auto"/>
                <w:kern w:val="0"/>
                <w:lang w:val="en-US" w:eastAsia="zh-CN"/>
              </w:rPr>
              <w:t>11093</w:t>
            </w:r>
            <w:r>
              <w:rPr>
                <w:rFonts w:hint="default" w:ascii="Times New Roman" w:hAnsi="Times New Roman" w:eastAsia="宋体" w:cs="Times New Roman"/>
                <w:color w:val="auto"/>
                <w:kern w:val="0"/>
                <w:lang w:val="en-US" w:eastAsia="zh-CN"/>
              </w:rPr>
              <w:t>t/a</w:t>
            </w:r>
          </w:p>
        </w:tc>
        <w:tc>
          <w:tcPr>
            <w:tcW w:w="826" w:type="dxa"/>
            <w:vAlign w:val="center"/>
          </w:tcPr>
          <w:p w14:paraId="1E64E784">
            <w:pPr>
              <w:pStyle w:val="3"/>
              <w:bidi w:val="0"/>
              <w:ind w:firstLine="0" w:firstLineChars="0"/>
              <w:rPr>
                <w:color w:val="auto"/>
                <w:kern w:val="0"/>
              </w:rPr>
            </w:pP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8137</w:t>
            </w:r>
            <w:r>
              <w:rPr>
                <w:rFonts w:hint="default" w:ascii="Times New Roman" w:hAnsi="Times New Roman" w:eastAsia="宋体" w:cs="Times New Roman"/>
                <w:color w:val="auto"/>
                <w:lang w:val="en-US" w:eastAsia="zh-CN"/>
              </w:rPr>
              <w:t>t/a</w:t>
            </w:r>
          </w:p>
        </w:tc>
      </w:tr>
      <w:tr w14:paraId="1E0C0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2E96C40">
            <w:pPr>
              <w:pStyle w:val="3"/>
              <w:rPr>
                <w:color w:val="auto"/>
                <w:kern w:val="0"/>
              </w:rPr>
            </w:pPr>
          </w:p>
        </w:tc>
        <w:tc>
          <w:tcPr>
            <w:tcW w:w="1417" w:type="dxa"/>
            <w:vAlign w:val="center"/>
          </w:tcPr>
          <w:p w14:paraId="49896EEF">
            <w:pPr>
              <w:pStyle w:val="3"/>
              <w:bidi w:val="0"/>
              <w:rPr>
                <w:rFonts w:hint="eastAsia"/>
                <w:color w:val="auto"/>
                <w:lang w:eastAsia="zh-CN"/>
              </w:rPr>
            </w:pPr>
            <w:r>
              <w:rPr>
                <w:rFonts w:hint="eastAsia"/>
                <w:color w:val="auto"/>
                <w:lang w:val="en-US" w:eastAsia="zh-CN"/>
              </w:rPr>
              <w:t>脂肪酸</w:t>
            </w:r>
          </w:p>
        </w:tc>
        <w:tc>
          <w:tcPr>
            <w:tcW w:w="1701" w:type="dxa"/>
            <w:vAlign w:val="center"/>
          </w:tcPr>
          <w:p w14:paraId="778A4CC3">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655</w:t>
            </w:r>
            <w:r>
              <w:rPr>
                <w:rFonts w:hint="eastAsia" w:ascii="Times New Roman" w:hAnsi="Times New Roman" w:cs="Times New Roman"/>
                <w:color w:val="auto"/>
                <w:lang w:val="en-US" w:eastAsia="zh-CN"/>
              </w:rPr>
              <w:t>t/a</w:t>
            </w:r>
          </w:p>
        </w:tc>
        <w:tc>
          <w:tcPr>
            <w:tcW w:w="1276" w:type="dxa"/>
            <w:vAlign w:val="center"/>
          </w:tcPr>
          <w:p w14:paraId="5BF544AF">
            <w:pPr>
              <w:pStyle w:val="3"/>
              <w:rPr>
                <w:color w:val="auto"/>
                <w:kern w:val="0"/>
              </w:rPr>
            </w:pPr>
          </w:p>
        </w:tc>
        <w:tc>
          <w:tcPr>
            <w:tcW w:w="1701" w:type="dxa"/>
            <w:vAlign w:val="center"/>
          </w:tcPr>
          <w:p w14:paraId="4FF2F902">
            <w:pPr>
              <w:pStyle w:val="3"/>
              <w:rPr>
                <w:color w:val="auto"/>
                <w:kern w:val="0"/>
              </w:rPr>
            </w:pPr>
          </w:p>
        </w:tc>
        <w:tc>
          <w:tcPr>
            <w:tcW w:w="1559" w:type="dxa"/>
            <w:vAlign w:val="center"/>
          </w:tcPr>
          <w:p w14:paraId="29307DE0">
            <w:pPr>
              <w:pStyle w:val="3"/>
              <w:bidi w:val="0"/>
              <w:ind w:firstLine="0" w:firstLineChars="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553AECD4">
            <w:pPr>
              <w:pStyle w:val="3"/>
              <w:bidi w:val="0"/>
              <w:rPr>
                <w:color w:val="auto"/>
              </w:rPr>
            </w:pPr>
            <w:r>
              <w:rPr>
                <w:rFonts w:hint="default" w:ascii="Times New Roman" w:hAnsi="Times New Roman" w:eastAsia="宋体" w:cs="Times New Roman"/>
                <w:color w:val="auto"/>
                <w:kern w:val="0"/>
                <w:lang w:val="en-US" w:eastAsia="zh-CN"/>
              </w:rPr>
              <w:t>0t/a</w:t>
            </w:r>
          </w:p>
        </w:tc>
        <w:tc>
          <w:tcPr>
            <w:tcW w:w="1959" w:type="dxa"/>
            <w:vAlign w:val="center"/>
          </w:tcPr>
          <w:p w14:paraId="438A3B07">
            <w:pPr>
              <w:pStyle w:val="3"/>
              <w:bidi w:val="0"/>
              <w:ind w:firstLine="0" w:firstLineChars="0"/>
              <w:rPr>
                <w:color w:val="auto"/>
                <w:kern w:val="0"/>
              </w:rPr>
            </w:pPr>
            <w:r>
              <w:rPr>
                <w:rFonts w:hint="default" w:ascii="Times New Roman" w:hAnsi="Times New Roman" w:cs="Times New Roman"/>
                <w:color w:val="auto"/>
                <w:lang w:val="en-US" w:eastAsia="zh-CN"/>
              </w:rPr>
              <w:t>655</w:t>
            </w:r>
            <w:r>
              <w:rPr>
                <w:rFonts w:hint="eastAsia" w:ascii="Times New Roman" w:hAnsi="Times New Roman" w:cs="Times New Roman"/>
                <w:color w:val="auto"/>
                <w:lang w:val="en-US" w:eastAsia="zh-CN"/>
              </w:rPr>
              <w:t>t/a</w:t>
            </w:r>
          </w:p>
        </w:tc>
        <w:tc>
          <w:tcPr>
            <w:tcW w:w="826" w:type="dxa"/>
            <w:vAlign w:val="center"/>
          </w:tcPr>
          <w:p w14:paraId="5072D50D">
            <w:pPr>
              <w:pStyle w:val="3"/>
              <w:bidi w:val="0"/>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1A36F4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66A85CB7">
            <w:pPr>
              <w:pStyle w:val="3"/>
              <w:rPr>
                <w:color w:val="auto"/>
                <w:kern w:val="0"/>
              </w:rPr>
            </w:pPr>
          </w:p>
        </w:tc>
        <w:tc>
          <w:tcPr>
            <w:tcW w:w="1417" w:type="dxa"/>
            <w:vAlign w:val="center"/>
          </w:tcPr>
          <w:p w14:paraId="0E81B70E">
            <w:pPr>
              <w:pStyle w:val="3"/>
              <w:bidi w:val="0"/>
              <w:rPr>
                <w:rFonts w:hint="eastAsia"/>
                <w:color w:val="auto"/>
                <w:lang w:eastAsia="zh-CN"/>
              </w:rPr>
            </w:pPr>
            <w:r>
              <w:rPr>
                <w:rFonts w:hint="eastAsia"/>
                <w:color w:val="auto"/>
                <w:lang w:val="en-US" w:eastAsia="zh-CN"/>
              </w:rPr>
              <w:t>废白土</w:t>
            </w:r>
          </w:p>
        </w:tc>
        <w:tc>
          <w:tcPr>
            <w:tcW w:w="1701" w:type="dxa"/>
            <w:vAlign w:val="center"/>
          </w:tcPr>
          <w:p w14:paraId="5D00E120">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3277</w:t>
            </w:r>
            <w:r>
              <w:rPr>
                <w:rFonts w:hint="eastAsia" w:ascii="Times New Roman" w:hAnsi="Times New Roman" w:cs="Times New Roman"/>
                <w:color w:val="auto"/>
                <w:lang w:val="en-US" w:eastAsia="zh-CN"/>
              </w:rPr>
              <w:t>t/a</w:t>
            </w:r>
            <w:r>
              <w:rPr>
                <w:rFonts w:hint="default" w:ascii="Times New Roman" w:hAnsi="Times New Roman" w:cs="Times New Roman"/>
                <w:color w:val="auto"/>
                <w:lang w:val="en-US" w:eastAsia="zh-CN"/>
              </w:rPr>
              <w:t xml:space="preserve"> </w:t>
            </w:r>
          </w:p>
        </w:tc>
        <w:tc>
          <w:tcPr>
            <w:tcW w:w="1276" w:type="dxa"/>
            <w:vAlign w:val="center"/>
          </w:tcPr>
          <w:p w14:paraId="451D62F4">
            <w:pPr>
              <w:pStyle w:val="3"/>
              <w:rPr>
                <w:color w:val="auto"/>
                <w:kern w:val="0"/>
              </w:rPr>
            </w:pPr>
          </w:p>
        </w:tc>
        <w:tc>
          <w:tcPr>
            <w:tcW w:w="1701" w:type="dxa"/>
            <w:vAlign w:val="center"/>
          </w:tcPr>
          <w:p w14:paraId="0DBDF551">
            <w:pPr>
              <w:pStyle w:val="3"/>
              <w:rPr>
                <w:color w:val="auto"/>
                <w:kern w:val="0"/>
              </w:rPr>
            </w:pPr>
          </w:p>
        </w:tc>
        <w:tc>
          <w:tcPr>
            <w:tcW w:w="1559" w:type="dxa"/>
            <w:vAlign w:val="center"/>
          </w:tcPr>
          <w:p w14:paraId="65B94C6A">
            <w:pPr>
              <w:pStyle w:val="3"/>
              <w:bidi w:val="0"/>
              <w:ind w:firstLine="0" w:firstLineChars="0"/>
              <w:rPr>
                <w:rFonts w:hint="default" w:eastAsia="宋体"/>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62B52C0A">
            <w:pPr>
              <w:pStyle w:val="3"/>
              <w:bidi w:val="0"/>
              <w:rPr>
                <w:color w:val="auto"/>
              </w:rPr>
            </w:pPr>
            <w:r>
              <w:rPr>
                <w:rFonts w:hint="default" w:ascii="Times New Roman" w:hAnsi="Times New Roman" w:eastAsia="宋体" w:cs="Times New Roman"/>
                <w:color w:val="auto"/>
                <w:kern w:val="0"/>
                <w:lang w:val="en-US" w:eastAsia="zh-CN"/>
              </w:rPr>
              <w:t>0t/a</w:t>
            </w:r>
          </w:p>
        </w:tc>
        <w:tc>
          <w:tcPr>
            <w:tcW w:w="1959" w:type="dxa"/>
            <w:vAlign w:val="center"/>
          </w:tcPr>
          <w:p w14:paraId="47DCA06B">
            <w:pPr>
              <w:pStyle w:val="3"/>
              <w:bidi w:val="0"/>
              <w:ind w:firstLine="0" w:firstLineChars="0"/>
              <w:rPr>
                <w:color w:val="auto"/>
                <w:kern w:val="0"/>
              </w:rPr>
            </w:pPr>
            <w:r>
              <w:rPr>
                <w:rFonts w:hint="default" w:ascii="Times New Roman" w:hAnsi="Times New Roman" w:cs="Times New Roman"/>
                <w:color w:val="auto"/>
                <w:lang w:val="en-US" w:eastAsia="zh-CN"/>
              </w:rPr>
              <w:t>3277</w:t>
            </w:r>
            <w:r>
              <w:rPr>
                <w:rFonts w:hint="eastAsia" w:ascii="Times New Roman" w:hAnsi="Times New Roman" w:cs="Times New Roman"/>
                <w:color w:val="auto"/>
                <w:lang w:val="en-US" w:eastAsia="zh-CN"/>
              </w:rPr>
              <w:t>t/a</w:t>
            </w:r>
            <w:r>
              <w:rPr>
                <w:rFonts w:hint="default" w:ascii="Times New Roman" w:hAnsi="Times New Roman" w:cs="Times New Roman"/>
                <w:color w:val="auto"/>
                <w:lang w:val="en-US" w:eastAsia="zh-CN"/>
              </w:rPr>
              <w:t xml:space="preserve"> </w:t>
            </w:r>
          </w:p>
        </w:tc>
        <w:tc>
          <w:tcPr>
            <w:tcW w:w="826" w:type="dxa"/>
            <w:vAlign w:val="center"/>
          </w:tcPr>
          <w:p w14:paraId="2E8E1E9E">
            <w:pPr>
              <w:pStyle w:val="3"/>
              <w:bidi w:val="0"/>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726C1D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E867E19">
            <w:pPr>
              <w:pStyle w:val="3"/>
              <w:rPr>
                <w:color w:val="auto"/>
                <w:kern w:val="0"/>
              </w:rPr>
            </w:pPr>
          </w:p>
        </w:tc>
        <w:tc>
          <w:tcPr>
            <w:tcW w:w="1417" w:type="dxa"/>
            <w:vAlign w:val="center"/>
          </w:tcPr>
          <w:p w14:paraId="75247294">
            <w:pPr>
              <w:pStyle w:val="3"/>
              <w:bidi w:val="0"/>
              <w:rPr>
                <w:rFonts w:hint="eastAsia"/>
                <w:color w:val="auto"/>
                <w:lang w:eastAsia="zh-CN"/>
              </w:rPr>
            </w:pPr>
            <w:r>
              <w:rPr>
                <w:rFonts w:hint="default"/>
                <w:color w:val="auto"/>
                <w:lang w:val="en-US" w:eastAsia="zh-CN"/>
              </w:rPr>
              <w:t>废杂质</w:t>
            </w:r>
          </w:p>
        </w:tc>
        <w:tc>
          <w:tcPr>
            <w:tcW w:w="1701" w:type="dxa"/>
            <w:vAlign w:val="center"/>
          </w:tcPr>
          <w:p w14:paraId="766DBEFF">
            <w:pPr>
              <w:pStyle w:val="3"/>
              <w:bidi w:val="0"/>
              <w:rPr>
                <w:rFonts w:hint="default" w:ascii="Times New Roman" w:hAnsi="Times New Roman" w:cs="Times New Roman"/>
                <w:color w:val="auto"/>
                <w:lang w:val="en-US"/>
              </w:rPr>
            </w:pPr>
            <w:r>
              <w:rPr>
                <w:rFonts w:hint="default" w:ascii="Times New Roman" w:hAnsi="Times New Roman" w:cs="Times New Roman"/>
                <w:color w:val="auto"/>
                <w:lang w:val="en-US" w:eastAsia="zh-CN"/>
              </w:rPr>
              <w:t xml:space="preserve">38016t/a </w:t>
            </w:r>
          </w:p>
        </w:tc>
        <w:tc>
          <w:tcPr>
            <w:tcW w:w="1276" w:type="dxa"/>
            <w:vAlign w:val="center"/>
          </w:tcPr>
          <w:p w14:paraId="190B72AE">
            <w:pPr>
              <w:pStyle w:val="3"/>
              <w:rPr>
                <w:color w:val="auto"/>
                <w:kern w:val="0"/>
              </w:rPr>
            </w:pPr>
          </w:p>
        </w:tc>
        <w:tc>
          <w:tcPr>
            <w:tcW w:w="1701" w:type="dxa"/>
            <w:vAlign w:val="center"/>
          </w:tcPr>
          <w:p w14:paraId="7158D8C9">
            <w:pPr>
              <w:pStyle w:val="3"/>
              <w:rPr>
                <w:color w:val="auto"/>
                <w:kern w:val="0"/>
              </w:rPr>
            </w:pPr>
          </w:p>
        </w:tc>
        <w:tc>
          <w:tcPr>
            <w:tcW w:w="1559" w:type="dxa"/>
            <w:vAlign w:val="center"/>
          </w:tcPr>
          <w:p w14:paraId="09F8B85C">
            <w:pPr>
              <w:pStyle w:val="3"/>
              <w:bidi w:val="0"/>
              <w:ind w:firstLine="0" w:firstLineChars="0"/>
              <w:rPr>
                <w:rFonts w:hint="default" w:eastAsia="宋体"/>
                <w:color w:val="auto"/>
                <w:lang w:val="en-US" w:eastAsia="zh-CN"/>
              </w:rPr>
            </w:pPr>
            <w:r>
              <w:rPr>
                <w:rFonts w:hint="eastAsia" w:ascii="Times New Roman" w:hAnsi="Times New Roman" w:eastAsia="宋体" w:cs="Times New Roman"/>
                <w:color w:val="auto"/>
                <w:kern w:val="0"/>
                <w:lang w:val="en-US" w:eastAsia="zh-CN"/>
              </w:rPr>
              <w:t>180</w:t>
            </w:r>
            <w:r>
              <w:rPr>
                <w:rFonts w:hint="default" w:ascii="Times New Roman" w:hAnsi="Times New Roman" w:eastAsia="宋体" w:cs="Times New Roman"/>
                <w:color w:val="auto"/>
                <w:kern w:val="0"/>
                <w:lang w:val="en-US" w:eastAsia="zh-CN"/>
              </w:rPr>
              <w:t>0t/a</w:t>
            </w:r>
          </w:p>
        </w:tc>
        <w:tc>
          <w:tcPr>
            <w:tcW w:w="1761" w:type="dxa"/>
            <w:vAlign w:val="center"/>
          </w:tcPr>
          <w:p w14:paraId="2368BDBB">
            <w:pPr>
              <w:pStyle w:val="3"/>
              <w:bidi w:val="0"/>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kern w:val="0"/>
                <w:lang w:val="en-US" w:eastAsia="zh-CN"/>
              </w:rPr>
              <w:t>0t/a</w:t>
            </w:r>
          </w:p>
        </w:tc>
        <w:tc>
          <w:tcPr>
            <w:tcW w:w="1959" w:type="dxa"/>
            <w:vAlign w:val="center"/>
          </w:tcPr>
          <w:p w14:paraId="6B0AD827">
            <w:pPr>
              <w:pStyle w:val="3"/>
              <w:bidi w:val="0"/>
              <w:ind w:firstLine="0" w:firstLineChars="0"/>
              <w:rPr>
                <w:rFonts w:hint="default" w:ascii="Times New Roman" w:hAnsi="Times New Roman" w:cs="Times New Roman"/>
                <w:color w:val="auto"/>
                <w:kern w:val="0"/>
              </w:rPr>
            </w:pPr>
            <w:r>
              <w:rPr>
                <w:rFonts w:hint="default" w:ascii="Times New Roman" w:hAnsi="Times New Roman" w:eastAsia="宋体" w:cs="Times New Roman"/>
                <w:color w:val="auto"/>
                <w:lang w:val="en-US" w:eastAsia="zh-CN"/>
              </w:rPr>
              <w:t>39816t/a</w:t>
            </w:r>
          </w:p>
        </w:tc>
        <w:tc>
          <w:tcPr>
            <w:tcW w:w="826" w:type="dxa"/>
            <w:vAlign w:val="center"/>
          </w:tcPr>
          <w:p w14:paraId="0B1F0904">
            <w:pPr>
              <w:pStyle w:val="3"/>
              <w:bidi w:val="0"/>
              <w:ind w:firstLine="0" w:firstLineChars="0"/>
              <w:rPr>
                <w:color w:val="auto"/>
                <w:kern w:val="0"/>
              </w:rPr>
            </w:pPr>
            <w:r>
              <w:rPr>
                <w:rFonts w:hint="eastAsia" w:ascii="Times New Roman" w:hAnsi="Times New Roman" w:eastAsia="宋体" w:cs="Times New Roman"/>
                <w:color w:val="auto"/>
                <w:kern w:val="0"/>
                <w:lang w:val="en-US" w:eastAsia="zh-CN"/>
              </w:rPr>
              <w:t>+180</w:t>
            </w:r>
            <w:r>
              <w:rPr>
                <w:rFonts w:hint="default" w:ascii="Times New Roman" w:hAnsi="Times New Roman" w:eastAsia="宋体" w:cs="Times New Roman"/>
                <w:color w:val="auto"/>
                <w:kern w:val="0"/>
                <w:lang w:val="en-US" w:eastAsia="zh-CN"/>
              </w:rPr>
              <w:t>0t/a</w:t>
            </w:r>
          </w:p>
        </w:tc>
      </w:tr>
      <w:tr w14:paraId="10A8E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3F6F073A">
            <w:pPr>
              <w:pStyle w:val="3"/>
              <w:rPr>
                <w:color w:val="auto"/>
                <w:kern w:val="0"/>
              </w:rPr>
            </w:pPr>
          </w:p>
        </w:tc>
        <w:tc>
          <w:tcPr>
            <w:tcW w:w="1417" w:type="dxa"/>
            <w:vAlign w:val="center"/>
          </w:tcPr>
          <w:p w14:paraId="4E4EC7E6">
            <w:pPr>
              <w:pStyle w:val="3"/>
              <w:bidi w:val="0"/>
              <w:rPr>
                <w:rFonts w:hint="eastAsia"/>
                <w:color w:val="auto"/>
                <w:highlight w:val="none"/>
                <w:lang w:eastAsia="zh-CN"/>
              </w:rPr>
            </w:pPr>
            <w:r>
              <w:rPr>
                <w:rFonts w:hint="default"/>
                <w:color w:val="auto"/>
                <w:highlight w:val="none"/>
                <w:lang w:val="en-US" w:eastAsia="zh-CN"/>
              </w:rPr>
              <w:t>废包装</w:t>
            </w:r>
          </w:p>
        </w:tc>
        <w:tc>
          <w:tcPr>
            <w:tcW w:w="1701" w:type="dxa"/>
            <w:vAlign w:val="center"/>
          </w:tcPr>
          <w:p w14:paraId="6A68686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35t/a</w:t>
            </w:r>
          </w:p>
        </w:tc>
        <w:tc>
          <w:tcPr>
            <w:tcW w:w="1276" w:type="dxa"/>
            <w:vAlign w:val="center"/>
          </w:tcPr>
          <w:p w14:paraId="301FB9D6">
            <w:pPr>
              <w:pStyle w:val="3"/>
              <w:rPr>
                <w:color w:val="auto"/>
                <w:kern w:val="0"/>
              </w:rPr>
            </w:pPr>
          </w:p>
        </w:tc>
        <w:tc>
          <w:tcPr>
            <w:tcW w:w="1701" w:type="dxa"/>
            <w:vAlign w:val="center"/>
          </w:tcPr>
          <w:p w14:paraId="284B049E">
            <w:pPr>
              <w:pStyle w:val="3"/>
              <w:rPr>
                <w:color w:val="auto"/>
                <w:kern w:val="0"/>
              </w:rPr>
            </w:pPr>
          </w:p>
        </w:tc>
        <w:tc>
          <w:tcPr>
            <w:tcW w:w="1559" w:type="dxa"/>
            <w:vAlign w:val="center"/>
          </w:tcPr>
          <w:p w14:paraId="4AA3EA2D">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3474A40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76C0120C">
            <w:pPr>
              <w:pStyle w:val="3"/>
              <w:bidi w:val="0"/>
              <w:ind w:firstLine="0" w:firstLineChars="0"/>
              <w:rPr>
                <w:color w:val="auto"/>
                <w:kern w:val="0"/>
              </w:rPr>
            </w:pPr>
            <w:r>
              <w:rPr>
                <w:rFonts w:hint="default" w:ascii="Times New Roman" w:hAnsi="Times New Roman" w:cs="Times New Roman"/>
                <w:color w:val="auto"/>
                <w:lang w:val="en-US" w:eastAsia="zh-CN"/>
              </w:rPr>
              <w:t>35t/a</w:t>
            </w:r>
          </w:p>
        </w:tc>
        <w:tc>
          <w:tcPr>
            <w:tcW w:w="826" w:type="dxa"/>
            <w:vAlign w:val="center"/>
          </w:tcPr>
          <w:p w14:paraId="6C53DDBD">
            <w:pPr>
              <w:pStyle w:val="3"/>
              <w:bidi w:val="0"/>
              <w:rPr>
                <w:color w:val="auto"/>
              </w:rPr>
            </w:pPr>
            <w:r>
              <w:rPr>
                <w:rFonts w:hint="eastAsia"/>
                <w:color w:val="auto"/>
                <w:lang w:val="en-US" w:eastAsia="zh-CN"/>
              </w:rPr>
              <w:t>/</w:t>
            </w:r>
          </w:p>
        </w:tc>
      </w:tr>
      <w:tr w14:paraId="6FA869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D1A2D20">
            <w:pPr>
              <w:pStyle w:val="3"/>
              <w:rPr>
                <w:color w:val="auto"/>
                <w:kern w:val="0"/>
              </w:rPr>
            </w:pPr>
          </w:p>
        </w:tc>
        <w:tc>
          <w:tcPr>
            <w:tcW w:w="1417" w:type="dxa"/>
            <w:vAlign w:val="center"/>
          </w:tcPr>
          <w:p w14:paraId="0DCEECFD">
            <w:pPr>
              <w:pStyle w:val="3"/>
              <w:bidi w:val="0"/>
              <w:rPr>
                <w:rFonts w:hint="eastAsia"/>
                <w:color w:val="auto"/>
                <w:highlight w:val="none"/>
                <w:lang w:eastAsia="zh-CN"/>
              </w:rPr>
            </w:pPr>
            <w:r>
              <w:rPr>
                <w:rFonts w:hint="default"/>
                <w:color w:val="auto"/>
                <w:highlight w:val="none"/>
                <w:lang w:val="en-US" w:eastAsia="zh-CN"/>
              </w:rPr>
              <w:t>废滤袋</w:t>
            </w:r>
          </w:p>
        </w:tc>
        <w:tc>
          <w:tcPr>
            <w:tcW w:w="1701" w:type="dxa"/>
            <w:vAlign w:val="center"/>
          </w:tcPr>
          <w:p w14:paraId="5DBDC7B3">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0.02t/a</w:t>
            </w:r>
          </w:p>
        </w:tc>
        <w:tc>
          <w:tcPr>
            <w:tcW w:w="1276" w:type="dxa"/>
            <w:vAlign w:val="center"/>
          </w:tcPr>
          <w:p w14:paraId="5010D8F8">
            <w:pPr>
              <w:pStyle w:val="3"/>
              <w:rPr>
                <w:color w:val="auto"/>
                <w:kern w:val="0"/>
              </w:rPr>
            </w:pPr>
          </w:p>
        </w:tc>
        <w:tc>
          <w:tcPr>
            <w:tcW w:w="1701" w:type="dxa"/>
            <w:vAlign w:val="center"/>
          </w:tcPr>
          <w:p w14:paraId="7D6D0B0A">
            <w:pPr>
              <w:pStyle w:val="3"/>
              <w:rPr>
                <w:color w:val="auto"/>
                <w:kern w:val="0"/>
              </w:rPr>
            </w:pPr>
          </w:p>
        </w:tc>
        <w:tc>
          <w:tcPr>
            <w:tcW w:w="1559" w:type="dxa"/>
            <w:vAlign w:val="center"/>
          </w:tcPr>
          <w:p w14:paraId="18A0DC97">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68610C36">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50AEA3C9">
            <w:pPr>
              <w:pStyle w:val="3"/>
              <w:bidi w:val="0"/>
              <w:ind w:firstLine="0" w:firstLineChars="0"/>
              <w:rPr>
                <w:color w:val="auto"/>
                <w:kern w:val="0"/>
              </w:rPr>
            </w:pPr>
            <w:r>
              <w:rPr>
                <w:rFonts w:hint="default" w:ascii="Times New Roman" w:hAnsi="Times New Roman" w:cs="Times New Roman"/>
                <w:color w:val="auto"/>
                <w:lang w:val="en-US" w:eastAsia="zh-CN"/>
              </w:rPr>
              <w:t>0.02t/a</w:t>
            </w:r>
          </w:p>
        </w:tc>
        <w:tc>
          <w:tcPr>
            <w:tcW w:w="826" w:type="dxa"/>
            <w:vAlign w:val="center"/>
          </w:tcPr>
          <w:p w14:paraId="0D1FB98E">
            <w:pPr>
              <w:pStyle w:val="3"/>
              <w:bidi w:val="0"/>
              <w:rPr>
                <w:color w:val="auto"/>
              </w:rPr>
            </w:pPr>
            <w:r>
              <w:rPr>
                <w:rFonts w:hint="eastAsia"/>
                <w:color w:val="auto"/>
                <w:lang w:val="en-US" w:eastAsia="zh-CN"/>
              </w:rPr>
              <w:t>/</w:t>
            </w:r>
          </w:p>
        </w:tc>
      </w:tr>
      <w:tr w14:paraId="0169DA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4AF1E4E1">
            <w:pPr>
              <w:pStyle w:val="3"/>
              <w:rPr>
                <w:color w:val="auto"/>
                <w:kern w:val="0"/>
              </w:rPr>
            </w:pPr>
          </w:p>
        </w:tc>
        <w:tc>
          <w:tcPr>
            <w:tcW w:w="1417" w:type="dxa"/>
            <w:vAlign w:val="center"/>
          </w:tcPr>
          <w:p w14:paraId="0A6992DC">
            <w:pPr>
              <w:pStyle w:val="3"/>
              <w:bidi w:val="0"/>
              <w:rPr>
                <w:rFonts w:hint="eastAsia"/>
                <w:color w:val="auto"/>
                <w:highlight w:val="none"/>
                <w:lang w:eastAsia="zh-CN"/>
              </w:rPr>
            </w:pPr>
            <w:r>
              <w:rPr>
                <w:rFonts w:hint="default"/>
                <w:color w:val="auto"/>
                <w:highlight w:val="none"/>
                <w:lang w:val="en-US" w:eastAsia="zh-CN"/>
              </w:rPr>
              <w:t>除尘器收集粉尘</w:t>
            </w:r>
          </w:p>
        </w:tc>
        <w:tc>
          <w:tcPr>
            <w:tcW w:w="1701" w:type="dxa"/>
            <w:vAlign w:val="center"/>
          </w:tcPr>
          <w:p w14:paraId="5E900459">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787.2t/a</w:t>
            </w:r>
          </w:p>
        </w:tc>
        <w:tc>
          <w:tcPr>
            <w:tcW w:w="1276" w:type="dxa"/>
            <w:vAlign w:val="center"/>
          </w:tcPr>
          <w:p w14:paraId="77E0D644">
            <w:pPr>
              <w:pStyle w:val="3"/>
              <w:rPr>
                <w:rFonts w:hint="default" w:ascii="Times New Roman" w:hAnsi="Times New Roman" w:cs="Times New Roman"/>
                <w:color w:val="auto"/>
                <w:kern w:val="0"/>
              </w:rPr>
            </w:pPr>
          </w:p>
        </w:tc>
        <w:tc>
          <w:tcPr>
            <w:tcW w:w="1701" w:type="dxa"/>
            <w:vAlign w:val="center"/>
          </w:tcPr>
          <w:p w14:paraId="3B2B12D8">
            <w:pPr>
              <w:pStyle w:val="3"/>
              <w:rPr>
                <w:rFonts w:hint="default" w:ascii="Times New Roman" w:hAnsi="Times New Roman" w:cs="Times New Roman"/>
                <w:color w:val="auto"/>
                <w:kern w:val="0"/>
              </w:rPr>
            </w:pPr>
          </w:p>
        </w:tc>
        <w:tc>
          <w:tcPr>
            <w:tcW w:w="1559" w:type="dxa"/>
            <w:vAlign w:val="center"/>
          </w:tcPr>
          <w:p w14:paraId="1539AA3C">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33.77t/a</w:t>
            </w:r>
          </w:p>
        </w:tc>
        <w:tc>
          <w:tcPr>
            <w:tcW w:w="1761" w:type="dxa"/>
            <w:vAlign w:val="center"/>
          </w:tcPr>
          <w:p w14:paraId="7A815CD9">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086AEE85">
            <w:pPr>
              <w:pStyle w:val="3"/>
              <w:bidi w:val="0"/>
              <w:ind w:firstLine="0" w:firstLineChars="0"/>
              <w:rPr>
                <w:rFonts w:hint="default" w:eastAsia="宋体"/>
                <w:color w:val="auto"/>
                <w:kern w:val="0"/>
                <w:lang w:val="en-US" w:eastAsia="zh-CN"/>
              </w:rPr>
            </w:pPr>
            <w:r>
              <w:rPr>
                <w:rFonts w:hint="default" w:ascii="Times New Roman" w:hAnsi="Times New Roman" w:eastAsia="宋体" w:cs="Times New Roman"/>
                <w:color w:val="auto"/>
                <w:kern w:val="0"/>
                <w:lang w:val="en-US" w:eastAsia="zh-CN"/>
              </w:rPr>
              <w:t>820.97t/a</w:t>
            </w:r>
          </w:p>
        </w:tc>
        <w:tc>
          <w:tcPr>
            <w:tcW w:w="826" w:type="dxa"/>
            <w:vAlign w:val="center"/>
          </w:tcPr>
          <w:p w14:paraId="51AF96F9">
            <w:pPr>
              <w:pStyle w:val="3"/>
              <w:bidi w:val="0"/>
              <w:ind w:firstLine="0" w:firstLineChars="0"/>
              <w:rPr>
                <w:rFonts w:hint="eastAsia" w:eastAsia="宋体"/>
                <w:color w:val="auto"/>
                <w:kern w:val="0"/>
                <w:lang w:val="en-US" w:eastAsia="zh-CN"/>
              </w:rPr>
            </w:pPr>
            <w:r>
              <w:rPr>
                <w:rFonts w:hint="eastAsia" w:eastAsia="宋体"/>
                <w:color w:val="auto"/>
                <w:kern w:val="0"/>
                <w:lang w:val="en-US" w:eastAsia="zh-CN"/>
              </w:rPr>
              <w:t>/</w:t>
            </w:r>
          </w:p>
        </w:tc>
      </w:tr>
      <w:tr w14:paraId="1FC047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0D07F15B">
            <w:pPr>
              <w:pStyle w:val="3"/>
              <w:rPr>
                <w:color w:val="auto"/>
                <w:kern w:val="0"/>
              </w:rPr>
            </w:pPr>
          </w:p>
        </w:tc>
        <w:tc>
          <w:tcPr>
            <w:tcW w:w="1417" w:type="dxa"/>
            <w:vAlign w:val="center"/>
          </w:tcPr>
          <w:p w14:paraId="46C5F88D">
            <w:pPr>
              <w:pStyle w:val="3"/>
              <w:bidi w:val="0"/>
              <w:rPr>
                <w:rFonts w:hint="eastAsia"/>
                <w:color w:val="auto"/>
                <w:highlight w:val="none"/>
                <w:lang w:eastAsia="zh-CN"/>
              </w:rPr>
            </w:pPr>
            <w:r>
              <w:rPr>
                <w:rFonts w:hint="default"/>
                <w:color w:val="auto"/>
                <w:highlight w:val="none"/>
                <w:lang w:val="en-US" w:eastAsia="zh-CN"/>
              </w:rPr>
              <w:t>废分子筛</w:t>
            </w:r>
          </w:p>
        </w:tc>
        <w:tc>
          <w:tcPr>
            <w:tcW w:w="1701" w:type="dxa"/>
            <w:vAlign w:val="center"/>
          </w:tcPr>
          <w:p w14:paraId="66687134">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0.3t/a</w:t>
            </w:r>
          </w:p>
        </w:tc>
        <w:tc>
          <w:tcPr>
            <w:tcW w:w="1276" w:type="dxa"/>
            <w:vAlign w:val="center"/>
          </w:tcPr>
          <w:p w14:paraId="7D8F71C7">
            <w:pPr>
              <w:pStyle w:val="3"/>
              <w:rPr>
                <w:color w:val="auto"/>
                <w:kern w:val="0"/>
              </w:rPr>
            </w:pPr>
          </w:p>
        </w:tc>
        <w:tc>
          <w:tcPr>
            <w:tcW w:w="1701" w:type="dxa"/>
            <w:vAlign w:val="center"/>
          </w:tcPr>
          <w:p w14:paraId="0DAD8010">
            <w:pPr>
              <w:pStyle w:val="3"/>
              <w:rPr>
                <w:color w:val="auto"/>
                <w:kern w:val="0"/>
              </w:rPr>
            </w:pPr>
          </w:p>
        </w:tc>
        <w:tc>
          <w:tcPr>
            <w:tcW w:w="1559" w:type="dxa"/>
            <w:vAlign w:val="center"/>
          </w:tcPr>
          <w:p w14:paraId="78FA3BDB">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7FF25B2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089C5530">
            <w:pPr>
              <w:pStyle w:val="3"/>
              <w:bidi w:val="0"/>
              <w:ind w:firstLine="0" w:firstLineChars="0"/>
              <w:rPr>
                <w:color w:val="auto"/>
                <w:kern w:val="0"/>
              </w:rPr>
            </w:pPr>
            <w:r>
              <w:rPr>
                <w:rFonts w:hint="default" w:ascii="Times New Roman" w:hAnsi="Times New Roman" w:cs="Times New Roman"/>
                <w:color w:val="auto"/>
                <w:lang w:val="en-US" w:eastAsia="zh-CN"/>
              </w:rPr>
              <w:t>0.3t/a</w:t>
            </w:r>
          </w:p>
        </w:tc>
        <w:tc>
          <w:tcPr>
            <w:tcW w:w="826" w:type="dxa"/>
            <w:vAlign w:val="center"/>
          </w:tcPr>
          <w:p w14:paraId="5CF490A7">
            <w:pPr>
              <w:pStyle w:val="3"/>
              <w:bidi w:val="0"/>
              <w:rPr>
                <w:color w:val="auto"/>
              </w:rPr>
            </w:pPr>
            <w:r>
              <w:rPr>
                <w:rFonts w:hint="eastAsia"/>
                <w:color w:val="auto"/>
                <w:lang w:val="en-US" w:eastAsia="zh-CN"/>
              </w:rPr>
              <w:t>/</w:t>
            </w:r>
          </w:p>
        </w:tc>
      </w:tr>
      <w:tr w14:paraId="16F90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CA1D3F5">
            <w:pPr>
              <w:pStyle w:val="3"/>
              <w:rPr>
                <w:color w:val="auto"/>
                <w:kern w:val="0"/>
              </w:rPr>
            </w:pPr>
          </w:p>
        </w:tc>
        <w:tc>
          <w:tcPr>
            <w:tcW w:w="1417" w:type="dxa"/>
            <w:vAlign w:val="center"/>
          </w:tcPr>
          <w:p w14:paraId="314D1435">
            <w:pPr>
              <w:pStyle w:val="3"/>
              <w:bidi w:val="0"/>
              <w:rPr>
                <w:rFonts w:hint="eastAsia"/>
                <w:color w:val="auto"/>
                <w:highlight w:val="none"/>
                <w:lang w:eastAsia="zh-CN"/>
              </w:rPr>
            </w:pPr>
            <w:r>
              <w:rPr>
                <w:rFonts w:hint="eastAsia"/>
                <w:color w:val="auto"/>
                <w:highlight w:val="none"/>
                <w:lang w:eastAsia="zh-CN"/>
              </w:rPr>
              <w:t>污泥</w:t>
            </w:r>
          </w:p>
        </w:tc>
        <w:tc>
          <w:tcPr>
            <w:tcW w:w="1701" w:type="dxa"/>
            <w:vAlign w:val="center"/>
          </w:tcPr>
          <w:p w14:paraId="5A02B56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450t/a</w:t>
            </w:r>
          </w:p>
        </w:tc>
        <w:tc>
          <w:tcPr>
            <w:tcW w:w="1276" w:type="dxa"/>
            <w:vAlign w:val="center"/>
          </w:tcPr>
          <w:p w14:paraId="675011AC">
            <w:pPr>
              <w:pStyle w:val="3"/>
              <w:rPr>
                <w:color w:val="auto"/>
                <w:kern w:val="0"/>
              </w:rPr>
            </w:pPr>
          </w:p>
        </w:tc>
        <w:tc>
          <w:tcPr>
            <w:tcW w:w="1701" w:type="dxa"/>
            <w:vAlign w:val="center"/>
          </w:tcPr>
          <w:p w14:paraId="461CF848">
            <w:pPr>
              <w:pStyle w:val="3"/>
              <w:rPr>
                <w:color w:val="auto"/>
                <w:kern w:val="0"/>
              </w:rPr>
            </w:pPr>
          </w:p>
        </w:tc>
        <w:tc>
          <w:tcPr>
            <w:tcW w:w="1559" w:type="dxa"/>
            <w:vAlign w:val="center"/>
          </w:tcPr>
          <w:p w14:paraId="7326626C">
            <w:pPr>
              <w:pStyle w:val="3"/>
              <w:bidi w:val="0"/>
              <w:rPr>
                <w:rFonts w:hint="default"/>
                <w:color w:val="auto"/>
                <w:lang w:val="en-US" w:eastAsia="zh-CN"/>
              </w:rPr>
            </w:pPr>
            <w:r>
              <w:rPr>
                <w:rFonts w:hint="eastAsia"/>
                <w:color w:val="auto"/>
                <w:lang w:val="en-US" w:eastAsia="zh-CN"/>
              </w:rPr>
              <w:t xml:space="preserve">202.40 </w:t>
            </w:r>
          </w:p>
        </w:tc>
        <w:tc>
          <w:tcPr>
            <w:tcW w:w="1761" w:type="dxa"/>
            <w:vAlign w:val="center"/>
          </w:tcPr>
          <w:p w14:paraId="31FD548E">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18A52450">
            <w:pPr>
              <w:pStyle w:val="3"/>
              <w:bidi w:val="0"/>
              <w:ind w:firstLine="0" w:firstLineChars="0"/>
              <w:rPr>
                <w:color w:val="auto"/>
                <w:kern w:val="0"/>
              </w:rPr>
            </w:pPr>
            <w:r>
              <w:rPr>
                <w:rFonts w:hint="default" w:ascii="Times New Roman" w:hAnsi="Times New Roman" w:cs="Times New Roman"/>
                <w:color w:val="auto"/>
                <w:lang w:val="en-US" w:eastAsia="zh-CN"/>
              </w:rPr>
              <w:t>450t/a</w:t>
            </w:r>
          </w:p>
        </w:tc>
        <w:tc>
          <w:tcPr>
            <w:tcW w:w="826" w:type="dxa"/>
            <w:vAlign w:val="center"/>
          </w:tcPr>
          <w:p w14:paraId="06F76215">
            <w:pPr>
              <w:pStyle w:val="3"/>
              <w:bidi w:val="0"/>
              <w:rPr>
                <w:color w:val="auto"/>
              </w:rPr>
            </w:pPr>
            <w:r>
              <w:rPr>
                <w:rFonts w:hint="eastAsia"/>
                <w:color w:val="auto"/>
                <w:lang w:val="en-US" w:eastAsia="zh-CN"/>
              </w:rPr>
              <w:t>/</w:t>
            </w:r>
          </w:p>
        </w:tc>
      </w:tr>
      <w:tr w14:paraId="254456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88" w:type="dxa"/>
            <w:vMerge w:val="restart"/>
            <w:vAlign w:val="center"/>
          </w:tcPr>
          <w:p w14:paraId="28776E06">
            <w:pPr>
              <w:pStyle w:val="3"/>
              <w:rPr>
                <w:rFonts w:hint="eastAsia" w:eastAsia="宋体"/>
                <w:color w:val="auto"/>
                <w:kern w:val="0"/>
                <w:lang w:eastAsia="zh-CN"/>
              </w:rPr>
            </w:pPr>
            <w:r>
              <w:rPr>
                <w:rFonts w:hint="eastAsia" w:eastAsia="宋体"/>
                <w:color w:val="auto"/>
                <w:kern w:val="0"/>
                <w:lang w:eastAsia="zh-CN"/>
              </w:rPr>
              <w:t>危险废物</w:t>
            </w:r>
          </w:p>
        </w:tc>
        <w:tc>
          <w:tcPr>
            <w:tcW w:w="1417" w:type="dxa"/>
            <w:vAlign w:val="center"/>
          </w:tcPr>
          <w:p w14:paraId="6D9DA4C1">
            <w:pPr>
              <w:pStyle w:val="3"/>
              <w:bidi w:val="0"/>
              <w:rPr>
                <w:rFonts w:hint="eastAsia"/>
                <w:color w:val="auto"/>
                <w:highlight w:val="none"/>
                <w:lang w:eastAsia="zh-CN"/>
              </w:rPr>
            </w:pPr>
            <w:r>
              <w:rPr>
                <w:rFonts w:hint="default"/>
                <w:color w:val="auto"/>
                <w:highlight w:val="none"/>
                <w:lang w:val="en-US" w:eastAsia="zh-CN"/>
              </w:rPr>
              <w:t>废油漆桶</w:t>
            </w:r>
          </w:p>
        </w:tc>
        <w:tc>
          <w:tcPr>
            <w:tcW w:w="1701" w:type="dxa"/>
            <w:vAlign w:val="center"/>
          </w:tcPr>
          <w:p w14:paraId="6B8C78D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0.7t/a</w:t>
            </w:r>
          </w:p>
        </w:tc>
        <w:tc>
          <w:tcPr>
            <w:tcW w:w="1276" w:type="dxa"/>
            <w:vAlign w:val="center"/>
          </w:tcPr>
          <w:p w14:paraId="3FA2701B">
            <w:pPr>
              <w:pStyle w:val="3"/>
              <w:rPr>
                <w:color w:val="auto"/>
                <w:kern w:val="0"/>
              </w:rPr>
            </w:pPr>
          </w:p>
        </w:tc>
        <w:tc>
          <w:tcPr>
            <w:tcW w:w="1701" w:type="dxa"/>
            <w:vAlign w:val="center"/>
          </w:tcPr>
          <w:p w14:paraId="720CC3D0">
            <w:pPr>
              <w:pStyle w:val="3"/>
              <w:rPr>
                <w:color w:val="auto"/>
                <w:kern w:val="0"/>
              </w:rPr>
            </w:pPr>
          </w:p>
        </w:tc>
        <w:tc>
          <w:tcPr>
            <w:tcW w:w="1559" w:type="dxa"/>
            <w:vAlign w:val="center"/>
          </w:tcPr>
          <w:p w14:paraId="4736357E">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1B8996F5">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69B7660E">
            <w:pPr>
              <w:pStyle w:val="3"/>
              <w:bidi w:val="0"/>
              <w:ind w:firstLine="0" w:firstLineChars="0"/>
              <w:rPr>
                <w:color w:val="auto"/>
                <w:kern w:val="0"/>
              </w:rPr>
            </w:pPr>
            <w:r>
              <w:rPr>
                <w:rFonts w:hint="default" w:ascii="Times New Roman" w:hAnsi="Times New Roman" w:cs="Times New Roman"/>
                <w:color w:val="auto"/>
                <w:lang w:val="en-US" w:eastAsia="zh-CN"/>
              </w:rPr>
              <w:t>0.7t/a</w:t>
            </w:r>
          </w:p>
        </w:tc>
        <w:tc>
          <w:tcPr>
            <w:tcW w:w="826" w:type="dxa"/>
            <w:vAlign w:val="center"/>
          </w:tcPr>
          <w:p w14:paraId="5D8A5DEF">
            <w:pPr>
              <w:pStyle w:val="3"/>
              <w:bidi w:val="0"/>
              <w:rPr>
                <w:color w:val="auto"/>
              </w:rPr>
            </w:pPr>
            <w:r>
              <w:rPr>
                <w:rFonts w:hint="eastAsia"/>
                <w:color w:val="auto"/>
                <w:lang w:val="en-US" w:eastAsia="zh-CN"/>
              </w:rPr>
              <w:t>/</w:t>
            </w:r>
          </w:p>
        </w:tc>
      </w:tr>
      <w:tr w14:paraId="743DB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88" w:type="dxa"/>
            <w:vMerge w:val="continue"/>
            <w:vAlign w:val="center"/>
          </w:tcPr>
          <w:p w14:paraId="7E765B52">
            <w:pPr>
              <w:pStyle w:val="3"/>
              <w:rPr>
                <w:rFonts w:hint="eastAsia"/>
                <w:color w:val="auto"/>
                <w:kern w:val="0"/>
              </w:rPr>
            </w:pPr>
          </w:p>
        </w:tc>
        <w:tc>
          <w:tcPr>
            <w:tcW w:w="1417" w:type="dxa"/>
            <w:vAlign w:val="center"/>
          </w:tcPr>
          <w:p w14:paraId="6CEB1E9C">
            <w:pPr>
              <w:pStyle w:val="3"/>
              <w:bidi w:val="0"/>
              <w:rPr>
                <w:rFonts w:hint="eastAsia"/>
                <w:color w:val="auto"/>
                <w:highlight w:val="none"/>
                <w:lang w:eastAsia="zh-CN"/>
              </w:rPr>
            </w:pPr>
            <w:r>
              <w:rPr>
                <w:rFonts w:hint="default"/>
                <w:color w:val="auto"/>
                <w:highlight w:val="none"/>
                <w:lang w:val="en-US" w:eastAsia="zh-CN"/>
              </w:rPr>
              <w:t>废化学品瓶</w:t>
            </w:r>
          </w:p>
        </w:tc>
        <w:tc>
          <w:tcPr>
            <w:tcW w:w="1701" w:type="dxa"/>
            <w:vAlign w:val="center"/>
          </w:tcPr>
          <w:p w14:paraId="385BCC1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0.5t/a</w:t>
            </w:r>
          </w:p>
        </w:tc>
        <w:tc>
          <w:tcPr>
            <w:tcW w:w="1276" w:type="dxa"/>
            <w:vAlign w:val="center"/>
          </w:tcPr>
          <w:p w14:paraId="4F00887A">
            <w:pPr>
              <w:pStyle w:val="3"/>
              <w:rPr>
                <w:color w:val="auto"/>
                <w:kern w:val="0"/>
              </w:rPr>
            </w:pPr>
          </w:p>
        </w:tc>
        <w:tc>
          <w:tcPr>
            <w:tcW w:w="1701" w:type="dxa"/>
            <w:vAlign w:val="center"/>
          </w:tcPr>
          <w:p w14:paraId="66243816">
            <w:pPr>
              <w:pStyle w:val="3"/>
              <w:rPr>
                <w:color w:val="auto"/>
                <w:kern w:val="0"/>
              </w:rPr>
            </w:pPr>
          </w:p>
        </w:tc>
        <w:tc>
          <w:tcPr>
            <w:tcW w:w="1559" w:type="dxa"/>
            <w:vAlign w:val="center"/>
          </w:tcPr>
          <w:p w14:paraId="5D3EC072">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56539C11">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959" w:type="dxa"/>
            <w:vAlign w:val="center"/>
          </w:tcPr>
          <w:p w14:paraId="39531DDE">
            <w:pPr>
              <w:pStyle w:val="3"/>
              <w:bidi w:val="0"/>
              <w:ind w:firstLine="0" w:firstLineChars="0"/>
              <w:rPr>
                <w:rFonts w:hint="eastAsia" w:eastAsia="宋体"/>
                <w:color w:val="auto"/>
                <w:kern w:val="0"/>
                <w:lang w:val="en-US" w:eastAsia="zh-CN"/>
              </w:rPr>
            </w:pPr>
            <w:r>
              <w:rPr>
                <w:rFonts w:hint="default" w:ascii="Times New Roman" w:hAnsi="Times New Roman" w:cs="Times New Roman"/>
                <w:color w:val="auto"/>
                <w:lang w:val="en-US" w:eastAsia="zh-CN"/>
              </w:rPr>
              <w:t>0.5t/a</w:t>
            </w:r>
          </w:p>
        </w:tc>
        <w:tc>
          <w:tcPr>
            <w:tcW w:w="826" w:type="dxa"/>
            <w:vAlign w:val="center"/>
          </w:tcPr>
          <w:p w14:paraId="63532B8D">
            <w:pPr>
              <w:pStyle w:val="3"/>
              <w:bidi w:val="0"/>
              <w:rPr>
                <w:rFonts w:hint="eastAsia"/>
                <w:color w:val="auto"/>
                <w:lang w:val="en-US" w:eastAsia="zh-CN"/>
              </w:rPr>
            </w:pPr>
            <w:r>
              <w:rPr>
                <w:rFonts w:hint="eastAsia"/>
                <w:color w:val="auto"/>
                <w:lang w:val="en-US" w:eastAsia="zh-CN"/>
              </w:rPr>
              <w:t>/</w:t>
            </w:r>
          </w:p>
        </w:tc>
      </w:tr>
      <w:tr w14:paraId="7F051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88" w:type="dxa"/>
            <w:vMerge w:val="continue"/>
            <w:vAlign w:val="center"/>
          </w:tcPr>
          <w:p w14:paraId="69CEFB16">
            <w:pPr>
              <w:pStyle w:val="3"/>
              <w:rPr>
                <w:rFonts w:hint="eastAsia"/>
                <w:color w:val="auto"/>
                <w:kern w:val="0"/>
              </w:rPr>
            </w:pPr>
          </w:p>
        </w:tc>
        <w:tc>
          <w:tcPr>
            <w:tcW w:w="1417" w:type="dxa"/>
            <w:vAlign w:val="center"/>
          </w:tcPr>
          <w:p w14:paraId="5FBA159D">
            <w:pPr>
              <w:pStyle w:val="3"/>
              <w:bidi w:val="0"/>
              <w:rPr>
                <w:rFonts w:hint="eastAsia"/>
                <w:color w:val="auto"/>
                <w:highlight w:val="none"/>
                <w:lang w:eastAsia="zh-CN"/>
              </w:rPr>
            </w:pPr>
            <w:r>
              <w:rPr>
                <w:rFonts w:hint="default"/>
                <w:color w:val="auto"/>
                <w:highlight w:val="none"/>
                <w:lang w:val="en-US" w:eastAsia="zh-CN"/>
              </w:rPr>
              <w:t>废蓄电池</w:t>
            </w:r>
          </w:p>
        </w:tc>
        <w:tc>
          <w:tcPr>
            <w:tcW w:w="1701" w:type="dxa"/>
            <w:vAlign w:val="center"/>
          </w:tcPr>
          <w:p w14:paraId="577A172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0.3t/a</w:t>
            </w:r>
          </w:p>
        </w:tc>
        <w:tc>
          <w:tcPr>
            <w:tcW w:w="1276" w:type="dxa"/>
            <w:vAlign w:val="center"/>
          </w:tcPr>
          <w:p w14:paraId="29C5305B">
            <w:pPr>
              <w:pStyle w:val="3"/>
              <w:rPr>
                <w:color w:val="auto"/>
                <w:kern w:val="0"/>
              </w:rPr>
            </w:pPr>
          </w:p>
        </w:tc>
        <w:tc>
          <w:tcPr>
            <w:tcW w:w="1701" w:type="dxa"/>
            <w:vAlign w:val="center"/>
          </w:tcPr>
          <w:p w14:paraId="4E1340E6">
            <w:pPr>
              <w:pStyle w:val="3"/>
              <w:rPr>
                <w:color w:val="auto"/>
                <w:kern w:val="0"/>
              </w:rPr>
            </w:pPr>
          </w:p>
        </w:tc>
        <w:tc>
          <w:tcPr>
            <w:tcW w:w="1559" w:type="dxa"/>
            <w:vAlign w:val="center"/>
          </w:tcPr>
          <w:p w14:paraId="045CB2B5">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446DB74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7EA0E133">
            <w:pPr>
              <w:pStyle w:val="3"/>
              <w:bidi w:val="0"/>
              <w:ind w:firstLine="0" w:firstLineChars="0"/>
              <w:rPr>
                <w:rFonts w:hint="default" w:eastAsia="宋体"/>
                <w:color w:val="auto"/>
                <w:kern w:val="0"/>
                <w:lang w:val="en-US" w:eastAsia="zh-CN"/>
              </w:rPr>
            </w:pPr>
            <w:r>
              <w:rPr>
                <w:rFonts w:hint="default" w:ascii="Times New Roman" w:hAnsi="Times New Roman" w:cs="Times New Roman"/>
                <w:color w:val="auto"/>
                <w:lang w:val="en-US" w:eastAsia="zh-CN"/>
              </w:rPr>
              <w:t>0.3t/a</w:t>
            </w:r>
          </w:p>
        </w:tc>
        <w:tc>
          <w:tcPr>
            <w:tcW w:w="826" w:type="dxa"/>
            <w:vAlign w:val="center"/>
          </w:tcPr>
          <w:p w14:paraId="1DE5E012">
            <w:pPr>
              <w:pStyle w:val="3"/>
              <w:bidi w:val="0"/>
              <w:rPr>
                <w:color w:val="auto"/>
              </w:rPr>
            </w:pPr>
            <w:r>
              <w:rPr>
                <w:rFonts w:hint="eastAsia"/>
                <w:color w:val="auto"/>
                <w:lang w:val="en-US" w:eastAsia="zh-CN"/>
              </w:rPr>
              <w:t>/</w:t>
            </w:r>
          </w:p>
        </w:tc>
      </w:tr>
      <w:tr w14:paraId="631E84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88" w:type="dxa"/>
            <w:vMerge w:val="continue"/>
            <w:vAlign w:val="center"/>
          </w:tcPr>
          <w:p w14:paraId="64BED1A2">
            <w:pPr>
              <w:pStyle w:val="3"/>
              <w:rPr>
                <w:rFonts w:hint="eastAsia"/>
                <w:color w:val="auto"/>
                <w:kern w:val="0"/>
              </w:rPr>
            </w:pPr>
          </w:p>
        </w:tc>
        <w:tc>
          <w:tcPr>
            <w:tcW w:w="1417" w:type="dxa"/>
            <w:vAlign w:val="center"/>
          </w:tcPr>
          <w:p w14:paraId="77246BA3">
            <w:pPr>
              <w:pStyle w:val="3"/>
              <w:bidi w:val="0"/>
              <w:rPr>
                <w:rFonts w:hint="default"/>
                <w:color w:val="auto"/>
                <w:highlight w:val="none"/>
                <w:lang w:val="en-US" w:eastAsia="zh-CN"/>
              </w:rPr>
            </w:pPr>
            <w:r>
              <w:rPr>
                <w:rFonts w:hint="default"/>
                <w:color w:val="auto"/>
                <w:highlight w:val="none"/>
                <w:lang w:val="en-US" w:eastAsia="zh-CN"/>
              </w:rPr>
              <w:t>实验室废液</w:t>
            </w:r>
          </w:p>
        </w:tc>
        <w:tc>
          <w:tcPr>
            <w:tcW w:w="1701" w:type="dxa"/>
            <w:vAlign w:val="center"/>
          </w:tcPr>
          <w:p w14:paraId="138396BD">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1.0t/a</w:t>
            </w:r>
          </w:p>
        </w:tc>
        <w:tc>
          <w:tcPr>
            <w:tcW w:w="1276" w:type="dxa"/>
            <w:vAlign w:val="center"/>
          </w:tcPr>
          <w:p w14:paraId="5CDF9035">
            <w:pPr>
              <w:pStyle w:val="3"/>
              <w:rPr>
                <w:color w:val="auto"/>
                <w:kern w:val="0"/>
              </w:rPr>
            </w:pPr>
          </w:p>
        </w:tc>
        <w:tc>
          <w:tcPr>
            <w:tcW w:w="1701" w:type="dxa"/>
            <w:vAlign w:val="center"/>
          </w:tcPr>
          <w:p w14:paraId="155BC98D">
            <w:pPr>
              <w:pStyle w:val="3"/>
              <w:rPr>
                <w:color w:val="auto"/>
                <w:kern w:val="0"/>
              </w:rPr>
            </w:pPr>
          </w:p>
        </w:tc>
        <w:tc>
          <w:tcPr>
            <w:tcW w:w="1559" w:type="dxa"/>
            <w:vAlign w:val="center"/>
          </w:tcPr>
          <w:p w14:paraId="539E1635">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04BC6838">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0t/a</w:t>
            </w:r>
          </w:p>
        </w:tc>
        <w:tc>
          <w:tcPr>
            <w:tcW w:w="1959" w:type="dxa"/>
            <w:vAlign w:val="center"/>
          </w:tcPr>
          <w:p w14:paraId="62DD5775">
            <w:pPr>
              <w:pStyle w:val="3"/>
              <w:bidi w:val="0"/>
              <w:ind w:firstLine="0" w:firstLineChars="0"/>
              <w:rPr>
                <w:rFonts w:hint="default" w:eastAsia="宋体"/>
                <w:color w:val="auto"/>
                <w:kern w:val="0"/>
                <w:lang w:val="en-US" w:eastAsia="zh-CN"/>
              </w:rPr>
            </w:pPr>
            <w:r>
              <w:rPr>
                <w:rFonts w:hint="default" w:ascii="Times New Roman" w:hAnsi="Times New Roman" w:cs="Times New Roman"/>
                <w:color w:val="auto"/>
                <w:lang w:val="en-US" w:eastAsia="zh-CN"/>
              </w:rPr>
              <w:t>1.0t/a</w:t>
            </w:r>
          </w:p>
        </w:tc>
        <w:tc>
          <w:tcPr>
            <w:tcW w:w="826" w:type="dxa"/>
            <w:vAlign w:val="center"/>
          </w:tcPr>
          <w:p w14:paraId="117A03D2">
            <w:pPr>
              <w:pStyle w:val="3"/>
              <w:bidi w:val="0"/>
              <w:rPr>
                <w:rFonts w:hint="eastAsia"/>
                <w:color w:val="auto"/>
                <w:lang w:val="en-US" w:eastAsia="zh-CN"/>
              </w:rPr>
            </w:pPr>
            <w:r>
              <w:rPr>
                <w:rFonts w:hint="eastAsia"/>
                <w:color w:val="auto"/>
                <w:lang w:val="en-US" w:eastAsia="zh-CN"/>
              </w:rPr>
              <w:t>/</w:t>
            </w:r>
          </w:p>
        </w:tc>
      </w:tr>
      <w:tr w14:paraId="3CC22F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88" w:type="dxa"/>
            <w:vMerge w:val="continue"/>
            <w:vAlign w:val="center"/>
          </w:tcPr>
          <w:p w14:paraId="319E6492">
            <w:pPr>
              <w:pStyle w:val="3"/>
              <w:rPr>
                <w:rFonts w:hint="eastAsia"/>
                <w:color w:val="auto"/>
                <w:kern w:val="0"/>
              </w:rPr>
            </w:pPr>
          </w:p>
        </w:tc>
        <w:tc>
          <w:tcPr>
            <w:tcW w:w="1417" w:type="dxa"/>
            <w:shd w:val="clear" w:color="auto" w:fill="auto"/>
            <w:vAlign w:val="center"/>
          </w:tcPr>
          <w:p w14:paraId="00195551">
            <w:pPr>
              <w:pStyle w:val="3"/>
              <w:bidi w:val="0"/>
              <w:rPr>
                <w:rFonts w:hint="eastAsia"/>
                <w:color w:val="auto"/>
                <w:highlight w:val="none"/>
                <w:lang w:val="en-US" w:eastAsia="zh-CN"/>
              </w:rPr>
            </w:pPr>
            <w:r>
              <w:rPr>
                <w:rFonts w:hint="default"/>
                <w:color w:val="auto"/>
                <w:highlight w:val="none"/>
                <w:lang w:val="en-US" w:eastAsia="zh-CN"/>
              </w:rPr>
              <w:t>废包装桶</w:t>
            </w:r>
          </w:p>
        </w:tc>
        <w:tc>
          <w:tcPr>
            <w:tcW w:w="1701" w:type="dxa"/>
            <w:shd w:val="clear" w:color="auto" w:fill="auto"/>
            <w:vAlign w:val="center"/>
          </w:tcPr>
          <w:p w14:paraId="6AE07B6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0.1t/a</w:t>
            </w:r>
          </w:p>
        </w:tc>
        <w:tc>
          <w:tcPr>
            <w:tcW w:w="1276" w:type="dxa"/>
            <w:vAlign w:val="center"/>
          </w:tcPr>
          <w:p w14:paraId="39CC94F1">
            <w:pPr>
              <w:pStyle w:val="3"/>
              <w:rPr>
                <w:color w:val="auto"/>
                <w:kern w:val="0"/>
              </w:rPr>
            </w:pPr>
          </w:p>
        </w:tc>
        <w:tc>
          <w:tcPr>
            <w:tcW w:w="1701" w:type="dxa"/>
            <w:vAlign w:val="center"/>
          </w:tcPr>
          <w:p w14:paraId="150FD091">
            <w:pPr>
              <w:pStyle w:val="3"/>
              <w:rPr>
                <w:color w:val="auto"/>
                <w:kern w:val="0"/>
              </w:rPr>
            </w:pPr>
          </w:p>
        </w:tc>
        <w:tc>
          <w:tcPr>
            <w:tcW w:w="1559" w:type="dxa"/>
            <w:vAlign w:val="center"/>
          </w:tcPr>
          <w:p w14:paraId="429DF406">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p>
        </w:tc>
        <w:tc>
          <w:tcPr>
            <w:tcW w:w="1761" w:type="dxa"/>
            <w:vAlign w:val="center"/>
          </w:tcPr>
          <w:p w14:paraId="16723701">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4F87DBD9">
            <w:pPr>
              <w:pStyle w:val="3"/>
              <w:bidi w:val="0"/>
              <w:ind w:firstLine="0" w:firstLineChars="0"/>
              <w:rPr>
                <w:rFonts w:hint="default" w:eastAsia="宋体"/>
                <w:color w:val="auto"/>
                <w:kern w:val="0"/>
                <w:lang w:val="en-US" w:eastAsia="zh-CN"/>
              </w:rPr>
            </w:pPr>
            <w:r>
              <w:rPr>
                <w:rFonts w:hint="default" w:ascii="Times New Roman" w:hAnsi="Times New Roman" w:cs="Times New Roman"/>
                <w:color w:val="auto"/>
                <w:lang w:val="en-US" w:eastAsia="zh-CN"/>
              </w:rPr>
              <w:t>0.1t/a</w:t>
            </w:r>
          </w:p>
        </w:tc>
        <w:tc>
          <w:tcPr>
            <w:tcW w:w="826" w:type="dxa"/>
            <w:vAlign w:val="center"/>
          </w:tcPr>
          <w:p w14:paraId="5BA70E07">
            <w:pPr>
              <w:pStyle w:val="3"/>
              <w:bidi w:val="0"/>
              <w:rPr>
                <w:color w:val="auto"/>
              </w:rPr>
            </w:pPr>
            <w:r>
              <w:rPr>
                <w:rFonts w:hint="eastAsia"/>
                <w:color w:val="auto"/>
                <w:lang w:val="en-US" w:eastAsia="zh-CN"/>
              </w:rPr>
              <w:t>/</w:t>
            </w:r>
          </w:p>
        </w:tc>
      </w:tr>
      <w:tr w14:paraId="5182EC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1A86DE5E">
            <w:pPr>
              <w:pStyle w:val="3"/>
              <w:rPr>
                <w:color w:val="auto"/>
                <w:kern w:val="0"/>
              </w:rPr>
            </w:pPr>
          </w:p>
        </w:tc>
        <w:tc>
          <w:tcPr>
            <w:tcW w:w="1417" w:type="dxa"/>
            <w:vAlign w:val="center"/>
          </w:tcPr>
          <w:p w14:paraId="11DE5D90">
            <w:pPr>
              <w:pStyle w:val="3"/>
              <w:bidi w:val="0"/>
              <w:rPr>
                <w:rFonts w:hint="eastAsia"/>
                <w:color w:val="auto"/>
                <w:highlight w:val="none"/>
                <w:lang w:eastAsia="zh-CN"/>
              </w:rPr>
            </w:pPr>
            <w:r>
              <w:rPr>
                <w:rFonts w:hint="default"/>
                <w:color w:val="auto"/>
                <w:highlight w:val="none"/>
                <w:lang w:val="en-US" w:eastAsia="zh-CN"/>
              </w:rPr>
              <w:t>废活性炭</w:t>
            </w:r>
          </w:p>
        </w:tc>
        <w:tc>
          <w:tcPr>
            <w:tcW w:w="1701" w:type="dxa"/>
            <w:vAlign w:val="center"/>
          </w:tcPr>
          <w:p w14:paraId="543F3047">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0.5t/a</w:t>
            </w:r>
          </w:p>
        </w:tc>
        <w:tc>
          <w:tcPr>
            <w:tcW w:w="1276" w:type="dxa"/>
            <w:vAlign w:val="center"/>
          </w:tcPr>
          <w:p w14:paraId="665D53A8">
            <w:pPr>
              <w:pStyle w:val="3"/>
              <w:rPr>
                <w:color w:val="auto"/>
                <w:kern w:val="0"/>
              </w:rPr>
            </w:pPr>
          </w:p>
        </w:tc>
        <w:tc>
          <w:tcPr>
            <w:tcW w:w="1701" w:type="dxa"/>
            <w:vAlign w:val="center"/>
          </w:tcPr>
          <w:p w14:paraId="39511D21">
            <w:pPr>
              <w:pStyle w:val="3"/>
              <w:rPr>
                <w:color w:val="auto"/>
                <w:kern w:val="0"/>
              </w:rPr>
            </w:pPr>
          </w:p>
        </w:tc>
        <w:tc>
          <w:tcPr>
            <w:tcW w:w="1559" w:type="dxa"/>
            <w:vAlign w:val="center"/>
          </w:tcPr>
          <w:p w14:paraId="2EAE57B4">
            <w:pPr>
              <w:pStyle w:val="3"/>
              <w:bidi w:val="0"/>
              <w:rPr>
                <w:rFonts w:hint="default"/>
                <w:color w:val="auto"/>
                <w:lang w:val="en-US" w:eastAsia="zh-CN"/>
              </w:rPr>
            </w:pPr>
            <w:r>
              <w:rPr>
                <w:rFonts w:hint="default" w:ascii="Times New Roman" w:hAnsi="Times New Roman" w:eastAsia="宋体" w:cs="Times New Roman"/>
                <w:color w:val="auto"/>
                <w:kern w:val="0"/>
                <w:lang w:val="en-US" w:eastAsia="zh-CN"/>
              </w:rPr>
              <w:t>0t/a</w:t>
            </w:r>
            <w:r>
              <w:rPr>
                <w:rFonts w:hint="eastAsia"/>
                <w:color w:val="auto"/>
                <w:lang w:val="en-US" w:eastAsia="zh-CN"/>
              </w:rPr>
              <w:t xml:space="preserve"> </w:t>
            </w:r>
          </w:p>
        </w:tc>
        <w:tc>
          <w:tcPr>
            <w:tcW w:w="1761" w:type="dxa"/>
            <w:vAlign w:val="center"/>
          </w:tcPr>
          <w:p w14:paraId="4DBB8D32">
            <w:pPr>
              <w:pStyle w:val="3"/>
              <w:bidi w:val="0"/>
              <w:rPr>
                <w:rFonts w:hint="default" w:ascii="Times New Roman" w:hAnsi="Times New Roman" w:cs="Times New Roman"/>
                <w:color w:val="auto"/>
              </w:rPr>
            </w:pPr>
            <w:r>
              <w:rPr>
                <w:rFonts w:hint="default" w:ascii="Times New Roman" w:hAnsi="Times New Roman" w:cs="Times New Roman"/>
                <w:color w:val="auto"/>
                <w:lang w:val="en-US" w:eastAsia="zh-CN"/>
              </w:rPr>
              <w:t>0t/a</w:t>
            </w:r>
          </w:p>
        </w:tc>
        <w:tc>
          <w:tcPr>
            <w:tcW w:w="1959" w:type="dxa"/>
            <w:vAlign w:val="center"/>
          </w:tcPr>
          <w:p w14:paraId="46632726">
            <w:pPr>
              <w:pStyle w:val="3"/>
              <w:bidi w:val="0"/>
              <w:ind w:firstLine="0" w:firstLineChars="0"/>
              <w:rPr>
                <w:rFonts w:hint="eastAsia"/>
                <w:color w:val="auto"/>
                <w:kern w:val="0"/>
              </w:rPr>
            </w:pPr>
            <w:r>
              <w:rPr>
                <w:rFonts w:hint="default" w:ascii="Times New Roman" w:hAnsi="Times New Roman" w:cs="Times New Roman"/>
                <w:color w:val="auto"/>
                <w:lang w:val="en-US" w:eastAsia="zh-CN"/>
              </w:rPr>
              <w:t>0.5t/a</w:t>
            </w:r>
          </w:p>
        </w:tc>
        <w:tc>
          <w:tcPr>
            <w:tcW w:w="826" w:type="dxa"/>
            <w:vAlign w:val="center"/>
          </w:tcPr>
          <w:p w14:paraId="2EB328C4">
            <w:pPr>
              <w:pStyle w:val="3"/>
              <w:rPr>
                <w:rFonts w:hint="default" w:eastAsia="宋体"/>
                <w:color w:val="auto"/>
                <w:kern w:val="0"/>
                <w:lang w:val="en-US" w:eastAsia="zh-CN"/>
              </w:rPr>
            </w:pPr>
            <w:r>
              <w:rPr>
                <w:rFonts w:hint="eastAsia" w:eastAsia="宋体"/>
                <w:color w:val="auto"/>
                <w:kern w:val="0"/>
                <w:lang w:val="en-US" w:eastAsia="zh-CN"/>
              </w:rPr>
              <w:t>/</w:t>
            </w:r>
          </w:p>
        </w:tc>
      </w:tr>
      <w:tr w14:paraId="06EA12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30F4C0C">
            <w:pPr>
              <w:pStyle w:val="3"/>
              <w:rPr>
                <w:color w:val="auto"/>
                <w:kern w:val="0"/>
              </w:rPr>
            </w:pPr>
          </w:p>
        </w:tc>
        <w:tc>
          <w:tcPr>
            <w:tcW w:w="1417" w:type="dxa"/>
            <w:vAlign w:val="center"/>
          </w:tcPr>
          <w:p w14:paraId="1DE60C0F">
            <w:pPr>
              <w:pStyle w:val="3"/>
              <w:bidi w:val="0"/>
              <w:rPr>
                <w:rFonts w:hint="eastAsia"/>
                <w:color w:val="auto"/>
                <w:highlight w:val="none"/>
                <w:lang w:eastAsia="zh-CN"/>
              </w:rPr>
            </w:pPr>
            <w:r>
              <w:rPr>
                <w:rFonts w:hint="eastAsia"/>
                <w:color w:val="auto"/>
                <w:highlight w:val="none"/>
                <w:lang w:val="en-US" w:eastAsia="zh-CN"/>
              </w:rPr>
              <w:t>废润滑油</w:t>
            </w:r>
          </w:p>
        </w:tc>
        <w:tc>
          <w:tcPr>
            <w:tcW w:w="1701" w:type="dxa"/>
            <w:vAlign w:val="center"/>
          </w:tcPr>
          <w:p w14:paraId="3B8CC01E">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2t/a</w:t>
            </w:r>
          </w:p>
        </w:tc>
        <w:tc>
          <w:tcPr>
            <w:tcW w:w="1276" w:type="dxa"/>
            <w:vAlign w:val="center"/>
          </w:tcPr>
          <w:p w14:paraId="331818E5">
            <w:pPr>
              <w:pStyle w:val="3"/>
              <w:rPr>
                <w:color w:val="auto"/>
                <w:kern w:val="0"/>
              </w:rPr>
            </w:pPr>
          </w:p>
        </w:tc>
        <w:tc>
          <w:tcPr>
            <w:tcW w:w="1701" w:type="dxa"/>
            <w:vAlign w:val="center"/>
          </w:tcPr>
          <w:p w14:paraId="715BB0DB">
            <w:pPr>
              <w:pStyle w:val="3"/>
              <w:rPr>
                <w:color w:val="auto"/>
                <w:kern w:val="0"/>
              </w:rPr>
            </w:pPr>
          </w:p>
        </w:tc>
        <w:tc>
          <w:tcPr>
            <w:tcW w:w="1559" w:type="dxa"/>
            <w:vAlign w:val="center"/>
          </w:tcPr>
          <w:p w14:paraId="3307CB46">
            <w:pPr>
              <w:pStyle w:val="3"/>
              <w:bidi w:val="0"/>
              <w:ind w:firstLine="0" w:firstLineChars="0"/>
              <w:rPr>
                <w:rFonts w:hint="default"/>
                <w:color w:val="auto"/>
                <w:lang w:val="en-US" w:eastAsia="zh-CN"/>
              </w:rPr>
            </w:pPr>
          </w:p>
        </w:tc>
        <w:tc>
          <w:tcPr>
            <w:tcW w:w="1761" w:type="dxa"/>
            <w:vAlign w:val="center"/>
          </w:tcPr>
          <w:p w14:paraId="43850177">
            <w:pPr>
              <w:pStyle w:val="3"/>
              <w:rPr>
                <w:color w:val="auto"/>
                <w:kern w:val="0"/>
              </w:rPr>
            </w:pPr>
          </w:p>
        </w:tc>
        <w:tc>
          <w:tcPr>
            <w:tcW w:w="1959" w:type="dxa"/>
            <w:vAlign w:val="center"/>
          </w:tcPr>
          <w:p w14:paraId="697CCB3D">
            <w:pPr>
              <w:pStyle w:val="3"/>
              <w:bidi w:val="0"/>
              <w:ind w:firstLine="0" w:firstLineChars="0"/>
              <w:rPr>
                <w:rFonts w:hint="eastAsia"/>
                <w:color w:val="auto"/>
                <w:lang w:val="en-US" w:eastAsia="zh-CN"/>
              </w:rPr>
            </w:pPr>
          </w:p>
        </w:tc>
        <w:tc>
          <w:tcPr>
            <w:tcW w:w="826" w:type="dxa"/>
            <w:vAlign w:val="center"/>
          </w:tcPr>
          <w:p w14:paraId="42BAD6EA">
            <w:pPr>
              <w:pStyle w:val="3"/>
              <w:rPr>
                <w:color w:val="auto"/>
                <w:kern w:val="0"/>
              </w:rPr>
            </w:pPr>
          </w:p>
        </w:tc>
      </w:tr>
      <w:tr w14:paraId="3A5B4C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vAlign w:val="center"/>
          </w:tcPr>
          <w:p w14:paraId="571D5EDE">
            <w:pPr>
              <w:pStyle w:val="3"/>
              <w:rPr>
                <w:color w:val="auto"/>
                <w:kern w:val="0"/>
              </w:rPr>
            </w:pPr>
          </w:p>
        </w:tc>
        <w:tc>
          <w:tcPr>
            <w:tcW w:w="1417" w:type="dxa"/>
            <w:vAlign w:val="center"/>
          </w:tcPr>
          <w:p w14:paraId="43539FA5">
            <w:pPr>
              <w:pStyle w:val="3"/>
              <w:bidi w:val="0"/>
              <w:rPr>
                <w:rFonts w:hint="eastAsia"/>
                <w:color w:val="auto"/>
                <w:highlight w:val="yellow"/>
                <w:lang w:val="en-US" w:eastAsia="zh-CN"/>
              </w:rPr>
            </w:pPr>
            <w:r>
              <w:rPr>
                <w:rFonts w:hint="default"/>
                <w:color w:val="auto"/>
                <w:lang w:eastAsia="zh-CN"/>
              </w:rPr>
              <w:t>含油抹布、劳保用品</w:t>
            </w:r>
          </w:p>
        </w:tc>
        <w:tc>
          <w:tcPr>
            <w:tcW w:w="1701" w:type="dxa"/>
            <w:vAlign w:val="center"/>
          </w:tcPr>
          <w:p w14:paraId="01B6A31F">
            <w:pPr>
              <w:pStyle w:val="3"/>
              <w:bidi w:val="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0.3t/a</w:t>
            </w:r>
          </w:p>
        </w:tc>
        <w:tc>
          <w:tcPr>
            <w:tcW w:w="1276" w:type="dxa"/>
            <w:vAlign w:val="center"/>
          </w:tcPr>
          <w:p w14:paraId="66E702C3">
            <w:pPr>
              <w:pStyle w:val="3"/>
              <w:rPr>
                <w:color w:val="auto"/>
                <w:kern w:val="0"/>
              </w:rPr>
            </w:pPr>
          </w:p>
        </w:tc>
        <w:tc>
          <w:tcPr>
            <w:tcW w:w="1701" w:type="dxa"/>
            <w:vAlign w:val="center"/>
          </w:tcPr>
          <w:p w14:paraId="427579BB">
            <w:pPr>
              <w:pStyle w:val="3"/>
              <w:rPr>
                <w:color w:val="auto"/>
                <w:kern w:val="0"/>
              </w:rPr>
            </w:pPr>
          </w:p>
        </w:tc>
        <w:tc>
          <w:tcPr>
            <w:tcW w:w="1559" w:type="dxa"/>
            <w:vAlign w:val="center"/>
          </w:tcPr>
          <w:p w14:paraId="05415843">
            <w:pPr>
              <w:pStyle w:val="3"/>
              <w:bidi w:val="0"/>
              <w:ind w:firstLine="0" w:firstLineChars="0"/>
              <w:rPr>
                <w:rFonts w:hint="default"/>
                <w:color w:val="auto"/>
                <w:lang w:val="en-US" w:eastAsia="zh-CN"/>
              </w:rPr>
            </w:pPr>
          </w:p>
        </w:tc>
        <w:tc>
          <w:tcPr>
            <w:tcW w:w="1761" w:type="dxa"/>
            <w:vAlign w:val="center"/>
          </w:tcPr>
          <w:p w14:paraId="60E4D202">
            <w:pPr>
              <w:pStyle w:val="3"/>
              <w:rPr>
                <w:color w:val="auto"/>
                <w:kern w:val="0"/>
              </w:rPr>
            </w:pPr>
          </w:p>
        </w:tc>
        <w:tc>
          <w:tcPr>
            <w:tcW w:w="1959" w:type="dxa"/>
            <w:vAlign w:val="center"/>
          </w:tcPr>
          <w:p w14:paraId="5896A617">
            <w:pPr>
              <w:pStyle w:val="3"/>
              <w:bidi w:val="0"/>
              <w:ind w:firstLine="0" w:firstLineChars="0"/>
              <w:rPr>
                <w:rFonts w:hint="eastAsia"/>
                <w:color w:val="auto"/>
                <w:lang w:val="en-US" w:eastAsia="zh-CN"/>
              </w:rPr>
            </w:pPr>
          </w:p>
        </w:tc>
        <w:tc>
          <w:tcPr>
            <w:tcW w:w="826" w:type="dxa"/>
            <w:vAlign w:val="center"/>
          </w:tcPr>
          <w:p w14:paraId="2B85A0B1">
            <w:pPr>
              <w:pStyle w:val="3"/>
              <w:rPr>
                <w:color w:val="auto"/>
                <w:kern w:val="0"/>
              </w:rPr>
            </w:pPr>
          </w:p>
        </w:tc>
      </w:tr>
    </w:tbl>
    <w:p w14:paraId="28CD2EE5">
      <w:pPr>
        <w:spacing w:before="192" w:beforeLines="80" w:after="24"/>
        <w:ind w:firstLine="480"/>
        <w:jc w:val="left"/>
        <w:rPr>
          <w:color w:val="auto"/>
          <w:kern w:val="0"/>
        </w:rPr>
      </w:pPr>
      <w:r>
        <w:rPr>
          <w:rFonts w:hAnsi="宋体"/>
          <w:snapToGrid w:val="0"/>
          <w:color w:val="auto"/>
          <w:kern w:val="0"/>
          <w:szCs w:val="21"/>
        </w:rPr>
        <w:t>注：</w:t>
      </w:r>
      <w:r>
        <w:rPr>
          <w:rFonts w:hAnsi="宋体"/>
          <w:snapToGrid w:val="0"/>
          <w:color w:val="auto"/>
          <w:kern w:val="0"/>
          <w:szCs w:val="21"/>
        </w:rPr>
        <w:fldChar w:fldCharType="begin"/>
      </w:r>
      <w:r>
        <w:rPr>
          <w:rFonts w:hAnsi="宋体"/>
          <w:snapToGrid w:val="0"/>
          <w:color w:val="auto"/>
          <w:kern w:val="0"/>
          <w:szCs w:val="21"/>
        </w:rPr>
        <w:instrText xml:space="preserve"> = 6 \* GB3 \* MERGEFORMAT </w:instrText>
      </w:r>
      <w:r>
        <w:rPr>
          <w:rFonts w:hAnsi="宋体"/>
          <w:snapToGrid w:val="0"/>
          <w:color w:val="auto"/>
          <w:kern w:val="0"/>
          <w:szCs w:val="21"/>
        </w:rPr>
        <w:fldChar w:fldCharType="separate"/>
      </w:r>
      <w:r>
        <w:rPr>
          <w:rFonts w:hint="eastAsia" w:hAnsi="宋体"/>
          <w:color w:val="auto"/>
          <w:kern w:val="0"/>
          <w:szCs w:val="21"/>
        </w:rPr>
        <w:t>⑥</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1 \* GB3 \* MERGEFORMAT </w:instrText>
      </w:r>
      <w:r>
        <w:rPr>
          <w:rFonts w:hAnsi="宋体"/>
          <w:snapToGrid w:val="0"/>
          <w:color w:val="auto"/>
          <w:kern w:val="0"/>
          <w:szCs w:val="21"/>
        </w:rPr>
        <w:fldChar w:fldCharType="separate"/>
      </w:r>
      <w:r>
        <w:rPr>
          <w:rFonts w:hint="eastAsia" w:hAnsi="宋体"/>
          <w:color w:val="auto"/>
          <w:kern w:val="0"/>
          <w:szCs w:val="21"/>
        </w:rPr>
        <w:t>①</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3 \* GB3 \* MERGEFORMAT </w:instrText>
      </w:r>
      <w:r>
        <w:rPr>
          <w:rFonts w:hAnsi="宋体"/>
          <w:snapToGrid w:val="0"/>
          <w:color w:val="auto"/>
          <w:kern w:val="0"/>
          <w:szCs w:val="21"/>
        </w:rPr>
        <w:fldChar w:fldCharType="separate"/>
      </w:r>
      <w:r>
        <w:rPr>
          <w:rFonts w:hint="eastAsia" w:hAnsi="宋体"/>
          <w:color w:val="auto"/>
          <w:kern w:val="0"/>
          <w:szCs w:val="21"/>
        </w:rPr>
        <w:t>③</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4 \* GB3 \* MERGEFORMAT </w:instrText>
      </w:r>
      <w:r>
        <w:rPr>
          <w:rFonts w:hAnsi="宋体"/>
          <w:snapToGrid w:val="0"/>
          <w:color w:val="auto"/>
          <w:kern w:val="0"/>
          <w:szCs w:val="21"/>
        </w:rPr>
        <w:fldChar w:fldCharType="separate"/>
      </w:r>
      <w:r>
        <w:rPr>
          <w:rFonts w:hint="eastAsia" w:hAnsi="宋体"/>
          <w:color w:val="auto"/>
          <w:kern w:val="0"/>
          <w:szCs w:val="21"/>
        </w:rPr>
        <w:t>④</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5 \* GB3 \* MERGEFORMAT </w:instrText>
      </w:r>
      <w:r>
        <w:rPr>
          <w:rFonts w:hAnsi="宋体"/>
          <w:snapToGrid w:val="0"/>
          <w:color w:val="auto"/>
          <w:kern w:val="0"/>
          <w:szCs w:val="21"/>
        </w:rPr>
        <w:fldChar w:fldCharType="separate"/>
      </w:r>
      <w:r>
        <w:rPr>
          <w:rFonts w:hint="eastAsia" w:hAnsi="宋体"/>
          <w:color w:val="auto"/>
          <w:kern w:val="0"/>
          <w:szCs w:val="21"/>
        </w:rPr>
        <w:t>⑤</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7 \* GB3 \* MERGEFORMAT </w:instrText>
      </w:r>
      <w:r>
        <w:rPr>
          <w:rFonts w:hAnsi="宋体"/>
          <w:snapToGrid w:val="0"/>
          <w:color w:val="auto"/>
          <w:kern w:val="0"/>
          <w:szCs w:val="21"/>
        </w:rPr>
        <w:fldChar w:fldCharType="separate"/>
      </w:r>
      <w:r>
        <w:rPr>
          <w:rFonts w:hint="eastAsia" w:hAnsi="宋体"/>
          <w:color w:val="auto"/>
          <w:kern w:val="0"/>
          <w:szCs w:val="21"/>
        </w:rPr>
        <w:t>⑦</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6 \* GB3 \* MERGEFORMAT </w:instrText>
      </w:r>
      <w:r>
        <w:rPr>
          <w:rFonts w:hAnsi="宋体"/>
          <w:snapToGrid w:val="0"/>
          <w:color w:val="auto"/>
          <w:kern w:val="0"/>
          <w:szCs w:val="21"/>
        </w:rPr>
        <w:fldChar w:fldCharType="separate"/>
      </w:r>
      <w:r>
        <w:rPr>
          <w:rFonts w:hint="eastAsia" w:hAnsi="宋体"/>
          <w:color w:val="auto"/>
          <w:kern w:val="0"/>
          <w:szCs w:val="21"/>
        </w:rPr>
        <w:t>⑥</w:t>
      </w:r>
      <w:r>
        <w:rPr>
          <w:rFonts w:hAnsi="宋体"/>
          <w:snapToGrid w:val="0"/>
          <w:color w:val="auto"/>
          <w:kern w:val="0"/>
          <w:szCs w:val="21"/>
        </w:rPr>
        <w:fldChar w:fldCharType="end"/>
      </w:r>
      <w:r>
        <w:rPr>
          <w:rFonts w:hAnsi="宋体"/>
          <w:snapToGrid w:val="0"/>
          <w:color w:val="auto"/>
          <w:kern w:val="0"/>
          <w:szCs w:val="21"/>
        </w:rPr>
        <w:t>-</w:t>
      </w:r>
      <w:r>
        <w:rPr>
          <w:rFonts w:hAnsi="宋体"/>
          <w:snapToGrid w:val="0"/>
          <w:color w:val="auto"/>
          <w:kern w:val="0"/>
          <w:szCs w:val="21"/>
        </w:rPr>
        <w:fldChar w:fldCharType="begin"/>
      </w:r>
      <w:r>
        <w:rPr>
          <w:rFonts w:hAnsi="宋体"/>
          <w:snapToGrid w:val="0"/>
          <w:color w:val="auto"/>
          <w:kern w:val="0"/>
          <w:szCs w:val="21"/>
        </w:rPr>
        <w:instrText xml:space="preserve"> = 1 \* GB3 \* MERGEFORMAT </w:instrText>
      </w:r>
      <w:r>
        <w:rPr>
          <w:rFonts w:hAnsi="宋体"/>
          <w:snapToGrid w:val="0"/>
          <w:color w:val="auto"/>
          <w:kern w:val="0"/>
          <w:szCs w:val="21"/>
        </w:rPr>
        <w:fldChar w:fldCharType="separate"/>
      </w:r>
      <w:r>
        <w:rPr>
          <w:rFonts w:hint="eastAsia" w:hAnsi="宋体"/>
          <w:color w:val="auto"/>
          <w:kern w:val="0"/>
          <w:szCs w:val="21"/>
        </w:rPr>
        <w:t>①</w:t>
      </w:r>
      <w:r>
        <w:rPr>
          <w:rFonts w:hAnsi="宋体"/>
          <w:snapToGrid w:val="0"/>
          <w:color w:val="auto"/>
          <w:kern w:val="0"/>
          <w:szCs w:val="21"/>
        </w:rPr>
        <w:fldChar w:fldCharType="end"/>
      </w:r>
    </w:p>
    <w:p w14:paraId="35F90B17">
      <w:pPr>
        <w:pStyle w:val="32"/>
        <w:spacing w:before="192" w:beforeLines="80" w:after="24"/>
        <w:jc w:val="left"/>
        <w:rPr>
          <w:color w:val="auto"/>
        </w:rPr>
      </w:pPr>
    </w:p>
    <w:sectPr>
      <w:footerReference r:id="rId8" w:type="default"/>
      <w:pgSz w:w="16838" w:h="11906" w:orient="landscape"/>
      <w:pgMar w:top="1531" w:right="1701" w:bottom="1531" w:left="1701" w:header="851" w:footer="850" w:gutter="0"/>
      <w:pgBorders>
        <w:top w:val="none" w:sz="0" w:space="0"/>
        <w:left w:val="none" w:sz="0" w:space="0"/>
        <w:bottom w:val="none" w:sz="0" w:space="0"/>
        <w:right w:val="none" w:sz="0" w:space="0"/>
      </w:pgBorders>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Dutch801 Rm BT">
    <w:panose1 w:val="02020603060505020304"/>
    <w:charset w:val="00"/>
    <w:family w:val="roman"/>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TSong-Ligh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56D9E">
    <w:pPr>
      <w:pStyle w:val="13"/>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33</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4EF250FC">
    <w:pPr>
      <w:pStyle w:val="1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EE967">
    <w:pPr>
      <w:pStyle w:val="13"/>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33</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5317ACF4">
    <w:pPr>
      <w:pStyle w:val="13"/>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60356">
    <w:pPr>
      <w:pStyle w:val="13"/>
      <w:framePr w:wrap="around" w:vAnchor="text" w:hAnchor="margin" w:xAlign="outside" w:y="1"/>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33</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5309B0D4">
    <w:pPr>
      <w:pStyle w:val="13"/>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37E61">
    <w:pPr>
      <w:pStyle w:val="13"/>
      <w:framePr w:wrap="around" w:vAnchor="text" w:hAnchor="margin" w:xAlign="outside" w:y="1"/>
      <w:ind w:firstLine="560"/>
      <w:rPr>
        <w:rStyle w:val="20"/>
        <w:rFonts w:ascii="宋体" w:hAnsi="宋体"/>
        <w:sz w:val="28"/>
        <w:szCs w:val="28"/>
      </w:rPr>
    </w:pPr>
    <w:r>
      <w:rPr>
        <w:rStyle w:val="20"/>
        <w:rFonts w:hint="eastAsia" w:ascii="宋体" w:hAnsi="宋体"/>
        <w:sz w:val="28"/>
        <w:szCs w:val="28"/>
      </w:rPr>
      <w:t>—</w:t>
    </w:r>
    <w:r>
      <w:rPr>
        <w:rStyle w:val="20"/>
        <w:rFonts w:hint="eastAsia" w:ascii="宋体" w:hAnsi="宋体"/>
        <w:sz w:val="20"/>
      </w:rPr>
      <w:t xml:space="preserve">  </w:t>
    </w:r>
    <w:r>
      <w:rPr>
        <w:rStyle w:val="20"/>
        <w:rFonts w:ascii="宋体" w:hAnsi="宋体"/>
        <w:sz w:val="26"/>
        <w:szCs w:val="26"/>
      </w:rPr>
      <w:fldChar w:fldCharType="begin"/>
    </w:r>
    <w:r>
      <w:rPr>
        <w:rStyle w:val="20"/>
        <w:rFonts w:ascii="宋体" w:hAnsi="宋体"/>
        <w:sz w:val="26"/>
        <w:szCs w:val="26"/>
      </w:rPr>
      <w:instrText xml:space="preserve">PAGE  </w:instrText>
    </w:r>
    <w:r>
      <w:rPr>
        <w:rStyle w:val="20"/>
        <w:rFonts w:ascii="宋体" w:hAnsi="宋体"/>
        <w:sz w:val="26"/>
        <w:szCs w:val="26"/>
      </w:rPr>
      <w:fldChar w:fldCharType="separate"/>
    </w:r>
    <w:r>
      <w:rPr>
        <w:rStyle w:val="20"/>
        <w:rFonts w:ascii="宋体" w:hAnsi="宋体"/>
        <w:sz w:val="26"/>
        <w:szCs w:val="26"/>
      </w:rPr>
      <w:t>47</w:t>
    </w:r>
    <w:r>
      <w:rPr>
        <w:rStyle w:val="20"/>
        <w:rFonts w:ascii="宋体" w:hAnsi="宋体"/>
        <w:sz w:val="26"/>
        <w:szCs w:val="26"/>
      </w:rPr>
      <w:fldChar w:fldCharType="end"/>
    </w:r>
    <w:r>
      <w:rPr>
        <w:rStyle w:val="20"/>
        <w:rFonts w:hint="eastAsia" w:ascii="宋体" w:hAnsi="宋体"/>
        <w:sz w:val="20"/>
      </w:rPr>
      <w:t xml:space="preserve">  </w:t>
    </w:r>
    <w:r>
      <w:rPr>
        <w:rStyle w:val="20"/>
        <w:rFonts w:hint="eastAsia" w:ascii="宋体" w:hAnsi="宋体"/>
        <w:sz w:val="28"/>
        <w:szCs w:val="28"/>
      </w:rPr>
      <w:t>—</w:t>
    </w:r>
  </w:p>
  <w:p w14:paraId="708734E1">
    <w:pPr>
      <w:pStyle w:val="13"/>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5ED98"/>
    <w:multiLevelType w:val="singleLevel"/>
    <w:tmpl w:val="B705ED9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MwNjczMWJlNDAxMDI2ZDg2M2RkNGIwNDU4OTJlOTMifQ=="/>
  </w:docVars>
  <w:rsids>
    <w:rsidRoot w:val="00977E03"/>
    <w:rsid w:val="0002561E"/>
    <w:rsid w:val="00031712"/>
    <w:rsid w:val="00033D94"/>
    <w:rsid w:val="00034302"/>
    <w:rsid w:val="0007212C"/>
    <w:rsid w:val="000821C8"/>
    <w:rsid w:val="00083ED7"/>
    <w:rsid w:val="00087917"/>
    <w:rsid w:val="000F0B30"/>
    <w:rsid w:val="001570FF"/>
    <w:rsid w:val="001A2968"/>
    <w:rsid w:val="001B3CCE"/>
    <w:rsid w:val="00257729"/>
    <w:rsid w:val="00280087"/>
    <w:rsid w:val="002B7FF5"/>
    <w:rsid w:val="002E36BB"/>
    <w:rsid w:val="002F7C8F"/>
    <w:rsid w:val="00333A2A"/>
    <w:rsid w:val="00353BB9"/>
    <w:rsid w:val="003B57F6"/>
    <w:rsid w:val="003C28DE"/>
    <w:rsid w:val="003D39EC"/>
    <w:rsid w:val="003E5E14"/>
    <w:rsid w:val="00410355"/>
    <w:rsid w:val="004248CC"/>
    <w:rsid w:val="0045109E"/>
    <w:rsid w:val="00491C8A"/>
    <w:rsid w:val="004B70E9"/>
    <w:rsid w:val="004D73F7"/>
    <w:rsid w:val="004E0946"/>
    <w:rsid w:val="00562F9F"/>
    <w:rsid w:val="00593490"/>
    <w:rsid w:val="005C74EA"/>
    <w:rsid w:val="00602CE1"/>
    <w:rsid w:val="00626BF6"/>
    <w:rsid w:val="0065764F"/>
    <w:rsid w:val="00664F24"/>
    <w:rsid w:val="00666EDF"/>
    <w:rsid w:val="0067722F"/>
    <w:rsid w:val="00677DAA"/>
    <w:rsid w:val="00711207"/>
    <w:rsid w:val="0071261F"/>
    <w:rsid w:val="0071653C"/>
    <w:rsid w:val="00723D6A"/>
    <w:rsid w:val="00724C64"/>
    <w:rsid w:val="00787D06"/>
    <w:rsid w:val="007B04E3"/>
    <w:rsid w:val="008345DA"/>
    <w:rsid w:val="00853EB8"/>
    <w:rsid w:val="008556C0"/>
    <w:rsid w:val="00874938"/>
    <w:rsid w:val="00883646"/>
    <w:rsid w:val="00892130"/>
    <w:rsid w:val="008B1170"/>
    <w:rsid w:val="008B728D"/>
    <w:rsid w:val="008E6E67"/>
    <w:rsid w:val="009065CF"/>
    <w:rsid w:val="00914E40"/>
    <w:rsid w:val="0092676D"/>
    <w:rsid w:val="00977E03"/>
    <w:rsid w:val="0099677E"/>
    <w:rsid w:val="009B7AAC"/>
    <w:rsid w:val="009C6012"/>
    <w:rsid w:val="009D61F2"/>
    <w:rsid w:val="00A10D16"/>
    <w:rsid w:val="00A50E47"/>
    <w:rsid w:val="00AA65B5"/>
    <w:rsid w:val="00AC5CE5"/>
    <w:rsid w:val="00B039CA"/>
    <w:rsid w:val="00B03E13"/>
    <w:rsid w:val="00B12B5B"/>
    <w:rsid w:val="00B22BA0"/>
    <w:rsid w:val="00C25254"/>
    <w:rsid w:val="00C508A2"/>
    <w:rsid w:val="00C86C39"/>
    <w:rsid w:val="00CB5A10"/>
    <w:rsid w:val="00CD4B8C"/>
    <w:rsid w:val="00CF5500"/>
    <w:rsid w:val="00D31261"/>
    <w:rsid w:val="00D321D6"/>
    <w:rsid w:val="00D451BF"/>
    <w:rsid w:val="00D47F96"/>
    <w:rsid w:val="00D64AE1"/>
    <w:rsid w:val="00D74414"/>
    <w:rsid w:val="00D747EA"/>
    <w:rsid w:val="00DA7755"/>
    <w:rsid w:val="00DC01E7"/>
    <w:rsid w:val="00DF4A6C"/>
    <w:rsid w:val="00E1087F"/>
    <w:rsid w:val="00E13A57"/>
    <w:rsid w:val="00E52F76"/>
    <w:rsid w:val="00EA2987"/>
    <w:rsid w:val="00F220C0"/>
    <w:rsid w:val="00F446E2"/>
    <w:rsid w:val="00F46362"/>
    <w:rsid w:val="00F46E6C"/>
    <w:rsid w:val="00F7484A"/>
    <w:rsid w:val="00F8432A"/>
    <w:rsid w:val="00FA254C"/>
    <w:rsid w:val="00FA73B3"/>
    <w:rsid w:val="00FB302B"/>
    <w:rsid w:val="00FD6824"/>
    <w:rsid w:val="00FE6E3B"/>
    <w:rsid w:val="01073249"/>
    <w:rsid w:val="010F6C70"/>
    <w:rsid w:val="011253ED"/>
    <w:rsid w:val="011323AD"/>
    <w:rsid w:val="01160EA3"/>
    <w:rsid w:val="01170C55"/>
    <w:rsid w:val="011760D9"/>
    <w:rsid w:val="011A7EBD"/>
    <w:rsid w:val="011B35CC"/>
    <w:rsid w:val="01203F00"/>
    <w:rsid w:val="01263A97"/>
    <w:rsid w:val="01322604"/>
    <w:rsid w:val="013809BE"/>
    <w:rsid w:val="013C6FC0"/>
    <w:rsid w:val="013D273F"/>
    <w:rsid w:val="013D54D6"/>
    <w:rsid w:val="013D6216"/>
    <w:rsid w:val="01414161"/>
    <w:rsid w:val="01445AC1"/>
    <w:rsid w:val="01454703"/>
    <w:rsid w:val="014651FC"/>
    <w:rsid w:val="014F6434"/>
    <w:rsid w:val="01502D77"/>
    <w:rsid w:val="015155C3"/>
    <w:rsid w:val="01517BDE"/>
    <w:rsid w:val="01546A41"/>
    <w:rsid w:val="015679D0"/>
    <w:rsid w:val="0157602F"/>
    <w:rsid w:val="015B25E7"/>
    <w:rsid w:val="015D06DA"/>
    <w:rsid w:val="016F283F"/>
    <w:rsid w:val="017259D3"/>
    <w:rsid w:val="017321A2"/>
    <w:rsid w:val="01743955"/>
    <w:rsid w:val="017621E7"/>
    <w:rsid w:val="017A29EA"/>
    <w:rsid w:val="017D726E"/>
    <w:rsid w:val="017E47D6"/>
    <w:rsid w:val="01816A09"/>
    <w:rsid w:val="01842D59"/>
    <w:rsid w:val="018469CF"/>
    <w:rsid w:val="01897B27"/>
    <w:rsid w:val="018B6595"/>
    <w:rsid w:val="018C5E38"/>
    <w:rsid w:val="018D3332"/>
    <w:rsid w:val="018F4AEC"/>
    <w:rsid w:val="01936564"/>
    <w:rsid w:val="01951ECC"/>
    <w:rsid w:val="019674B7"/>
    <w:rsid w:val="019948C4"/>
    <w:rsid w:val="01A331FC"/>
    <w:rsid w:val="01A73635"/>
    <w:rsid w:val="01AF70E0"/>
    <w:rsid w:val="01B106FD"/>
    <w:rsid w:val="01B6046E"/>
    <w:rsid w:val="01BD7861"/>
    <w:rsid w:val="01C04E49"/>
    <w:rsid w:val="01C1748A"/>
    <w:rsid w:val="01C364A0"/>
    <w:rsid w:val="01C65321"/>
    <w:rsid w:val="01C7412C"/>
    <w:rsid w:val="01CA3FF5"/>
    <w:rsid w:val="01CC475B"/>
    <w:rsid w:val="01CD20CA"/>
    <w:rsid w:val="01D60104"/>
    <w:rsid w:val="01D65F78"/>
    <w:rsid w:val="01D93979"/>
    <w:rsid w:val="01D97ECF"/>
    <w:rsid w:val="01DE29A5"/>
    <w:rsid w:val="01DE5B62"/>
    <w:rsid w:val="01E02D51"/>
    <w:rsid w:val="01E14B55"/>
    <w:rsid w:val="01E6144F"/>
    <w:rsid w:val="01EA00B6"/>
    <w:rsid w:val="01EC3E90"/>
    <w:rsid w:val="01F5094A"/>
    <w:rsid w:val="01F571E8"/>
    <w:rsid w:val="01F903F0"/>
    <w:rsid w:val="02072A78"/>
    <w:rsid w:val="0207749B"/>
    <w:rsid w:val="020A65E5"/>
    <w:rsid w:val="020C59C4"/>
    <w:rsid w:val="020E7C52"/>
    <w:rsid w:val="0212339E"/>
    <w:rsid w:val="02131DB5"/>
    <w:rsid w:val="0213659D"/>
    <w:rsid w:val="02147805"/>
    <w:rsid w:val="02182B2B"/>
    <w:rsid w:val="02190B83"/>
    <w:rsid w:val="02194B48"/>
    <w:rsid w:val="022655F4"/>
    <w:rsid w:val="022B70C1"/>
    <w:rsid w:val="0236241C"/>
    <w:rsid w:val="02374BD2"/>
    <w:rsid w:val="02430DFA"/>
    <w:rsid w:val="02464387"/>
    <w:rsid w:val="024662FC"/>
    <w:rsid w:val="02471A55"/>
    <w:rsid w:val="024F755B"/>
    <w:rsid w:val="02557C87"/>
    <w:rsid w:val="025832D3"/>
    <w:rsid w:val="025B0485"/>
    <w:rsid w:val="025C7268"/>
    <w:rsid w:val="026003DA"/>
    <w:rsid w:val="02633407"/>
    <w:rsid w:val="02653CCA"/>
    <w:rsid w:val="026B0005"/>
    <w:rsid w:val="0274303B"/>
    <w:rsid w:val="027A72DB"/>
    <w:rsid w:val="027D2D3A"/>
    <w:rsid w:val="02851F43"/>
    <w:rsid w:val="028775FA"/>
    <w:rsid w:val="02886797"/>
    <w:rsid w:val="028C11CF"/>
    <w:rsid w:val="028D24B8"/>
    <w:rsid w:val="02910A6D"/>
    <w:rsid w:val="02923595"/>
    <w:rsid w:val="02935520"/>
    <w:rsid w:val="02980D52"/>
    <w:rsid w:val="02985749"/>
    <w:rsid w:val="029C7664"/>
    <w:rsid w:val="029D2974"/>
    <w:rsid w:val="029E2C2B"/>
    <w:rsid w:val="02A147E9"/>
    <w:rsid w:val="02A209F3"/>
    <w:rsid w:val="02A475BD"/>
    <w:rsid w:val="02A53F46"/>
    <w:rsid w:val="02B41386"/>
    <w:rsid w:val="02BA21E0"/>
    <w:rsid w:val="02C92423"/>
    <w:rsid w:val="02CB619B"/>
    <w:rsid w:val="02CC79DB"/>
    <w:rsid w:val="02D15D75"/>
    <w:rsid w:val="02D51726"/>
    <w:rsid w:val="02DC11A0"/>
    <w:rsid w:val="02DC3F04"/>
    <w:rsid w:val="02E217E6"/>
    <w:rsid w:val="02E539EF"/>
    <w:rsid w:val="02E55B5C"/>
    <w:rsid w:val="02E71D12"/>
    <w:rsid w:val="02F05C02"/>
    <w:rsid w:val="02FB42E5"/>
    <w:rsid w:val="02FC3806"/>
    <w:rsid w:val="02FD0121"/>
    <w:rsid w:val="02FD696E"/>
    <w:rsid w:val="02FE2677"/>
    <w:rsid w:val="03002423"/>
    <w:rsid w:val="030376E3"/>
    <w:rsid w:val="0304419A"/>
    <w:rsid w:val="03045209"/>
    <w:rsid w:val="03076852"/>
    <w:rsid w:val="03076F74"/>
    <w:rsid w:val="030E7E36"/>
    <w:rsid w:val="03136B5D"/>
    <w:rsid w:val="031C2553"/>
    <w:rsid w:val="031D79C4"/>
    <w:rsid w:val="031E276F"/>
    <w:rsid w:val="032334E2"/>
    <w:rsid w:val="03321489"/>
    <w:rsid w:val="033A1BC1"/>
    <w:rsid w:val="033C0E47"/>
    <w:rsid w:val="033D3EF2"/>
    <w:rsid w:val="0344374B"/>
    <w:rsid w:val="03455E8E"/>
    <w:rsid w:val="03486EDB"/>
    <w:rsid w:val="034D2360"/>
    <w:rsid w:val="034F21BC"/>
    <w:rsid w:val="03500F03"/>
    <w:rsid w:val="03544278"/>
    <w:rsid w:val="035A74CC"/>
    <w:rsid w:val="035C6614"/>
    <w:rsid w:val="035D2944"/>
    <w:rsid w:val="03640688"/>
    <w:rsid w:val="03655CA8"/>
    <w:rsid w:val="036674A0"/>
    <w:rsid w:val="03681C3C"/>
    <w:rsid w:val="036A4173"/>
    <w:rsid w:val="036B571D"/>
    <w:rsid w:val="036D3D8A"/>
    <w:rsid w:val="037311A0"/>
    <w:rsid w:val="03744408"/>
    <w:rsid w:val="03774398"/>
    <w:rsid w:val="037759DB"/>
    <w:rsid w:val="037F7F11"/>
    <w:rsid w:val="03846284"/>
    <w:rsid w:val="03870A85"/>
    <w:rsid w:val="03887C5D"/>
    <w:rsid w:val="038C7A4E"/>
    <w:rsid w:val="038D53AD"/>
    <w:rsid w:val="039048A8"/>
    <w:rsid w:val="03964219"/>
    <w:rsid w:val="03977E2B"/>
    <w:rsid w:val="039B3F96"/>
    <w:rsid w:val="03A00232"/>
    <w:rsid w:val="03A130AB"/>
    <w:rsid w:val="03A21746"/>
    <w:rsid w:val="03A34436"/>
    <w:rsid w:val="03A52548"/>
    <w:rsid w:val="03AE0499"/>
    <w:rsid w:val="03AE6494"/>
    <w:rsid w:val="03AF3AEB"/>
    <w:rsid w:val="03B05E93"/>
    <w:rsid w:val="03BA149A"/>
    <w:rsid w:val="03BB3962"/>
    <w:rsid w:val="03BC43FC"/>
    <w:rsid w:val="03BD25E1"/>
    <w:rsid w:val="03C24C45"/>
    <w:rsid w:val="03C32C99"/>
    <w:rsid w:val="03C36DE4"/>
    <w:rsid w:val="03C82140"/>
    <w:rsid w:val="03CB1CCE"/>
    <w:rsid w:val="03CC0192"/>
    <w:rsid w:val="03CD4BF9"/>
    <w:rsid w:val="03CE35DB"/>
    <w:rsid w:val="03D616A8"/>
    <w:rsid w:val="03DC49BA"/>
    <w:rsid w:val="03DD2426"/>
    <w:rsid w:val="03DE78EB"/>
    <w:rsid w:val="03E05C76"/>
    <w:rsid w:val="03E16D19"/>
    <w:rsid w:val="03E2783C"/>
    <w:rsid w:val="03E63A70"/>
    <w:rsid w:val="03E72B61"/>
    <w:rsid w:val="03EC038B"/>
    <w:rsid w:val="03F102C6"/>
    <w:rsid w:val="03F16FBE"/>
    <w:rsid w:val="03F61288"/>
    <w:rsid w:val="03F82973"/>
    <w:rsid w:val="03FE0E12"/>
    <w:rsid w:val="040168B8"/>
    <w:rsid w:val="04021807"/>
    <w:rsid w:val="04030B4F"/>
    <w:rsid w:val="0410009C"/>
    <w:rsid w:val="04112658"/>
    <w:rsid w:val="0411631D"/>
    <w:rsid w:val="041453FF"/>
    <w:rsid w:val="04151FCE"/>
    <w:rsid w:val="04172259"/>
    <w:rsid w:val="04187EF1"/>
    <w:rsid w:val="041B0A5C"/>
    <w:rsid w:val="041B18CC"/>
    <w:rsid w:val="042034F4"/>
    <w:rsid w:val="04240732"/>
    <w:rsid w:val="0427067D"/>
    <w:rsid w:val="042A6139"/>
    <w:rsid w:val="042F4DE7"/>
    <w:rsid w:val="0431404F"/>
    <w:rsid w:val="04323A0A"/>
    <w:rsid w:val="04327AC2"/>
    <w:rsid w:val="04363AE8"/>
    <w:rsid w:val="043911E4"/>
    <w:rsid w:val="043A7D03"/>
    <w:rsid w:val="043E3B62"/>
    <w:rsid w:val="04426AA0"/>
    <w:rsid w:val="0443643C"/>
    <w:rsid w:val="04447FB3"/>
    <w:rsid w:val="04471852"/>
    <w:rsid w:val="044C18C3"/>
    <w:rsid w:val="0450138F"/>
    <w:rsid w:val="0452230B"/>
    <w:rsid w:val="04531FA4"/>
    <w:rsid w:val="045A0E93"/>
    <w:rsid w:val="046046C1"/>
    <w:rsid w:val="046132E7"/>
    <w:rsid w:val="046273F9"/>
    <w:rsid w:val="04670024"/>
    <w:rsid w:val="046A0E3D"/>
    <w:rsid w:val="046C3F26"/>
    <w:rsid w:val="046D010C"/>
    <w:rsid w:val="04700DA8"/>
    <w:rsid w:val="047D69D4"/>
    <w:rsid w:val="048554A5"/>
    <w:rsid w:val="04865419"/>
    <w:rsid w:val="04874344"/>
    <w:rsid w:val="048857E3"/>
    <w:rsid w:val="04895346"/>
    <w:rsid w:val="048B6CB6"/>
    <w:rsid w:val="04907E9C"/>
    <w:rsid w:val="04930063"/>
    <w:rsid w:val="0497571B"/>
    <w:rsid w:val="049E5855"/>
    <w:rsid w:val="04A475A4"/>
    <w:rsid w:val="04A70542"/>
    <w:rsid w:val="04BC01F5"/>
    <w:rsid w:val="04C208EE"/>
    <w:rsid w:val="04C64502"/>
    <w:rsid w:val="04CA248C"/>
    <w:rsid w:val="04CC1D57"/>
    <w:rsid w:val="04CE6998"/>
    <w:rsid w:val="04CF553E"/>
    <w:rsid w:val="04D035F5"/>
    <w:rsid w:val="04D10642"/>
    <w:rsid w:val="04D3631A"/>
    <w:rsid w:val="04D80833"/>
    <w:rsid w:val="04DB1E29"/>
    <w:rsid w:val="04DF606D"/>
    <w:rsid w:val="04E02B3A"/>
    <w:rsid w:val="04E7565C"/>
    <w:rsid w:val="04F079A2"/>
    <w:rsid w:val="04F14A55"/>
    <w:rsid w:val="04F316CC"/>
    <w:rsid w:val="04F356EB"/>
    <w:rsid w:val="04F60A45"/>
    <w:rsid w:val="050559BE"/>
    <w:rsid w:val="050A25E1"/>
    <w:rsid w:val="050E34C0"/>
    <w:rsid w:val="05151950"/>
    <w:rsid w:val="051669CE"/>
    <w:rsid w:val="05175BAE"/>
    <w:rsid w:val="05202DE5"/>
    <w:rsid w:val="05332788"/>
    <w:rsid w:val="05356720"/>
    <w:rsid w:val="053B70B7"/>
    <w:rsid w:val="053E7845"/>
    <w:rsid w:val="054141D9"/>
    <w:rsid w:val="054325F6"/>
    <w:rsid w:val="054910D6"/>
    <w:rsid w:val="054A15F9"/>
    <w:rsid w:val="054C2088"/>
    <w:rsid w:val="05500B39"/>
    <w:rsid w:val="05547A32"/>
    <w:rsid w:val="055524DB"/>
    <w:rsid w:val="05552F56"/>
    <w:rsid w:val="05600E1D"/>
    <w:rsid w:val="056276AA"/>
    <w:rsid w:val="0564768A"/>
    <w:rsid w:val="05710E79"/>
    <w:rsid w:val="05711595"/>
    <w:rsid w:val="057E5747"/>
    <w:rsid w:val="05800903"/>
    <w:rsid w:val="05804C08"/>
    <w:rsid w:val="0580501B"/>
    <w:rsid w:val="0583212D"/>
    <w:rsid w:val="05832D5D"/>
    <w:rsid w:val="058B2628"/>
    <w:rsid w:val="058D497E"/>
    <w:rsid w:val="058D7267"/>
    <w:rsid w:val="059A75D7"/>
    <w:rsid w:val="05A0003B"/>
    <w:rsid w:val="05A05042"/>
    <w:rsid w:val="05A54AFA"/>
    <w:rsid w:val="05AE7038"/>
    <w:rsid w:val="05AF5900"/>
    <w:rsid w:val="05B44CC5"/>
    <w:rsid w:val="05B724F3"/>
    <w:rsid w:val="05BE78F1"/>
    <w:rsid w:val="05C42D45"/>
    <w:rsid w:val="05C51742"/>
    <w:rsid w:val="05C71E15"/>
    <w:rsid w:val="05CA0D5F"/>
    <w:rsid w:val="05CD6A82"/>
    <w:rsid w:val="05CF1605"/>
    <w:rsid w:val="05CF7AF1"/>
    <w:rsid w:val="05D51452"/>
    <w:rsid w:val="05D71325"/>
    <w:rsid w:val="05D7700F"/>
    <w:rsid w:val="05DD064D"/>
    <w:rsid w:val="05E21DE0"/>
    <w:rsid w:val="05E731A0"/>
    <w:rsid w:val="05EE07DF"/>
    <w:rsid w:val="05F42E17"/>
    <w:rsid w:val="05F4705E"/>
    <w:rsid w:val="05F50D20"/>
    <w:rsid w:val="05F55C8B"/>
    <w:rsid w:val="05F63269"/>
    <w:rsid w:val="05F64619"/>
    <w:rsid w:val="05F80AA6"/>
    <w:rsid w:val="05FA50FE"/>
    <w:rsid w:val="05FE60AA"/>
    <w:rsid w:val="06020126"/>
    <w:rsid w:val="06023117"/>
    <w:rsid w:val="06035628"/>
    <w:rsid w:val="06071352"/>
    <w:rsid w:val="06096C85"/>
    <w:rsid w:val="060B019A"/>
    <w:rsid w:val="060C314E"/>
    <w:rsid w:val="060F7686"/>
    <w:rsid w:val="061553FD"/>
    <w:rsid w:val="06174092"/>
    <w:rsid w:val="061911E4"/>
    <w:rsid w:val="061B7876"/>
    <w:rsid w:val="06264730"/>
    <w:rsid w:val="0627193B"/>
    <w:rsid w:val="062E65F6"/>
    <w:rsid w:val="06316233"/>
    <w:rsid w:val="063278FE"/>
    <w:rsid w:val="063404EE"/>
    <w:rsid w:val="063E0187"/>
    <w:rsid w:val="06445674"/>
    <w:rsid w:val="06450FAD"/>
    <w:rsid w:val="06470863"/>
    <w:rsid w:val="06471FDD"/>
    <w:rsid w:val="064918B1"/>
    <w:rsid w:val="06546B1F"/>
    <w:rsid w:val="065D2805"/>
    <w:rsid w:val="0662490B"/>
    <w:rsid w:val="0663422B"/>
    <w:rsid w:val="06683C57"/>
    <w:rsid w:val="066A3C74"/>
    <w:rsid w:val="067365E9"/>
    <w:rsid w:val="06761103"/>
    <w:rsid w:val="06782196"/>
    <w:rsid w:val="06792020"/>
    <w:rsid w:val="067A1543"/>
    <w:rsid w:val="067A7650"/>
    <w:rsid w:val="068965FB"/>
    <w:rsid w:val="068B335D"/>
    <w:rsid w:val="068F00D3"/>
    <w:rsid w:val="0690047A"/>
    <w:rsid w:val="069114AA"/>
    <w:rsid w:val="06960B25"/>
    <w:rsid w:val="069750D2"/>
    <w:rsid w:val="06984B35"/>
    <w:rsid w:val="069B28E5"/>
    <w:rsid w:val="06A13538"/>
    <w:rsid w:val="06A27BBC"/>
    <w:rsid w:val="06A7251F"/>
    <w:rsid w:val="06B06B8F"/>
    <w:rsid w:val="06B15C26"/>
    <w:rsid w:val="06B43613"/>
    <w:rsid w:val="06BB50D6"/>
    <w:rsid w:val="06BD1E8C"/>
    <w:rsid w:val="06BD27EA"/>
    <w:rsid w:val="06BF6AAF"/>
    <w:rsid w:val="06C400D3"/>
    <w:rsid w:val="06C62F02"/>
    <w:rsid w:val="06C670C3"/>
    <w:rsid w:val="06C67E1B"/>
    <w:rsid w:val="06CE0F63"/>
    <w:rsid w:val="06D17BB2"/>
    <w:rsid w:val="06DC55AF"/>
    <w:rsid w:val="06DE02E2"/>
    <w:rsid w:val="06E01339"/>
    <w:rsid w:val="06E26A30"/>
    <w:rsid w:val="06E46474"/>
    <w:rsid w:val="06E6371E"/>
    <w:rsid w:val="06E836AB"/>
    <w:rsid w:val="06EB0B37"/>
    <w:rsid w:val="06EB6E0C"/>
    <w:rsid w:val="06ED4932"/>
    <w:rsid w:val="06F50422"/>
    <w:rsid w:val="06F50EB7"/>
    <w:rsid w:val="06FB1FC5"/>
    <w:rsid w:val="06FC6C84"/>
    <w:rsid w:val="0702059F"/>
    <w:rsid w:val="070331C5"/>
    <w:rsid w:val="07043A2A"/>
    <w:rsid w:val="07054444"/>
    <w:rsid w:val="07073F30"/>
    <w:rsid w:val="070A2079"/>
    <w:rsid w:val="070C0E43"/>
    <w:rsid w:val="070C732A"/>
    <w:rsid w:val="07100621"/>
    <w:rsid w:val="071126CD"/>
    <w:rsid w:val="071852D1"/>
    <w:rsid w:val="071B5065"/>
    <w:rsid w:val="071C773E"/>
    <w:rsid w:val="071E5852"/>
    <w:rsid w:val="071F7D3D"/>
    <w:rsid w:val="0723008A"/>
    <w:rsid w:val="072D48E7"/>
    <w:rsid w:val="072F6D5A"/>
    <w:rsid w:val="073128C4"/>
    <w:rsid w:val="07335C32"/>
    <w:rsid w:val="07387B4D"/>
    <w:rsid w:val="073B15B4"/>
    <w:rsid w:val="073D012F"/>
    <w:rsid w:val="07403CE8"/>
    <w:rsid w:val="074107DA"/>
    <w:rsid w:val="07427063"/>
    <w:rsid w:val="074663D3"/>
    <w:rsid w:val="074822A4"/>
    <w:rsid w:val="07531A2B"/>
    <w:rsid w:val="0754675F"/>
    <w:rsid w:val="07564F88"/>
    <w:rsid w:val="07591FC8"/>
    <w:rsid w:val="07631D00"/>
    <w:rsid w:val="076444C8"/>
    <w:rsid w:val="076546DB"/>
    <w:rsid w:val="076C35BE"/>
    <w:rsid w:val="07732CC2"/>
    <w:rsid w:val="077706A0"/>
    <w:rsid w:val="077741FC"/>
    <w:rsid w:val="077F40AA"/>
    <w:rsid w:val="078069CC"/>
    <w:rsid w:val="078D0C68"/>
    <w:rsid w:val="0791652A"/>
    <w:rsid w:val="07922AF3"/>
    <w:rsid w:val="07955BD3"/>
    <w:rsid w:val="07964695"/>
    <w:rsid w:val="0798779B"/>
    <w:rsid w:val="079F6C9F"/>
    <w:rsid w:val="07AD2313"/>
    <w:rsid w:val="07B23486"/>
    <w:rsid w:val="07B55B94"/>
    <w:rsid w:val="07B77AE5"/>
    <w:rsid w:val="07B96825"/>
    <w:rsid w:val="07C17B6D"/>
    <w:rsid w:val="07C33549"/>
    <w:rsid w:val="07C54CE4"/>
    <w:rsid w:val="07CF228A"/>
    <w:rsid w:val="07D770B9"/>
    <w:rsid w:val="07D87763"/>
    <w:rsid w:val="07D94AD9"/>
    <w:rsid w:val="07DA2E74"/>
    <w:rsid w:val="07DB0C2F"/>
    <w:rsid w:val="07DF59F6"/>
    <w:rsid w:val="07E06A3F"/>
    <w:rsid w:val="07E15B19"/>
    <w:rsid w:val="07E666C9"/>
    <w:rsid w:val="07EC12D0"/>
    <w:rsid w:val="07EE2538"/>
    <w:rsid w:val="07F52A4E"/>
    <w:rsid w:val="07FB307F"/>
    <w:rsid w:val="07FE51AA"/>
    <w:rsid w:val="08001F42"/>
    <w:rsid w:val="080046B2"/>
    <w:rsid w:val="08037C4E"/>
    <w:rsid w:val="080621C9"/>
    <w:rsid w:val="081015DC"/>
    <w:rsid w:val="081303C8"/>
    <w:rsid w:val="08177C5E"/>
    <w:rsid w:val="081B6E33"/>
    <w:rsid w:val="082223BA"/>
    <w:rsid w:val="08295912"/>
    <w:rsid w:val="082E346B"/>
    <w:rsid w:val="082E4847"/>
    <w:rsid w:val="08342A99"/>
    <w:rsid w:val="083916F5"/>
    <w:rsid w:val="083C0F0B"/>
    <w:rsid w:val="08433809"/>
    <w:rsid w:val="08435ACA"/>
    <w:rsid w:val="08484B64"/>
    <w:rsid w:val="085001FB"/>
    <w:rsid w:val="085041EF"/>
    <w:rsid w:val="085700EA"/>
    <w:rsid w:val="08591B53"/>
    <w:rsid w:val="085C3097"/>
    <w:rsid w:val="085E6275"/>
    <w:rsid w:val="086269D6"/>
    <w:rsid w:val="0863777B"/>
    <w:rsid w:val="08674270"/>
    <w:rsid w:val="086817EF"/>
    <w:rsid w:val="08695D3D"/>
    <w:rsid w:val="086B6C8B"/>
    <w:rsid w:val="087034D0"/>
    <w:rsid w:val="08732C15"/>
    <w:rsid w:val="087368F3"/>
    <w:rsid w:val="088262B8"/>
    <w:rsid w:val="0883182B"/>
    <w:rsid w:val="088968DD"/>
    <w:rsid w:val="08916A4B"/>
    <w:rsid w:val="089C5922"/>
    <w:rsid w:val="089E685F"/>
    <w:rsid w:val="089F0CDC"/>
    <w:rsid w:val="08A011D0"/>
    <w:rsid w:val="08A53D7C"/>
    <w:rsid w:val="08AA5136"/>
    <w:rsid w:val="08B227AF"/>
    <w:rsid w:val="08B3415A"/>
    <w:rsid w:val="08B644EE"/>
    <w:rsid w:val="08B80F70"/>
    <w:rsid w:val="08C22547"/>
    <w:rsid w:val="08C53872"/>
    <w:rsid w:val="08CF5189"/>
    <w:rsid w:val="08D062B9"/>
    <w:rsid w:val="08D6431D"/>
    <w:rsid w:val="08DF4269"/>
    <w:rsid w:val="08E23806"/>
    <w:rsid w:val="08E26C7B"/>
    <w:rsid w:val="08E544AC"/>
    <w:rsid w:val="08F655F4"/>
    <w:rsid w:val="08F97E24"/>
    <w:rsid w:val="09036E4C"/>
    <w:rsid w:val="0905072E"/>
    <w:rsid w:val="09053639"/>
    <w:rsid w:val="090632C9"/>
    <w:rsid w:val="090965BF"/>
    <w:rsid w:val="090C3C32"/>
    <w:rsid w:val="090E5BCE"/>
    <w:rsid w:val="09103097"/>
    <w:rsid w:val="09111778"/>
    <w:rsid w:val="09152278"/>
    <w:rsid w:val="09187C60"/>
    <w:rsid w:val="091F0A40"/>
    <w:rsid w:val="092403B3"/>
    <w:rsid w:val="092A29E9"/>
    <w:rsid w:val="09376339"/>
    <w:rsid w:val="093868EC"/>
    <w:rsid w:val="09387C46"/>
    <w:rsid w:val="093A62D9"/>
    <w:rsid w:val="093D270D"/>
    <w:rsid w:val="09424168"/>
    <w:rsid w:val="0943229F"/>
    <w:rsid w:val="094D451D"/>
    <w:rsid w:val="0952458B"/>
    <w:rsid w:val="09537CA3"/>
    <w:rsid w:val="0955056D"/>
    <w:rsid w:val="0955064A"/>
    <w:rsid w:val="095C6845"/>
    <w:rsid w:val="095C69F8"/>
    <w:rsid w:val="095C76D8"/>
    <w:rsid w:val="096124DE"/>
    <w:rsid w:val="096134BC"/>
    <w:rsid w:val="096338EE"/>
    <w:rsid w:val="096653C3"/>
    <w:rsid w:val="09690DB9"/>
    <w:rsid w:val="096D58B6"/>
    <w:rsid w:val="096E729A"/>
    <w:rsid w:val="09707BB3"/>
    <w:rsid w:val="0972111F"/>
    <w:rsid w:val="097237E4"/>
    <w:rsid w:val="097B3DEA"/>
    <w:rsid w:val="09860C96"/>
    <w:rsid w:val="09926C89"/>
    <w:rsid w:val="09990027"/>
    <w:rsid w:val="0999232E"/>
    <w:rsid w:val="09A56073"/>
    <w:rsid w:val="09A768E4"/>
    <w:rsid w:val="09B2348E"/>
    <w:rsid w:val="09B4328A"/>
    <w:rsid w:val="09B61704"/>
    <w:rsid w:val="09B97801"/>
    <w:rsid w:val="09C24ED3"/>
    <w:rsid w:val="09C32F37"/>
    <w:rsid w:val="09C366B1"/>
    <w:rsid w:val="09CC2DF8"/>
    <w:rsid w:val="09CF4422"/>
    <w:rsid w:val="09D136E8"/>
    <w:rsid w:val="09D1382F"/>
    <w:rsid w:val="09D20EB9"/>
    <w:rsid w:val="09D2576F"/>
    <w:rsid w:val="09D431CB"/>
    <w:rsid w:val="09D54691"/>
    <w:rsid w:val="09DC6D6C"/>
    <w:rsid w:val="09DE2EA8"/>
    <w:rsid w:val="09E21CC2"/>
    <w:rsid w:val="09E261CF"/>
    <w:rsid w:val="09E54C55"/>
    <w:rsid w:val="09EF0A55"/>
    <w:rsid w:val="09EF451D"/>
    <w:rsid w:val="09F47D86"/>
    <w:rsid w:val="09F91840"/>
    <w:rsid w:val="09FA4321"/>
    <w:rsid w:val="0A02797B"/>
    <w:rsid w:val="0A050BE6"/>
    <w:rsid w:val="0A097537"/>
    <w:rsid w:val="0A0A62F1"/>
    <w:rsid w:val="0A0F25B4"/>
    <w:rsid w:val="0A104BB3"/>
    <w:rsid w:val="0A142622"/>
    <w:rsid w:val="0A1728AA"/>
    <w:rsid w:val="0A1A546C"/>
    <w:rsid w:val="0A1C30F3"/>
    <w:rsid w:val="0A1E04B8"/>
    <w:rsid w:val="0A1E46DC"/>
    <w:rsid w:val="0A1E7746"/>
    <w:rsid w:val="0A1F16C3"/>
    <w:rsid w:val="0A1F7E59"/>
    <w:rsid w:val="0A221C29"/>
    <w:rsid w:val="0A25034C"/>
    <w:rsid w:val="0A2D2467"/>
    <w:rsid w:val="0A2F38BD"/>
    <w:rsid w:val="0A3A7632"/>
    <w:rsid w:val="0A3D7650"/>
    <w:rsid w:val="0A3E4747"/>
    <w:rsid w:val="0A420EFA"/>
    <w:rsid w:val="0A4358A8"/>
    <w:rsid w:val="0A5070F2"/>
    <w:rsid w:val="0A5922DF"/>
    <w:rsid w:val="0A5D3B7D"/>
    <w:rsid w:val="0A5F1A8C"/>
    <w:rsid w:val="0A5F4935"/>
    <w:rsid w:val="0A6C6551"/>
    <w:rsid w:val="0A6F4B91"/>
    <w:rsid w:val="0A6F5673"/>
    <w:rsid w:val="0A724103"/>
    <w:rsid w:val="0A747118"/>
    <w:rsid w:val="0A774413"/>
    <w:rsid w:val="0A7775FC"/>
    <w:rsid w:val="0A78551E"/>
    <w:rsid w:val="0A7C1747"/>
    <w:rsid w:val="0A8003AF"/>
    <w:rsid w:val="0A801619"/>
    <w:rsid w:val="0A82274B"/>
    <w:rsid w:val="0A864DE1"/>
    <w:rsid w:val="0A8818A5"/>
    <w:rsid w:val="0A89712B"/>
    <w:rsid w:val="0A8C6210"/>
    <w:rsid w:val="0A900AC1"/>
    <w:rsid w:val="0AAE1F31"/>
    <w:rsid w:val="0AAE583F"/>
    <w:rsid w:val="0AAF0E50"/>
    <w:rsid w:val="0AB6328D"/>
    <w:rsid w:val="0ABB0949"/>
    <w:rsid w:val="0AC05582"/>
    <w:rsid w:val="0AC83EEC"/>
    <w:rsid w:val="0ACA7DE1"/>
    <w:rsid w:val="0AD17C72"/>
    <w:rsid w:val="0AD27739"/>
    <w:rsid w:val="0ADB3760"/>
    <w:rsid w:val="0ADD7611"/>
    <w:rsid w:val="0AE540A4"/>
    <w:rsid w:val="0AE63E6B"/>
    <w:rsid w:val="0AE71698"/>
    <w:rsid w:val="0AEC7988"/>
    <w:rsid w:val="0AED1AFF"/>
    <w:rsid w:val="0AF20E87"/>
    <w:rsid w:val="0AF63BE3"/>
    <w:rsid w:val="0AF6545B"/>
    <w:rsid w:val="0AF9625E"/>
    <w:rsid w:val="0B02541A"/>
    <w:rsid w:val="0B05216A"/>
    <w:rsid w:val="0B076861"/>
    <w:rsid w:val="0B096A09"/>
    <w:rsid w:val="0B0B10F0"/>
    <w:rsid w:val="0B0E5E84"/>
    <w:rsid w:val="0B106371"/>
    <w:rsid w:val="0B1D5930"/>
    <w:rsid w:val="0B1E46F7"/>
    <w:rsid w:val="0B1F0E32"/>
    <w:rsid w:val="0B1F5DA0"/>
    <w:rsid w:val="0B256B72"/>
    <w:rsid w:val="0B262672"/>
    <w:rsid w:val="0B2C5E24"/>
    <w:rsid w:val="0B343076"/>
    <w:rsid w:val="0B3C43D0"/>
    <w:rsid w:val="0B3E1348"/>
    <w:rsid w:val="0B400EAD"/>
    <w:rsid w:val="0B425CD3"/>
    <w:rsid w:val="0B45064F"/>
    <w:rsid w:val="0B474C50"/>
    <w:rsid w:val="0B4B4F0C"/>
    <w:rsid w:val="0B4E5AC0"/>
    <w:rsid w:val="0B536D2E"/>
    <w:rsid w:val="0B553E7D"/>
    <w:rsid w:val="0B585F0C"/>
    <w:rsid w:val="0B5A4560"/>
    <w:rsid w:val="0B5E6F89"/>
    <w:rsid w:val="0B626E12"/>
    <w:rsid w:val="0B6B6C95"/>
    <w:rsid w:val="0B6B7C7E"/>
    <w:rsid w:val="0B6D5705"/>
    <w:rsid w:val="0B6F16A7"/>
    <w:rsid w:val="0B6F290B"/>
    <w:rsid w:val="0B711C06"/>
    <w:rsid w:val="0B765DD5"/>
    <w:rsid w:val="0B7A3F02"/>
    <w:rsid w:val="0B7F2E6D"/>
    <w:rsid w:val="0B7F7B23"/>
    <w:rsid w:val="0B812D6D"/>
    <w:rsid w:val="0B832C7E"/>
    <w:rsid w:val="0B8415DD"/>
    <w:rsid w:val="0B9263C7"/>
    <w:rsid w:val="0B98595E"/>
    <w:rsid w:val="0BA12A9D"/>
    <w:rsid w:val="0BA41DBA"/>
    <w:rsid w:val="0BA5102F"/>
    <w:rsid w:val="0BA912E4"/>
    <w:rsid w:val="0BA9697E"/>
    <w:rsid w:val="0BAB0E62"/>
    <w:rsid w:val="0BAE36BB"/>
    <w:rsid w:val="0BAE6284"/>
    <w:rsid w:val="0BAF2977"/>
    <w:rsid w:val="0BAF4213"/>
    <w:rsid w:val="0BB66FA4"/>
    <w:rsid w:val="0BB90BD6"/>
    <w:rsid w:val="0BBA1EEC"/>
    <w:rsid w:val="0BBB33C4"/>
    <w:rsid w:val="0BBE32AF"/>
    <w:rsid w:val="0BC1638D"/>
    <w:rsid w:val="0BCA437F"/>
    <w:rsid w:val="0BCC35DF"/>
    <w:rsid w:val="0BCF2858"/>
    <w:rsid w:val="0BD6762B"/>
    <w:rsid w:val="0BD8091E"/>
    <w:rsid w:val="0BDA55A2"/>
    <w:rsid w:val="0BDB709E"/>
    <w:rsid w:val="0BDC3B36"/>
    <w:rsid w:val="0BDD262A"/>
    <w:rsid w:val="0BE462AE"/>
    <w:rsid w:val="0BED4B6E"/>
    <w:rsid w:val="0BF07B90"/>
    <w:rsid w:val="0BF22AB1"/>
    <w:rsid w:val="0BF41D97"/>
    <w:rsid w:val="0BFE6C9A"/>
    <w:rsid w:val="0BFE786F"/>
    <w:rsid w:val="0C006EB6"/>
    <w:rsid w:val="0C0137D8"/>
    <w:rsid w:val="0C020C26"/>
    <w:rsid w:val="0C032C2F"/>
    <w:rsid w:val="0C076E3B"/>
    <w:rsid w:val="0C0D7319"/>
    <w:rsid w:val="0C105316"/>
    <w:rsid w:val="0C123672"/>
    <w:rsid w:val="0C144D74"/>
    <w:rsid w:val="0C252AC0"/>
    <w:rsid w:val="0C281EC0"/>
    <w:rsid w:val="0C2A3F33"/>
    <w:rsid w:val="0C2D6895"/>
    <w:rsid w:val="0C2F5F5B"/>
    <w:rsid w:val="0C3065CE"/>
    <w:rsid w:val="0C321039"/>
    <w:rsid w:val="0C3E20D8"/>
    <w:rsid w:val="0C443312"/>
    <w:rsid w:val="0C472F1A"/>
    <w:rsid w:val="0C4760BB"/>
    <w:rsid w:val="0C485585"/>
    <w:rsid w:val="0C541BF4"/>
    <w:rsid w:val="0C550884"/>
    <w:rsid w:val="0C563A8B"/>
    <w:rsid w:val="0C5845B6"/>
    <w:rsid w:val="0C5C3134"/>
    <w:rsid w:val="0C6006F4"/>
    <w:rsid w:val="0C736DEA"/>
    <w:rsid w:val="0C745BFA"/>
    <w:rsid w:val="0C7A0197"/>
    <w:rsid w:val="0C7A56D7"/>
    <w:rsid w:val="0C7C51F1"/>
    <w:rsid w:val="0C7D0BFC"/>
    <w:rsid w:val="0C8029AB"/>
    <w:rsid w:val="0C87329B"/>
    <w:rsid w:val="0C88619D"/>
    <w:rsid w:val="0C8B74C3"/>
    <w:rsid w:val="0C8F2DCA"/>
    <w:rsid w:val="0C8F2DF7"/>
    <w:rsid w:val="0CA14EEC"/>
    <w:rsid w:val="0CAB5310"/>
    <w:rsid w:val="0CAF4438"/>
    <w:rsid w:val="0CB1337B"/>
    <w:rsid w:val="0CC04897"/>
    <w:rsid w:val="0CC14B1E"/>
    <w:rsid w:val="0CC4128C"/>
    <w:rsid w:val="0CC46135"/>
    <w:rsid w:val="0CC6119E"/>
    <w:rsid w:val="0CC63D57"/>
    <w:rsid w:val="0CC90431"/>
    <w:rsid w:val="0CCD306D"/>
    <w:rsid w:val="0CCD573A"/>
    <w:rsid w:val="0CD504A3"/>
    <w:rsid w:val="0CD949B1"/>
    <w:rsid w:val="0CF454F6"/>
    <w:rsid w:val="0CF64FD9"/>
    <w:rsid w:val="0CF76807"/>
    <w:rsid w:val="0CF82CEA"/>
    <w:rsid w:val="0CF83CEF"/>
    <w:rsid w:val="0CF936FF"/>
    <w:rsid w:val="0CF9542B"/>
    <w:rsid w:val="0CFC67B3"/>
    <w:rsid w:val="0CFF1EF4"/>
    <w:rsid w:val="0CFF4096"/>
    <w:rsid w:val="0D0639BB"/>
    <w:rsid w:val="0D0D090A"/>
    <w:rsid w:val="0D0E31BC"/>
    <w:rsid w:val="0D0E6AD3"/>
    <w:rsid w:val="0D1263E5"/>
    <w:rsid w:val="0D151FE4"/>
    <w:rsid w:val="0D181FDD"/>
    <w:rsid w:val="0D197E9F"/>
    <w:rsid w:val="0D1C5D42"/>
    <w:rsid w:val="0D213BB6"/>
    <w:rsid w:val="0D21600E"/>
    <w:rsid w:val="0D240982"/>
    <w:rsid w:val="0D282EFA"/>
    <w:rsid w:val="0D291805"/>
    <w:rsid w:val="0D2D1F70"/>
    <w:rsid w:val="0D305F2B"/>
    <w:rsid w:val="0D3561F9"/>
    <w:rsid w:val="0D3D0D2D"/>
    <w:rsid w:val="0D3D37F2"/>
    <w:rsid w:val="0D3E59C7"/>
    <w:rsid w:val="0D4234FE"/>
    <w:rsid w:val="0D464D9C"/>
    <w:rsid w:val="0D4800E8"/>
    <w:rsid w:val="0D4A0D20"/>
    <w:rsid w:val="0D4B6907"/>
    <w:rsid w:val="0D4E3FF2"/>
    <w:rsid w:val="0D570D57"/>
    <w:rsid w:val="0D5C4A45"/>
    <w:rsid w:val="0D5D1372"/>
    <w:rsid w:val="0D607AC3"/>
    <w:rsid w:val="0D6118AA"/>
    <w:rsid w:val="0D641E83"/>
    <w:rsid w:val="0D6A146F"/>
    <w:rsid w:val="0D6A5091"/>
    <w:rsid w:val="0D71027D"/>
    <w:rsid w:val="0D7171B2"/>
    <w:rsid w:val="0D780E1B"/>
    <w:rsid w:val="0D7D43B6"/>
    <w:rsid w:val="0D8056CB"/>
    <w:rsid w:val="0D8254E9"/>
    <w:rsid w:val="0D8768B9"/>
    <w:rsid w:val="0D8B27AF"/>
    <w:rsid w:val="0D8C6172"/>
    <w:rsid w:val="0D917FBB"/>
    <w:rsid w:val="0D9755F8"/>
    <w:rsid w:val="0D9A44EF"/>
    <w:rsid w:val="0D9E57C5"/>
    <w:rsid w:val="0DA53BEE"/>
    <w:rsid w:val="0DA8273C"/>
    <w:rsid w:val="0DAE006B"/>
    <w:rsid w:val="0DAE498E"/>
    <w:rsid w:val="0DB14DE3"/>
    <w:rsid w:val="0DB53094"/>
    <w:rsid w:val="0DB6549B"/>
    <w:rsid w:val="0DB67EA1"/>
    <w:rsid w:val="0DB8556E"/>
    <w:rsid w:val="0DBC04D7"/>
    <w:rsid w:val="0DBF6666"/>
    <w:rsid w:val="0DC61EAE"/>
    <w:rsid w:val="0DC857B1"/>
    <w:rsid w:val="0DCA4230"/>
    <w:rsid w:val="0DCA5B25"/>
    <w:rsid w:val="0DCB34F3"/>
    <w:rsid w:val="0DCB5A98"/>
    <w:rsid w:val="0DCD1A67"/>
    <w:rsid w:val="0DD03421"/>
    <w:rsid w:val="0DDB2108"/>
    <w:rsid w:val="0DDD5924"/>
    <w:rsid w:val="0DDF0D4D"/>
    <w:rsid w:val="0DE3753A"/>
    <w:rsid w:val="0DE741E9"/>
    <w:rsid w:val="0DED6A64"/>
    <w:rsid w:val="0DEE3E58"/>
    <w:rsid w:val="0DEF5D38"/>
    <w:rsid w:val="0DF7383C"/>
    <w:rsid w:val="0DF954CF"/>
    <w:rsid w:val="0DF9581D"/>
    <w:rsid w:val="0E01355F"/>
    <w:rsid w:val="0E016F15"/>
    <w:rsid w:val="0E042717"/>
    <w:rsid w:val="0E0501E1"/>
    <w:rsid w:val="0E061719"/>
    <w:rsid w:val="0E06452B"/>
    <w:rsid w:val="0E0A69CD"/>
    <w:rsid w:val="0E0B5D5A"/>
    <w:rsid w:val="0E0C4AF6"/>
    <w:rsid w:val="0E0E7BEA"/>
    <w:rsid w:val="0E157AC5"/>
    <w:rsid w:val="0E17493E"/>
    <w:rsid w:val="0E195543"/>
    <w:rsid w:val="0E1D356C"/>
    <w:rsid w:val="0E2A6917"/>
    <w:rsid w:val="0E2C0A09"/>
    <w:rsid w:val="0E2F3A82"/>
    <w:rsid w:val="0E39220B"/>
    <w:rsid w:val="0E3C6219"/>
    <w:rsid w:val="0E450613"/>
    <w:rsid w:val="0E487986"/>
    <w:rsid w:val="0E4C728D"/>
    <w:rsid w:val="0E5005EE"/>
    <w:rsid w:val="0E5317FD"/>
    <w:rsid w:val="0E562763"/>
    <w:rsid w:val="0E5928AD"/>
    <w:rsid w:val="0E5D6935"/>
    <w:rsid w:val="0E6C1053"/>
    <w:rsid w:val="0E6C4C92"/>
    <w:rsid w:val="0E6D5EA0"/>
    <w:rsid w:val="0E6F56B4"/>
    <w:rsid w:val="0E736CD5"/>
    <w:rsid w:val="0E7616B1"/>
    <w:rsid w:val="0E7C5978"/>
    <w:rsid w:val="0E7E40C2"/>
    <w:rsid w:val="0E7F3B1F"/>
    <w:rsid w:val="0E822795"/>
    <w:rsid w:val="0E826DFB"/>
    <w:rsid w:val="0E895125"/>
    <w:rsid w:val="0E940ADB"/>
    <w:rsid w:val="0E942B2D"/>
    <w:rsid w:val="0E9E7DBD"/>
    <w:rsid w:val="0EA765B7"/>
    <w:rsid w:val="0EA93D1B"/>
    <w:rsid w:val="0EAA425E"/>
    <w:rsid w:val="0EB76A3F"/>
    <w:rsid w:val="0EB83068"/>
    <w:rsid w:val="0EBB3568"/>
    <w:rsid w:val="0EC4623E"/>
    <w:rsid w:val="0EC64938"/>
    <w:rsid w:val="0ECF28CA"/>
    <w:rsid w:val="0ECF491D"/>
    <w:rsid w:val="0ED45238"/>
    <w:rsid w:val="0ED5575B"/>
    <w:rsid w:val="0ED566F1"/>
    <w:rsid w:val="0ED974B9"/>
    <w:rsid w:val="0EDA313D"/>
    <w:rsid w:val="0EDC1CC4"/>
    <w:rsid w:val="0EE603F7"/>
    <w:rsid w:val="0EE632F1"/>
    <w:rsid w:val="0EEE5BC4"/>
    <w:rsid w:val="0EF53672"/>
    <w:rsid w:val="0EF83315"/>
    <w:rsid w:val="0EFB6F00"/>
    <w:rsid w:val="0EFD76DC"/>
    <w:rsid w:val="0EFE4BDA"/>
    <w:rsid w:val="0F026503"/>
    <w:rsid w:val="0F026688"/>
    <w:rsid w:val="0F052A35"/>
    <w:rsid w:val="0F053CBB"/>
    <w:rsid w:val="0F084A20"/>
    <w:rsid w:val="0F091A0A"/>
    <w:rsid w:val="0F0D158F"/>
    <w:rsid w:val="0F1046C9"/>
    <w:rsid w:val="0F135A49"/>
    <w:rsid w:val="0F141EE7"/>
    <w:rsid w:val="0F167D21"/>
    <w:rsid w:val="0F1D1837"/>
    <w:rsid w:val="0F32762F"/>
    <w:rsid w:val="0F3A06C1"/>
    <w:rsid w:val="0F3C7831"/>
    <w:rsid w:val="0F3F48FA"/>
    <w:rsid w:val="0F40581B"/>
    <w:rsid w:val="0F433073"/>
    <w:rsid w:val="0F453A0B"/>
    <w:rsid w:val="0F490B74"/>
    <w:rsid w:val="0F507FE5"/>
    <w:rsid w:val="0F513EDC"/>
    <w:rsid w:val="0F522813"/>
    <w:rsid w:val="0F5B1EDC"/>
    <w:rsid w:val="0F5B4FA9"/>
    <w:rsid w:val="0F5C328C"/>
    <w:rsid w:val="0F5E1165"/>
    <w:rsid w:val="0F6232F4"/>
    <w:rsid w:val="0F634EED"/>
    <w:rsid w:val="0F677FD9"/>
    <w:rsid w:val="0F694B1F"/>
    <w:rsid w:val="0F6D2DBE"/>
    <w:rsid w:val="0F6D50E3"/>
    <w:rsid w:val="0F6D6A36"/>
    <w:rsid w:val="0F6E7169"/>
    <w:rsid w:val="0F753717"/>
    <w:rsid w:val="0F763231"/>
    <w:rsid w:val="0F7C72F1"/>
    <w:rsid w:val="0F8329DB"/>
    <w:rsid w:val="0F832C11"/>
    <w:rsid w:val="0F8529D4"/>
    <w:rsid w:val="0F8971C2"/>
    <w:rsid w:val="0F924B59"/>
    <w:rsid w:val="0F927BD4"/>
    <w:rsid w:val="0F953DB9"/>
    <w:rsid w:val="0F982F92"/>
    <w:rsid w:val="0F9965B5"/>
    <w:rsid w:val="0F9A034A"/>
    <w:rsid w:val="0FA0507B"/>
    <w:rsid w:val="0FA62C26"/>
    <w:rsid w:val="0FA7589A"/>
    <w:rsid w:val="0FA75EDC"/>
    <w:rsid w:val="0FAB0EE6"/>
    <w:rsid w:val="0FAB677C"/>
    <w:rsid w:val="0FAD78FC"/>
    <w:rsid w:val="0FAF15F8"/>
    <w:rsid w:val="0FB25F80"/>
    <w:rsid w:val="0FBB1A9C"/>
    <w:rsid w:val="0FBD7C78"/>
    <w:rsid w:val="0FC113CA"/>
    <w:rsid w:val="0FC14D11"/>
    <w:rsid w:val="0FC14EB4"/>
    <w:rsid w:val="0FC660ED"/>
    <w:rsid w:val="0FCE5F86"/>
    <w:rsid w:val="0FD25DBB"/>
    <w:rsid w:val="0FD65E22"/>
    <w:rsid w:val="0FD94DB4"/>
    <w:rsid w:val="0FDC3772"/>
    <w:rsid w:val="0FDC7C4B"/>
    <w:rsid w:val="0FE82CFC"/>
    <w:rsid w:val="0FFC13CF"/>
    <w:rsid w:val="10071649"/>
    <w:rsid w:val="100D209D"/>
    <w:rsid w:val="10195688"/>
    <w:rsid w:val="101B4429"/>
    <w:rsid w:val="101C1295"/>
    <w:rsid w:val="101E5B5C"/>
    <w:rsid w:val="10257BCD"/>
    <w:rsid w:val="102A5BB6"/>
    <w:rsid w:val="1032278E"/>
    <w:rsid w:val="10345A13"/>
    <w:rsid w:val="103A112A"/>
    <w:rsid w:val="103D03A3"/>
    <w:rsid w:val="103D460F"/>
    <w:rsid w:val="103D7281"/>
    <w:rsid w:val="10410AF3"/>
    <w:rsid w:val="10492F16"/>
    <w:rsid w:val="104C2E0F"/>
    <w:rsid w:val="104F32A7"/>
    <w:rsid w:val="1055162D"/>
    <w:rsid w:val="105520E2"/>
    <w:rsid w:val="105556EF"/>
    <w:rsid w:val="105767AC"/>
    <w:rsid w:val="105923DE"/>
    <w:rsid w:val="105B6A94"/>
    <w:rsid w:val="105C0A9A"/>
    <w:rsid w:val="105C108D"/>
    <w:rsid w:val="1067241C"/>
    <w:rsid w:val="106D0892"/>
    <w:rsid w:val="107022EF"/>
    <w:rsid w:val="107028D5"/>
    <w:rsid w:val="1074088A"/>
    <w:rsid w:val="10760AAE"/>
    <w:rsid w:val="107664F1"/>
    <w:rsid w:val="107734BE"/>
    <w:rsid w:val="10795593"/>
    <w:rsid w:val="10797B9F"/>
    <w:rsid w:val="107C0D73"/>
    <w:rsid w:val="107C7E96"/>
    <w:rsid w:val="10805BC6"/>
    <w:rsid w:val="10832326"/>
    <w:rsid w:val="10860C31"/>
    <w:rsid w:val="108958DC"/>
    <w:rsid w:val="108B51A2"/>
    <w:rsid w:val="10945C59"/>
    <w:rsid w:val="10962F8C"/>
    <w:rsid w:val="109F5804"/>
    <w:rsid w:val="10A63124"/>
    <w:rsid w:val="10A65B52"/>
    <w:rsid w:val="10A83678"/>
    <w:rsid w:val="10A87B1C"/>
    <w:rsid w:val="10AC0104"/>
    <w:rsid w:val="10AF4563"/>
    <w:rsid w:val="10B4026F"/>
    <w:rsid w:val="10B4201D"/>
    <w:rsid w:val="10B7746B"/>
    <w:rsid w:val="10B85695"/>
    <w:rsid w:val="10BF708B"/>
    <w:rsid w:val="10C35F3C"/>
    <w:rsid w:val="10D36F9D"/>
    <w:rsid w:val="10D5718B"/>
    <w:rsid w:val="10D84C90"/>
    <w:rsid w:val="10D91D9A"/>
    <w:rsid w:val="10D92227"/>
    <w:rsid w:val="10DA0F83"/>
    <w:rsid w:val="10DA1D2D"/>
    <w:rsid w:val="10DB1794"/>
    <w:rsid w:val="10DC1355"/>
    <w:rsid w:val="10DE3613"/>
    <w:rsid w:val="10DE4159"/>
    <w:rsid w:val="10E32902"/>
    <w:rsid w:val="10E44C66"/>
    <w:rsid w:val="10E943BC"/>
    <w:rsid w:val="10ED4795"/>
    <w:rsid w:val="10F16520"/>
    <w:rsid w:val="10FB7C4C"/>
    <w:rsid w:val="1106294C"/>
    <w:rsid w:val="110814DB"/>
    <w:rsid w:val="11134FB7"/>
    <w:rsid w:val="11144EB5"/>
    <w:rsid w:val="111711DB"/>
    <w:rsid w:val="11204F20"/>
    <w:rsid w:val="11230486"/>
    <w:rsid w:val="11234A36"/>
    <w:rsid w:val="11286C4C"/>
    <w:rsid w:val="112B0D65"/>
    <w:rsid w:val="112E6273"/>
    <w:rsid w:val="113413B0"/>
    <w:rsid w:val="1134315E"/>
    <w:rsid w:val="11347746"/>
    <w:rsid w:val="11401E2F"/>
    <w:rsid w:val="114176DD"/>
    <w:rsid w:val="114E7D12"/>
    <w:rsid w:val="115018E9"/>
    <w:rsid w:val="11504DFA"/>
    <w:rsid w:val="11560282"/>
    <w:rsid w:val="11596BFB"/>
    <w:rsid w:val="115C1087"/>
    <w:rsid w:val="115D6342"/>
    <w:rsid w:val="11610266"/>
    <w:rsid w:val="11680E66"/>
    <w:rsid w:val="116A26CE"/>
    <w:rsid w:val="11714B72"/>
    <w:rsid w:val="117344F9"/>
    <w:rsid w:val="11744BA1"/>
    <w:rsid w:val="11751C96"/>
    <w:rsid w:val="11760860"/>
    <w:rsid w:val="11764921"/>
    <w:rsid w:val="11791358"/>
    <w:rsid w:val="117E7B15"/>
    <w:rsid w:val="117F7EC8"/>
    <w:rsid w:val="11827ACD"/>
    <w:rsid w:val="118774A5"/>
    <w:rsid w:val="11885B1E"/>
    <w:rsid w:val="11886DAC"/>
    <w:rsid w:val="118C1FAA"/>
    <w:rsid w:val="118F2AA7"/>
    <w:rsid w:val="11937186"/>
    <w:rsid w:val="1195452C"/>
    <w:rsid w:val="11994A85"/>
    <w:rsid w:val="11A007F3"/>
    <w:rsid w:val="11A10A3F"/>
    <w:rsid w:val="11A71B81"/>
    <w:rsid w:val="11B05899"/>
    <w:rsid w:val="11B103A0"/>
    <w:rsid w:val="11B13B87"/>
    <w:rsid w:val="11B9386B"/>
    <w:rsid w:val="11BB1EB2"/>
    <w:rsid w:val="11BD254B"/>
    <w:rsid w:val="11BD2D7F"/>
    <w:rsid w:val="11BF0BAA"/>
    <w:rsid w:val="11C1730B"/>
    <w:rsid w:val="11C926FC"/>
    <w:rsid w:val="11CE4BE7"/>
    <w:rsid w:val="11D25072"/>
    <w:rsid w:val="11D3210E"/>
    <w:rsid w:val="11D3292D"/>
    <w:rsid w:val="11D32A8C"/>
    <w:rsid w:val="11D56042"/>
    <w:rsid w:val="11D81CE5"/>
    <w:rsid w:val="11DC41DB"/>
    <w:rsid w:val="11DD60F0"/>
    <w:rsid w:val="11DE3611"/>
    <w:rsid w:val="11E17C2F"/>
    <w:rsid w:val="11EB31F9"/>
    <w:rsid w:val="11EE3A92"/>
    <w:rsid w:val="11F529DA"/>
    <w:rsid w:val="11F748B7"/>
    <w:rsid w:val="11FF33DB"/>
    <w:rsid w:val="12022C1E"/>
    <w:rsid w:val="120F5C3E"/>
    <w:rsid w:val="121361F3"/>
    <w:rsid w:val="12141AA8"/>
    <w:rsid w:val="121604EF"/>
    <w:rsid w:val="12180A46"/>
    <w:rsid w:val="12196D1F"/>
    <w:rsid w:val="121A4A7E"/>
    <w:rsid w:val="121D2952"/>
    <w:rsid w:val="121F6837"/>
    <w:rsid w:val="122136E2"/>
    <w:rsid w:val="12244F80"/>
    <w:rsid w:val="122A0C62"/>
    <w:rsid w:val="122A35F0"/>
    <w:rsid w:val="12332E4A"/>
    <w:rsid w:val="123346A9"/>
    <w:rsid w:val="12421A54"/>
    <w:rsid w:val="12437AFC"/>
    <w:rsid w:val="1248232D"/>
    <w:rsid w:val="1252175F"/>
    <w:rsid w:val="1253526A"/>
    <w:rsid w:val="12544197"/>
    <w:rsid w:val="12551518"/>
    <w:rsid w:val="12573C76"/>
    <w:rsid w:val="1264416D"/>
    <w:rsid w:val="12681311"/>
    <w:rsid w:val="126900CE"/>
    <w:rsid w:val="126B0374"/>
    <w:rsid w:val="12710BCE"/>
    <w:rsid w:val="12740CB0"/>
    <w:rsid w:val="128107D6"/>
    <w:rsid w:val="12820627"/>
    <w:rsid w:val="12877632"/>
    <w:rsid w:val="128943E2"/>
    <w:rsid w:val="128D566F"/>
    <w:rsid w:val="128E318D"/>
    <w:rsid w:val="12975053"/>
    <w:rsid w:val="12997788"/>
    <w:rsid w:val="129E2B72"/>
    <w:rsid w:val="12A14823"/>
    <w:rsid w:val="12A15456"/>
    <w:rsid w:val="12A25135"/>
    <w:rsid w:val="12A67F01"/>
    <w:rsid w:val="12AB1997"/>
    <w:rsid w:val="12AC0CF3"/>
    <w:rsid w:val="12AD393E"/>
    <w:rsid w:val="12B10B87"/>
    <w:rsid w:val="12B604C9"/>
    <w:rsid w:val="12B624C0"/>
    <w:rsid w:val="12BD3DE5"/>
    <w:rsid w:val="12BF45B6"/>
    <w:rsid w:val="12C0517B"/>
    <w:rsid w:val="12C56763"/>
    <w:rsid w:val="12C6350B"/>
    <w:rsid w:val="12CA3D79"/>
    <w:rsid w:val="12CA5B28"/>
    <w:rsid w:val="12D133CA"/>
    <w:rsid w:val="12D336DC"/>
    <w:rsid w:val="12D80360"/>
    <w:rsid w:val="12DB4B97"/>
    <w:rsid w:val="12DC64FA"/>
    <w:rsid w:val="12F108FF"/>
    <w:rsid w:val="12F2421E"/>
    <w:rsid w:val="12F43574"/>
    <w:rsid w:val="12F71DCD"/>
    <w:rsid w:val="12F87083"/>
    <w:rsid w:val="12F9640D"/>
    <w:rsid w:val="12FD6A6A"/>
    <w:rsid w:val="12FE3870"/>
    <w:rsid w:val="12FF4B4A"/>
    <w:rsid w:val="13016A99"/>
    <w:rsid w:val="13041BBA"/>
    <w:rsid w:val="13086525"/>
    <w:rsid w:val="130D2043"/>
    <w:rsid w:val="131414E4"/>
    <w:rsid w:val="13144EE0"/>
    <w:rsid w:val="1317695D"/>
    <w:rsid w:val="13190E52"/>
    <w:rsid w:val="131B19C2"/>
    <w:rsid w:val="132571FA"/>
    <w:rsid w:val="13294347"/>
    <w:rsid w:val="132D4978"/>
    <w:rsid w:val="13316A1C"/>
    <w:rsid w:val="133A2520"/>
    <w:rsid w:val="133D151E"/>
    <w:rsid w:val="133F4387"/>
    <w:rsid w:val="134267DE"/>
    <w:rsid w:val="13441065"/>
    <w:rsid w:val="13442526"/>
    <w:rsid w:val="1347360E"/>
    <w:rsid w:val="13482EF0"/>
    <w:rsid w:val="13497394"/>
    <w:rsid w:val="134B4D7E"/>
    <w:rsid w:val="134E2BCA"/>
    <w:rsid w:val="1351449B"/>
    <w:rsid w:val="13526788"/>
    <w:rsid w:val="1353061F"/>
    <w:rsid w:val="135360C6"/>
    <w:rsid w:val="13546BFA"/>
    <w:rsid w:val="13586526"/>
    <w:rsid w:val="135A0A2D"/>
    <w:rsid w:val="135D6A50"/>
    <w:rsid w:val="136046DE"/>
    <w:rsid w:val="13612341"/>
    <w:rsid w:val="13631807"/>
    <w:rsid w:val="136815EA"/>
    <w:rsid w:val="136B12D2"/>
    <w:rsid w:val="137110F1"/>
    <w:rsid w:val="13735B90"/>
    <w:rsid w:val="13757A9A"/>
    <w:rsid w:val="137912FC"/>
    <w:rsid w:val="137B32C6"/>
    <w:rsid w:val="137B458F"/>
    <w:rsid w:val="137C76B6"/>
    <w:rsid w:val="137D0DEC"/>
    <w:rsid w:val="1380047A"/>
    <w:rsid w:val="13941508"/>
    <w:rsid w:val="13944FD2"/>
    <w:rsid w:val="13954387"/>
    <w:rsid w:val="139D6D8E"/>
    <w:rsid w:val="139E2609"/>
    <w:rsid w:val="13A10F7E"/>
    <w:rsid w:val="13A80F79"/>
    <w:rsid w:val="13AD3798"/>
    <w:rsid w:val="13AF2B06"/>
    <w:rsid w:val="13B211A8"/>
    <w:rsid w:val="13BC6D3C"/>
    <w:rsid w:val="13BD5EA9"/>
    <w:rsid w:val="13C07196"/>
    <w:rsid w:val="13C35EE7"/>
    <w:rsid w:val="13CE33F5"/>
    <w:rsid w:val="13CE3E4A"/>
    <w:rsid w:val="13CF2349"/>
    <w:rsid w:val="13D0415B"/>
    <w:rsid w:val="13D10E76"/>
    <w:rsid w:val="13D20B60"/>
    <w:rsid w:val="13DD6659"/>
    <w:rsid w:val="13E02874"/>
    <w:rsid w:val="13E522FE"/>
    <w:rsid w:val="13E83E31"/>
    <w:rsid w:val="13EB57FB"/>
    <w:rsid w:val="13ED5EAC"/>
    <w:rsid w:val="13EE3A98"/>
    <w:rsid w:val="13EF5723"/>
    <w:rsid w:val="13F17F1D"/>
    <w:rsid w:val="13F9597E"/>
    <w:rsid w:val="13F974EB"/>
    <w:rsid w:val="13FA2D6F"/>
    <w:rsid w:val="13FA68E0"/>
    <w:rsid w:val="13FD244D"/>
    <w:rsid w:val="13FD5ABF"/>
    <w:rsid w:val="14053AC6"/>
    <w:rsid w:val="14134EDC"/>
    <w:rsid w:val="14186369"/>
    <w:rsid w:val="1419582F"/>
    <w:rsid w:val="141B15F0"/>
    <w:rsid w:val="141C3872"/>
    <w:rsid w:val="141F0CB3"/>
    <w:rsid w:val="141F3BEC"/>
    <w:rsid w:val="14215C1B"/>
    <w:rsid w:val="14236B78"/>
    <w:rsid w:val="14257BBA"/>
    <w:rsid w:val="142C45C0"/>
    <w:rsid w:val="142E0338"/>
    <w:rsid w:val="14305644"/>
    <w:rsid w:val="14305735"/>
    <w:rsid w:val="14336EDD"/>
    <w:rsid w:val="14391C37"/>
    <w:rsid w:val="14396B76"/>
    <w:rsid w:val="143A79B7"/>
    <w:rsid w:val="143C4803"/>
    <w:rsid w:val="14444E30"/>
    <w:rsid w:val="14487210"/>
    <w:rsid w:val="144F7F91"/>
    <w:rsid w:val="14522412"/>
    <w:rsid w:val="14551D69"/>
    <w:rsid w:val="1457123C"/>
    <w:rsid w:val="145772B5"/>
    <w:rsid w:val="145923CA"/>
    <w:rsid w:val="146640AD"/>
    <w:rsid w:val="14665D24"/>
    <w:rsid w:val="14681DAB"/>
    <w:rsid w:val="146C2287"/>
    <w:rsid w:val="146E25C8"/>
    <w:rsid w:val="14726477"/>
    <w:rsid w:val="14755F67"/>
    <w:rsid w:val="147C484D"/>
    <w:rsid w:val="147F2942"/>
    <w:rsid w:val="148F13E8"/>
    <w:rsid w:val="1495439D"/>
    <w:rsid w:val="14985776"/>
    <w:rsid w:val="1498753C"/>
    <w:rsid w:val="149C141C"/>
    <w:rsid w:val="149D1B15"/>
    <w:rsid w:val="149D27C0"/>
    <w:rsid w:val="14A16CDB"/>
    <w:rsid w:val="14A62AA7"/>
    <w:rsid w:val="14AC2174"/>
    <w:rsid w:val="14AF3F89"/>
    <w:rsid w:val="14AF76CB"/>
    <w:rsid w:val="14B11DC5"/>
    <w:rsid w:val="14B71321"/>
    <w:rsid w:val="14B76A8C"/>
    <w:rsid w:val="14BE346A"/>
    <w:rsid w:val="14C1542D"/>
    <w:rsid w:val="14C30A80"/>
    <w:rsid w:val="14C859F0"/>
    <w:rsid w:val="14CB3DD9"/>
    <w:rsid w:val="14CC69BE"/>
    <w:rsid w:val="14CD35D2"/>
    <w:rsid w:val="14D137FF"/>
    <w:rsid w:val="14E6032F"/>
    <w:rsid w:val="14E64192"/>
    <w:rsid w:val="14EA6B3F"/>
    <w:rsid w:val="14EE5932"/>
    <w:rsid w:val="14EF0CB9"/>
    <w:rsid w:val="14EF22E5"/>
    <w:rsid w:val="14F62902"/>
    <w:rsid w:val="14F6771E"/>
    <w:rsid w:val="14FA3EE2"/>
    <w:rsid w:val="14FA54AB"/>
    <w:rsid w:val="14FB01B1"/>
    <w:rsid w:val="14FE466D"/>
    <w:rsid w:val="14FF01CE"/>
    <w:rsid w:val="15014066"/>
    <w:rsid w:val="15050F8F"/>
    <w:rsid w:val="150B2427"/>
    <w:rsid w:val="150B3D16"/>
    <w:rsid w:val="150D29AF"/>
    <w:rsid w:val="150D44A0"/>
    <w:rsid w:val="151237B6"/>
    <w:rsid w:val="15194812"/>
    <w:rsid w:val="151E5A2E"/>
    <w:rsid w:val="15204004"/>
    <w:rsid w:val="15243C83"/>
    <w:rsid w:val="152928A5"/>
    <w:rsid w:val="152A7C55"/>
    <w:rsid w:val="152E0E7A"/>
    <w:rsid w:val="152E38F8"/>
    <w:rsid w:val="1531364C"/>
    <w:rsid w:val="153151ED"/>
    <w:rsid w:val="15324DB9"/>
    <w:rsid w:val="15334BCC"/>
    <w:rsid w:val="15354C7D"/>
    <w:rsid w:val="15382C58"/>
    <w:rsid w:val="153F02F1"/>
    <w:rsid w:val="154138CB"/>
    <w:rsid w:val="15423011"/>
    <w:rsid w:val="15433F4E"/>
    <w:rsid w:val="154A5271"/>
    <w:rsid w:val="15535828"/>
    <w:rsid w:val="15535988"/>
    <w:rsid w:val="155C4BED"/>
    <w:rsid w:val="15600CFF"/>
    <w:rsid w:val="156063FA"/>
    <w:rsid w:val="15652BA6"/>
    <w:rsid w:val="156546E1"/>
    <w:rsid w:val="156942AF"/>
    <w:rsid w:val="156C736A"/>
    <w:rsid w:val="15743686"/>
    <w:rsid w:val="15762223"/>
    <w:rsid w:val="15786EBB"/>
    <w:rsid w:val="15824961"/>
    <w:rsid w:val="158306CF"/>
    <w:rsid w:val="15851B30"/>
    <w:rsid w:val="158534C1"/>
    <w:rsid w:val="159B47C0"/>
    <w:rsid w:val="159C04A9"/>
    <w:rsid w:val="159C0F6F"/>
    <w:rsid w:val="15A55E27"/>
    <w:rsid w:val="15AA491D"/>
    <w:rsid w:val="15AD54BA"/>
    <w:rsid w:val="15AE5663"/>
    <w:rsid w:val="15AF52F7"/>
    <w:rsid w:val="15B25CFA"/>
    <w:rsid w:val="15B66837"/>
    <w:rsid w:val="15BA50DE"/>
    <w:rsid w:val="15C31E85"/>
    <w:rsid w:val="15C56A7A"/>
    <w:rsid w:val="15C7386F"/>
    <w:rsid w:val="15D45C9E"/>
    <w:rsid w:val="15DB13A1"/>
    <w:rsid w:val="15DD1D20"/>
    <w:rsid w:val="15DE715D"/>
    <w:rsid w:val="15E560E9"/>
    <w:rsid w:val="15E80166"/>
    <w:rsid w:val="15EE2C04"/>
    <w:rsid w:val="15F17A8E"/>
    <w:rsid w:val="16080DE7"/>
    <w:rsid w:val="160C4B50"/>
    <w:rsid w:val="161474A0"/>
    <w:rsid w:val="16187DCC"/>
    <w:rsid w:val="161C0D90"/>
    <w:rsid w:val="161C17E4"/>
    <w:rsid w:val="16206DA1"/>
    <w:rsid w:val="16252D8C"/>
    <w:rsid w:val="16260F60"/>
    <w:rsid w:val="162A09C4"/>
    <w:rsid w:val="162B2DCF"/>
    <w:rsid w:val="16302145"/>
    <w:rsid w:val="16312871"/>
    <w:rsid w:val="16327CE5"/>
    <w:rsid w:val="163719FD"/>
    <w:rsid w:val="163B39F0"/>
    <w:rsid w:val="163C6EE4"/>
    <w:rsid w:val="164107F7"/>
    <w:rsid w:val="16502966"/>
    <w:rsid w:val="16521C58"/>
    <w:rsid w:val="165559B8"/>
    <w:rsid w:val="1656195D"/>
    <w:rsid w:val="16567713"/>
    <w:rsid w:val="16591BC5"/>
    <w:rsid w:val="16686AC7"/>
    <w:rsid w:val="166E41CF"/>
    <w:rsid w:val="166F1E57"/>
    <w:rsid w:val="167122B2"/>
    <w:rsid w:val="16762D24"/>
    <w:rsid w:val="167D24D6"/>
    <w:rsid w:val="167E5026"/>
    <w:rsid w:val="168358C5"/>
    <w:rsid w:val="1684002A"/>
    <w:rsid w:val="16850115"/>
    <w:rsid w:val="168638C8"/>
    <w:rsid w:val="168A1836"/>
    <w:rsid w:val="168A50B9"/>
    <w:rsid w:val="168D4FD4"/>
    <w:rsid w:val="16946B78"/>
    <w:rsid w:val="16965A93"/>
    <w:rsid w:val="16976668"/>
    <w:rsid w:val="16A231A0"/>
    <w:rsid w:val="16A36DBB"/>
    <w:rsid w:val="16A862B7"/>
    <w:rsid w:val="16A940E1"/>
    <w:rsid w:val="16B63327"/>
    <w:rsid w:val="16BA2B41"/>
    <w:rsid w:val="16C50984"/>
    <w:rsid w:val="16C52DD3"/>
    <w:rsid w:val="16CA07EC"/>
    <w:rsid w:val="16CC5716"/>
    <w:rsid w:val="16CD210C"/>
    <w:rsid w:val="16D2101C"/>
    <w:rsid w:val="16D46BF9"/>
    <w:rsid w:val="16D57C4E"/>
    <w:rsid w:val="16DB6FDB"/>
    <w:rsid w:val="16DD2477"/>
    <w:rsid w:val="16DF3906"/>
    <w:rsid w:val="16E02C9E"/>
    <w:rsid w:val="16E30B31"/>
    <w:rsid w:val="16E618D9"/>
    <w:rsid w:val="16E81DD2"/>
    <w:rsid w:val="16EB16E0"/>
    <w:rsid w:val="16F00516"/>
    <w:rsid w:val="16F1129A"/>
    <w:rsid w:val="16F37A0D"/>
    <w:rsid w:val="16F41472"/>
    <w:rsid w:val="16FB105D"/>
    <w:rsid w:val="16FD1A9A"/>
    <w:rsid w:val="17014BCB"/>
    <w:rsid w:val="17026054"/>
    <w:rsid w:val="17077553"/>
    <w:rsid w:val="17112D88"/>
    <w:rsid w:val="172124C7"/>
    <w:rsid w:val="17285513"/>
    <w:rsid w:val="172A36BB"/>
    <w:rsid w:val="173346CB"/>
    <w:rsid w:val="17335DBA"/>
    <w:rsid w:val="174060A8"/>
    <w:rsid w:val="17457EE8"/>
    <w:rsid w:val="174E33E4"/>
    <w:rsid w:val="17510F09"/>
    <w:rsid w:val="1752678E"/>
    <w:rsid w:val="1759406E"/>
    <w:rsid w:val="175E7C09"/>
    <w:rsid w:val="1767428D"/>
    <w:rsid w:val="176A501D"/>
    <w:rsid w:val="176C3109"/>
    <w:rsid w:val="177241B5"/>
    <w:rsid w:val="17752F41"/>
    <w:rsid w:val="17753D04"/>
    <w:rsid w:val="17760A9D"/>
    <w:rsid w:val="178526DD"/>
    <w:rsid w:val="178A3A30"/>
    <w:rsid w:val="1791130A"/>
    <w:rsid w:val="1797408C"/>
    <w:rsid w:val="17984CFC"/>
    <w:rsid w:val="179B7DC7"/>
    <w:rsid w:val="17A506C1"/>
    <w:rsid w:val="17A912A6"/>
    <w:rsid w:val="17AA4179"/>
    <w:rsid w:val="17AB5B57"/>
    <w:rsid w:val="17AC48A1"/>
    <w:rsid w:val="17AF588C"/>
    <w:rsid w:val="17AF7E9B"/>
    <w:rsid w:val="17B10B2E"/>
    <w:rsid w:val="17B33306"/>
    <w:rsid w:val="17B8110F"/>
    <w:rsid w:val="17B84415"/>
    <w:rsid w:val="17BA302D"/>
    <w:rsid w:val="17BF5E77"/>
    <w:rsid w:val="17C71903"/>
    <w:rsid w:val="17C912CC"/>
    <w:rsid w:val="17CA0BE5"/>
    <w:rsid w:val="17D00396"/>
    <w:rsid w:val="17D11706"/>
    <w:rsid w:val="17D5473E"/>
    <w:rsid w:val="17D74A5F"/>
    <w:rsid w:val="17D969D6"/>
    <w:rsid w:val="17DF2673"/>
    <w:rsid w:val="17E26558"/>
    <w:rsid w:val="17E41ABC"/>
    <w:rsid w:val="17E76B31"/>
    <w:rsid w:val="17EA6512"/>
    <w:rsid w:val="17ED5969"/>
    <w:rsid w:val="17F5033A"/>
    <w:rsid w:val="17F8417E"/>
    <w:rsid w:val="17FD0599"/>
    <w:rsid w:val="18047D2E"/>
    <w:rsid w:val="1809431B"/>
    <w:rsid w:val="18115F57"/>
    <w:rsid w:val="18141571"/>
    <w:rsid w:val="18150113"/>
    <w:rsid w:val="181D2B9D"/>
    <w:rsid w:val="181F2A8C"/>
    <w:rsid w:val="18242879"/>
    <w:rsid w:val="18253800"/>
    <w:rsid w:val="182B350C"/>
    <w:rsid w:val="182E139A"/>
    <w:rsid w:val="182E7C8B"/>
    <w:rsid w:val="1831752C"/>
    <w:rsid w:val="18326544"/>
    <w:rsid w:val="183964A5"/>
    <w:rsid w:val="183A5F14"/>
    <w:rsid w:val="183D02BC"/>
    <w:rsid w:val="18446BAE"/>
    <w:rsid w:val="184550E7"/>
    <w:rsid w:val="18475E6C"/>
    <w:rsid w:val="184A1A6D"/>
    <w:rsid w:val="184A3A2E"/>
    <w:rsid w:val="185307B4"/>
    <w:rsid w:val="18534811"/>
    <w:rsid w:val="185638BD"/>
    <w:rsid w:val="18570DD1"/>
    <w:rsid w:val="18582559"/>
    <w:rsid w:val="18677044"/>
    <w:rsid w:val="186A7982"/>
    <w:rsid w:val="187A27C9"/>
    <w:rsid w:val="187C74C8"/>
    <w:rsid w:val="18812916"/>
    <w:rsid w:val="1883582B"/>
    <w:rsid w:val="18845437"/>
    <w:rsid w:val="1885338A"/>
    <w:rsid w:val="1887181E"/>
    <w:rsid w:val="188925D4"/>
    <w:rsid w:val="18893D8F"/>
    <w:rsid w:val="1895413D"/>
    <w:rsid w:val="189806EE"/>
    <w:rsid w:val="189B2DCE"/>
    <w:rsid w:val="189D4957"/>
    <w:rsid w:val="189F0E66"/>
    <w:rsid w:val="18A5132A"/>
    <w:rsid w:val="18A920E9"/>
    <w:rsid w:val="18AA1D66"/>
    <w:rsid w:val="18AB473B"/>
    <w:rsid w:val="18AD514C"/>
    <w:rsid w:val="18AE1638"/>
    <w:rsid w:val="18AE2601"/>
    <w:rsid w:val="18AF2C16"/>
    <w:rsid w:val="18B261A0"/>
    <w:rsid w:val="18B2795E"/>
    <w:rsid w:val="18B279CC"/>
    <w:rsid w:val="18B51B5D"/>
    <w:rsid w:val="18B83C2F"/>
    <w:rsid w:val="18BB6F56"/>
    <w:rsid w:val="18BC3A26"/>
    <w:rsid w:val="18C13529"/>
    <w:rsid w:val="18C21E30"/>
    <w:rsid w:val="18CA4AD1"/>
    <w:rsid w:val="18CC4852"/>
    <w:rsid w:val="18D2160B"/>
    <w:rsid w:val="18D27471"/>
    <w:rsid w:val="18D93111"/>
    <w:rsid w:val="18DA19EA"/>
    <w:rsid w:val="18DC32D1"/>
    <w:rsid w:val="18DD2314"/>
    <w:rsid w:val="18DF3DF9"/>
    <w:rsid w:val="18E61FB0"/>
    <w:rsid w:val="18E653FA"/>
    <w:rsid w:val="18E81239"/>
    <w:rsid w:val="18EC03EF"/>
    <w:rsid w:val="18EC2AF6"/>
    <w:rsid w:val="18ED0CC2"/>
    <w:rsid w:val="18F145D0"/>
    <w:rsid w:val="18F425D2"/>
    <w:rsid w:val="18F643B3"/>
    <w:rsid w:val="19093825"/>
    <w:rsid w:val="190F35BB"/>
    <w:rsid w:val="191D0478"/>
    <w:rsid w:val="191F4F95"/>
    <w:rsid w:val="192001B3"/>
    <w:rsid w:val="1923097C"/>
    <w:rsid w:val="19234B09"/>
    <w:rsid w:val="192A47BA"/>
    <w:rsid w:val="192B3C50"/>
    <w:rsid w:val="193D25CD"/>
    <w:rsid w:val="193E2DCB"/>
    <w:rsid w:val="193F691B"/>
    <w:rsid w:val="1943593D"/>
    <w:rsid w:val="19441E5C"/>
    <w:rsid w:val="19444656"/>
    <w:rsid w:val="194B1614"/>
    <w:rsid w:val="194E533D"/>
    <w:rsid w:val="19504E5B"/>
    <w:rsid w:val="19506C65"/>
    <w:rsid w:val="195425EF"/>
    <w:rsid w:val="19556B26"/>
    <w:rsid w:val="195E772F"/>
    <w:rsid w:val="19607195"/>
    <w:rsid w:val="19774E63"/>
    <w:rsid w:val="19780CF2"/>
    <w:rsid w:val="197B401F"/>
    <w:rsid w:val="197C1B46"/>
    <w:rsid w:val="197D1199"/>
    <w:rsid w:val="197D465A"/>
    <w:rsid w:val="198A387A"/>
    <w:rsid w:val="198B6051"/>
    <w:rsid w:val="1990115C"/>
    <w:rsid w:val="19940015"/>
    <w:rsid w:val="19946E8F"/>
    <w:rsid w:val="19953F57"/>
    <w:rsid w:val="199B3C20"/>
    <w:rsid w:val="199B435B"/>
    <w:rsid w:val="19A2463D"/>
    <w:rsid w:val="19A51887"/>
    <w:rsid w:val="19AA079A"/>
    <w:rsid w:val="19AA220F"/>
    <w:rsid w:val="19AB5D69"/>
    <w:rsid w:val="19AC5F87"/>
    <w:rsid w:val="19AD1C42"/>
    <w:rsid w:val="19AF3CC9"/>
    <w:rsid w:val="19B234BF"/>
    <w:rsid w:val="19B360CA"/>
    <w:rsid w:val="19BD22C2"/>
    <w:rsid w:val="19C27718"/>
    <w:rsid w:val="19C43D22"/>
    <w:rsid w:val="19C812F2"/>
    <w:rsid w:val="19C876C9"/>
    <w:rsid w:val="19CA6B54"/>
    <w:rsid w:val="19CB3029"/>
    <w:rsid w:val="19CF5048"/>
    <w:rsid w:val="19D35C0A"/>
    <w:rsid w:val="19D76150"/>
    <w:rsid w:val="19DA4654"/>
    <w:rsid w:val="19DC6E56"/>
    <w:rsid w:val="19DD306D"/>
    <w:rsid w:val="19E50C1B"/>
    <w:rsid w:val="19E85593"/>
    <w:rsid w:val="19EC2827"/>
    <w:rsid w:val="19ED37F3"/>
    <w:rsid w:val="19F91BA9"/>
    <w:rsid w:val="19F94EB7"/>
    <w:rsid w:val="19FA39E2"/>
    <w:rsid w:val="19FF0489"/>
    <w:rsid w:val="1A017C31"/>
    <w:rsid w:val="1A034E46"/>
    <w:rsid w:val="1A042476"/>
    <w:rsid w:val="1A0C4C78"/>
    <w:rsid w:val="1A0E176C"/>
    <w:rsid w:val="1A0F1574"/>
    <w:rsid w:val="1A0F5918"/>
    <w:rsid w:val="1A121912"/>
    <w:rsid w:val="1A1559FE"/>
    <w:rsid w:val="1A1659DE"/>
    <w:rsid w:val="1A204C69"/>
    <w:rsid w:val="1A230D6D"/>
    <w:rsid w:val="1A29564E"/>
    <w:rsid w:val="1A303C4E"/>
    <w:rsid w:val="1A3146DE"/>
    <w:rsid w:val="1A355620"/>
    <w:rsid w:val="1A3A3B96"/>
    <w:rsid w:val="1A3C0EA8"/>
    <w:rsid w:val="1A3D4BC3"/>
    <w:rsid w:val="1A4623E1"/>
    <w:rsid w:val="1A4703F5"/>
    <w:rsid w:val="1A4A39F2"/>
    <w:rsid w:val="1A4E3466"/>
    <w:rsid w:val="1A527F2F"/>
    <w:rsid w:val="1A5954FF"/>
    <w:rsid w:val="1A5E7BE7"/>
    <w:rsid w:val="1A646597"/>
    <w:rsid w:val="1A653919"/>
    <w:rsid w:val="1A662B72"/>
    <w:rsid w:val="1A6A7630"/>
    <w:rsid w:val="1A7556B4"/>
    <w:rsid w:val="1A765A93"/>
    <w:rsid w:val="1A7C6B81"/>
    <w:rsid w:val="1A7D7573"/>
    <w:rsid w:val="1A8213DE"/>
    <w:rsid w:val="1A8C3063"/>
    <w:rsid w:val="1A8D640A"/>
    <w:rsid w:val="1A947FBC"/>
    <w:rsid w:val="1A95187B"/>
    <w:rsid w:val="1A9649C0"/>
    <w:rsid w:val="1A9C30FB"/>
    <w:rsid w:val="1A9D1D74"/>
    <w:rsid w:val="1AA17AB6"/>
    <w:rsid w:val="1AA80500"/>
    <w:rsid w:val="1AA84AA3"/>
    <w:rsid w:val="1AAD37C3"/>
    <w:rsid w:val="1AAE6EBA"/>
    <w:rsid w:val="1AC15771"/>
    <w:rsid w:val="1AC50651"/>
    <w:rsid w:val="1ACA37CD"/>
    <w:rsid w:val="1AD0077C"/>
    <w:rsid w:val="1AD50526"/>
    <w:rsid w:val="1ADC6D40"/>
    <w:rsid w:val="1AE259D8"/>
    <w:rsid w:val="1AE300CE"/>
    <w:rsid w:val="1AE452E6"/>
    <w:rsid w:val="1AE80DB8"/>
    <w:rsid w:val="1AE8268D"/>
    <w:rsid w:val="1AEE73C1"/>
    <w:rsid w:val="1AF135CF"/>
    <w:rsid w:val="1AF55878"/>
    <w:rsid w:val="1AFC110B"/>
    <w:rsid w:val="1AFD19F9"/>
    <w:rsid w:val="1AFF1C78"/>
    <w:rsid w:val="1B132E6D"/>
    <w:rsid w:val="1B1431CA"/>
    <w:rsid w:val="1B147659"/>
    <w:rsid w:val="1B193AF0"/>
    <w:rsid w:val="1B1A1616"/>
    <w:rsid w:val="1B233A0E"/>
    <w:rsid w:val="1B296EB8"/>
    <w:rsid w:val="1B354C2C"/>
    <w:rsid w:val="1B363D0E"/>
    <w:rsid w:val="1B372DF9"/>
    <w:rsid w:val="1B387E6F"/>
    <w:rsid w:val="1B3D6607"/>
    <w:rsid w:val="1B412001"/>
    <w:rsid w:val="1B417B88"/>
    <w:rsid w:val="1B420776"/>
    <w:rsid w:val="1B446C1E"/>
    <w:rsid w:val="1B4C04E1"/>
    <w:rsid w:val="1B507033"/>
    <w:rsid w:val="1B526478"/>
    <w:rsid w:val="1B530684"/>
    <w:rsid w:val="1B5342A8"/>
    <w:rsid w:val="1B546A19"/>
    <w:rsid w:val="1B582B77"/>
    <w:rsid w:val="1B5C53D8"/>
    <w:rsid w:val="1B5E13BC"/>
    <w:rsid w:val="1B5E59A7"/>
    <w:rsid w:val="1B6A7409"/>
    <w:rsid w:val="1B6B2773"/>
    <w:rsid w:val="1B6B67B0"/>
    <w:rsid w:val="1B6D7998"/>
    <w:rsid w:val="1B6E030E"/>
    <w:rsid w:val="1B6E3F3B"/>
    <w:rsid w:val="1B6F51D3"/>
    <w:rsid w:val="1B7B7245"/>
    <w:rsid w:val="1B801167"/>
    <w:rsid w:val="1B806E7D"/>
    <w:rsid w:val="1B812C53"/>
    <w:rsid w:val="1B876BD4"/>
    <w:rsid w:val="1B912361"/>
    <w:rsid w:val="1B920A6E"/>
    <w:rsid w:val="1B92161B"/>
    <w:rsid w:val="1B9245FF"/>
    <w:rsid w:val="1B991A80"/>
    <w:rsid w:val="1B9A0B80"/>
    <w:rsid w:val="1B9D5C82"/>
    <w:rsid w:val="1B9E5DA3"/>
    <w:rsid w:val="1B9E6E55"/>
    <w:rsid w:val="1B9E7E73"/>
    <w:rsid w:val="1B9F6C57"/>
    <w:rsid w:val="1BA17641"/>
    <w:rsid w:val="1BA9032A"/>
    <w:rsid w:val="1BAB0CA8"/>
    <w:rsid w:val="1BAC3E9F"/>
    <w:rsid w:val="1BB1554F"/>
    <w:rsid w:val="1BB440C2"/>
    <w:rsid w:val="1BC20045"/>
    <w:rsid w:val="1BC21073"/>
    <w:rsid w:val="1BC6523C"/>
    <w:rsid w:val="1BD0205E"/>
    <w:rsid w:val="1BD5585A"/>
    <w:rsid w:val="1BDF2DD0"/>
    <w:rsid w:val="1BE867F9"/>
    <w:rsid w:val="1BEA4AE9"/>
    <w:rsid w:val="1BEC2968"/>
    <w:rsid w:val="1BEC3B21"/>
    <w:rsid w:val="1BED0CB7"/>
    <w:rsid w:val="1BEE333A"/>
    <w:rsid w:val="1BF071F1"/>
    <w:rsid w:val="1BFE3A9F"/>
    <w:rsid w:val="1C026332"/>
    <w:rsid w:val="1C0352EE"/>
    <w:rsid w:val="1C0E17E4"/>
    <w:rsid w:val="1C0F3980"/>
    <w:rsid w:val="1C10211C"/>
    <w:rsid w:val="1C1719A5"/>
    <w:rsid w:val="1C1918CE"/>
    <w:rsid w:val="1C195E0D"/>
    <w:rsid w:val="1C1A1115"/>
    <w:rsid w:val="1C1D2355"/>
    <w:rsid w:val="1C1F3430"/>
    <w:rsid w:val="1C217D6F"/>
    <w:rsid w:val="1C225184"/>
    <w:rsid w:val="1C2F1C6C"/>
    <w:rsid w:val="1C3172F8"/>
    <w:rsid w:val="1C3676F7"/>
    <w:rsid w:val="1C381D54"/>
    <w:rsid w:val="1C3A20DE"/>
    <w:rsid w:val="1C3F29CE"/>
    <w:rsid w:val="1C403B4B"/>
    <w:rsid w:val="1C4B04FC"/>
    <w:rsid w:val="1C60078E"/>
    <w:rsid w:val="1C645406"/>
    <w:rsid w:val="1C6461AD"/>
    <w:rsid w:val="1C654B13"/>
    <w:rsid w:val="1C662D65"/>
    <w:rsid w:val="1C70557F"/>
    <w:rsid w:val="1C760E40"/>
    <w:rsid w:val="1C795F8B"/>
    <w:rsid w:val="1C7F5BD5"/>
    <w:rsid w:val="1C8107F9"/>
    <w:rsid w:val="1C830B96"/>
    <w:rsid w:val="1C846C8E"/>
    <w:rsid w:val="1C8D3B5D"/>
    <w:rsid w:val="1C9C5B9F"/>
    <w:rsid w:val="1CA90EA4"/>
    <w:rsid w:val="1CAC29C0"/>
    <w:rsid w:val="1CAE50F3"/>
    <w:rsid w:val="1CB42ED7"/>
    <w:rsid w:val="1CB82B08"/>
    <w:rsid w:val="1CB82E95"/>
    <w:rsid w:val="1CC80705"/>
    <w:rsid w:val="1CCC1E1F"/>
    <w:rsid w:val="1CD411D3"/>
    <w:rsid w:val="1CD4262D"/>
    <w:rsid w:val="1CD506CB"/>
    <w:rsid w:val="1CD90F6F"/>
    <w:rsid w:val="1CDC4F69"/>
    <w:rsid w:val="1CE06E46"/>
    <w:rsid w:val="1CE162B3"/>
    <w:rsid w:val="1CF22D64"/>
    <w:rsid w:val="1CF55067"/>
    <w:rsid w:val="1CF62179"/>
    <w:rsid w:val="1CFD6AEF"/>
    <w:rsid w:val="1CFF1F30"/>
    <w:rsid w:val="1D04257E"/>
    <w:rsid w:val="1D054EB4"/>
    <w:rsid w:val="1D08322B"/>
    <w:rsid w:val="1D0B10C5"/>
    <w:rsid w:val="1D0D31E0"/>
    <w:rsid w:val="1D0D4D13"/>
    <w:rsid w:val="1D1067C7"/>
    <w:rsid w:val="1D132701"/>
    <w:rsid w:val="1D154D50"/>
    <w:rsid w:val="1D1722B1"/>
    <w:rsid w:val="1D1A5C18"/>
    <w:rsid w:val="1D1C41D2"/>
    <w:rsid w:val="1D1D660D"/>
    <w:rsid w:val="1D212A73"/>
    <w:rsid w:val="1D214EDE"/>
    <w:rsid w:val="1D272CE8"/>
    <w:rsid w:val="1D28163E"/>
    <w:rsid w:val="1D2D6DBF"/>
    <w:rsid w:val="1D2D7103"/>
    <w:rsid w:val="1D314C6F"/>
    <w:rsid w:val="1D3975D2"/>
    <w:rsid w:val="1D3A155A"/>
    <w:rsid w:val="1D3B224A"/>
    <w:rsid w:val="1D3F5364"/>
    <w:rsid w:val="1D41454B"/>
    <w:rsid w:val="1D4209B0"/>
    <w:rsid w:val="1D454098"/>
    <w:rsid w:val="1D4E5730"/>
    <w:rsid w:val="1D530AFA"/>
    <w:rsid w:val="1D594AE3"/>
    <w:rsid w:val="1D5B7403"/>
    <w:rsid w:val="1D5E3F3F"/>
    <w:rsid w:val="1D6239B1"/>
    <w:rsid w:val="1D656685"/>
    <w:rsid w:val="1D6A521F"/>
    <w:rsid w:val="1D703A73"/>
    <w:rsid w:val="1D732CD7"/>
    <w:rsid w:val="1D73376B"/>
    <w:rsid w:val="1D7B6F09"/>
    <w:rsid w:val="1D817327"/>
    <w:rsid w:val="1D883AC4"/>
    <w:rsid w:val="1D8A2A83"/>
    <w:rsid w:val="1D8A7151"/>
    <w:rsid w:val="1D8D32BF"/>
    <w:rsid w:val="1D8F2592"/>
    <w:rsid w:val="1D8F5E47"/>
    <w:rsid w:val="1D90501C"/>
    <w:rsid w:val="1D915901"/>
    <w:rsid w:val="1D951428"/>
    <w:rsid w:val="1D966D8D"/>
    <w:rsid w:val="1D97758B"/>
    <w:rsid w:val="1D9A4F43"/>
    <w:rsid w:val="1D9E652E"/>
    <w:rsid w:val="1DA30FB6"/>
    <w:rsid w:val="1DA34550"/>
    <w:rsid w:val="1DA414A5"/>
    <w:rsid w:val="1DA534B3"/>
    <w:rsid w:val="1DA5678B"/>
    <w:rsid w:val="1DA57C19"/>
    <w:rsid w:val="1DA65D18"/>
    <w:rsid w:val="1DA7160D"/>
    <w:rsid w:val="1DAB01B2"/>
    <w:rsid w:val="1DAC05F3"/>
    <w:rsid w:val="1DB07E3B"/>
    <w:rsid w:val="1DB755B5"/>
    <w:rsid w:val="1DBF71BD"/>
    <w:rsid w:val="1DCA02FB"/>
    <w:rsid w:val="1DCA1CC3"/>
    <w:rsid w:val="1DD24214"/>
    <w:rsid w:val="1DD43CFE"/>
    <w:rsid w:val="1DDB5115"/>
    <w:rsid w:val="1DE021E1"/>
    <w:rsid w:val="1DEC3DC4"/>
    <w:rsid w:val="1DF47D78"/>
    <w:rsid w:val="1DFC4B36"/>
    <w:rsid w:val="1DFC54D2"/>
    <w:rsid w:val="1E043D48"/>
    <w:rsid w:val="1E0F3899"/>
    <w:rsid w:val="1E0F42BD"/>
    <w:rsid w:val="1E104249"/>
    <w:rsid w:val="1E1C102D"/>
    <w:rsid w:val="1E1E18EE"/>
    <w:rsid w:val="1E2A55F7"/>
    <w:rsid w:val="1E37603B"/>
    <w:rsid w:val="1E3B4F1D"/>
    <w:rsid w:val="1E407273"/>
    <w:rsid w:val="1E4079BA"/>
    <w:rsid w:val="1E41342F"/>
    <w:rsid w:val="1E426AFC"/>
    <w:rsid w:val="1E435D51"/>
    <w:rsid w:val="1E457DC5"/>
    <w:rsid w:val="1E4A611D"/>
    <w:rsid w:val="1E4E29E6"/>
    <w:rsid w:val="1E4E342F"/>
    <w:rsid w:val="1E526B6C"/>
    <w:rsid w:val="1E55250A"/>
    <w:rsid w:val="1E5631FD"/>
    <w:rsid w:val="1E59012D"/>
    <w:rsid w:val="1E594193"/>
    <w:rsid w:val="1E5C390A"/>
    <w:rsid w:val="1E601398"/>
    <w:rsid w:val="1E675E74"/>
    <w:rsid w:val="1E685A19"/>
    <w:rsid w:val="1E69654F"/>
    <w:rsid w:val="1E6B419B"/>
    <w:rsid w:val="1E6E4313"/>
    <w:rsid w:val="1E6F15A7"/>
    <w:rsid w:val="1E720F55"/>
    <w:rsid w:val="1E736248"/>
    <w:rsid w:val="1E786478"/>
    <w:rsid w:val="1E7A1067"/>
    <w:rsid w:val="1E8C3B7A"/>
    <w:rsid w:val="1E8F2EFD"/>
    <w:rsid w:val="1E911BEF"/>
    <w:rsid w:val="1E940FFC"/>
    <w:rsid w:val="1E942C24"/>
    <w:rsid w:val="1E9C3533"/>
    <w:rsid w:val="1EA9506E"/>
    <w:rsid w:val="1EAC0A0B"/>
    <w:rsid w:val="1EAF00EC"/>
    <w:rsid w:val="1EAF0A4E"/>
    <w:rsid w:val="1EC07817"/>
    <w:rsid w:val="1EC32B58"/>
    <w:rsid w:val="1EC34142"/>
    <w:rsid w:val="1EC55C36"/>
    <w:rsid w:val="1EC92E8A"/>
    <w:rsid w:val="1ECC70BD"/>
    <w:rsid w:val="1ECD1D54"/>
    <w:rsid w:val="1ED54E1E"/>
    <w:rsid w:val="1ED55F80"/>
    <w:rsid w:val="1ED72AAE"/>
    <w:rsid w:val="1ED8781E"/>
    <w:rsid w:val="1EDC2078"/>
    <w:rsid w:val="1EDC75E7"/>
    <w:rsid w:val="1EDE7164"/>
    <w:rsid w:val="1EE52B7A"/>
    <w:rsid w:val="1EE83962"/>
    <w:rsid w:val="1EEA2FF7"/>
    <w:rsid w:val="1EEB701C"/>
    <w:rsid w:val="1EF37E84"/>
    <w:rsid w:val="1EF472B6"/>
    <w:rsid w:val="1EF70588"/>
    <w:rsid w:val="1F0246F7"/>
    <w:rsid w:val="1F066139"/>
    <w:rsid w:val="1F085F91"/>
    <w:rsid w:val="1F0F318B"/>
    <w:rsid w:val="1F103654"/>
    <w:rsid w:val="1F147105"/>
    <w:rsid w:val="1F162A18"/>
    <w:rsid w:val="1F1A188D"/>
    <w:rsid w:val="1F1F7D88"/>
    <w:rsid w:val="1F260EE6"/>
    <w:rsid w:val="1F2C1AED"/>
    <w:rsid w:val="1F3076AD"/>
    <w:rsid w:val="1F41145F"/>
    <w:rsid w:val="1F4153C3"/>
    <w:rsid w:val="1F485529"/>
    <w:rsid w:val="1F4948FF"/>
    <w:rsid w:val="1F557ECC"/>
    <w:rsid w:val="1F5A7DED"/>
    <w:rsid w:val="1F5D0B62"/>
    <w:rsid w:val="1F5D2669"/>
    <w:rsid w:val="1F5F3A9B"/>
    <w:rsid w:val="1F683EEE"/>
    <w:rsid w:val="1F693106"/>
    <w:rsid w:val="1F6E0959"/>
    <w:rsid w:val="1F705329"/>
    <w:rsid w:val="1F711467"/>
    <w:rsid w:val="1F723A36"/>
    <w:rsid w:val="1F75506D"/>
    <w:rsid w:val="1F7A59EB"/>
    <w:rsid w:val="1F877CB6"/>
    <w:rsid w:val="1F8B2AE2"/>
    <w:rsid w:val="1F8D5DAC"/>
    <w:rsid w:val="1F934711"/>
    <w:rsid w:val="1F98033C"/>
    <w:rsid w:val="1F9A496B"/>
    <w:rsid w:val="1F9C05E7"/>
    <w:rsid w:val="1F9E65E7"/>
    <w:rsid w:val="1FAC23E4"/>
    <w:rsid w:val="1FB0478E"/>
    <w:rsid w:val="1FB9504B"/>
    <w:rsid w:val="1FBE69E4"/>
    <w:rsid w:val="1FC05E77"/>
    <w:rsid w:val="1FC22EB3"/>
    <w:rsid w:val="1FCA6F50"/>
    <w:rsid w:val="1FCD1A32"/>
    <w:rsid w:val="1FD52DFB"/>
    <w:rsid w:val="1FD87BC0"/>
    <w:rsid w:val="1FDA0CFB"/>
    <w:rsid w:val="1FDA251A"/>
    <w:rsid w:val="1FDC333E"/>
    <w:rsid w:val="1FDF7539"/>
    <w:rsid w:val="1FE13DAD"/>
    <w:rsid w:val="1FE40D7B"/>
    <w:rsid w:val="1FE60088"/>
    <w:rsid w:val="1FE62EC8"/>
    <w:rsid w:val="1FEB7577"/>
    <w:rsid w:val="1FED4A84"/>
    <w:rsid w:val="1FEE0275"/>
    <w:rsid w:val="1FF13274"/>
    <w:rsid w:val="1FFB6CC7"/>
    <w:rsid w:val="2000527E"/>
    <w:rsid w:val="200B74FB"/>
    <w:rsid w:val="200C658C"/>
    <w:rsid w:val="20102DFE"/>
    <w:rsid w:val="201605FE"/>
    <w:rsid w:val="20211411"/>
    <w:rsid w:val="20214811"/>
    <w:rsid w:val="20240EB1"/>
    <w:rsid w:val="20272FEB"/>
    <w:rsid w:val="202B3F32"/>
    <w:rsid w:val="20301257"/>
    <w:rsid w:val="20375675"/>
    <w:rsid w:val="2042028B"/>
    <w:rsid w:val="20441898"/>
    <w:rsid w:val="20483C63"/>
    <w:rsid w:val="2049139E"/>
    <w:rsid w:val="204C11A4"/>
    <w:rsid w:val="204F185F"/>
    <w:rsid w:val="204F6E78"/>
    <w:rsid w:val="2052304E"/>
    <w:rsid w:val="2059498F"/>
    <w:rsid w:val="205A4F56"/>
    <w:rsid w:val="205B74D7"/>
    <w:rsid w:val="205C2DEF"/>
    <w:rsid w:val="205E04E8"/>
    <w:rsid w:val="20644FC6"/>
    <w:rsid w:val="2065007F"/>
    <w:rsid w:val="20665945"/>
    <w:rsid w:val="206704AD"/>
    <w:rsid w:val="206858CC"/>
    <w:rsid w:val="206B458D"/>
    <w:rsid w:val="206C73F0"/>
    <w:rsid w:val="20705B7B"/>
    <w:rsid w:val="207719E9"/>
    <w:rsid w:val="20787151"/>
    <w:rsid w:val="2079444C"/>
    <w:rsid w:val="207B29D8"/>
    <w:rsid w:val="207B7134"/>
    <w:rsid w:val="208249D9"/>
    <w:rsid w:val="208B13A9"/>
    <w:rsid w:val="208D6DA3"/>
    <w:rsid w:val="208E6A7F"/>
    <w:rsid w:val="20925875"/>
    <w:rsid w:val="20996D8A"/>
    <w:rsid w:val="209A6B54"/>
    <w:rsid w:val="209D1E87"/>
    <w:rsid w:val="209E23A2"/>
    <w:rsid w:val="209F69C0"/>
    <w:rsid w:val="20A30FC9"/>
    <w:rsid w:val="20A56499"/>
    <w:rsid w:val="20A6689E"/>
    <w:rsid w:val="20AB1647"/>
    <w:rsid w:val="20AC2032"/>
    <w:rsid w:val="20AD573F"/>
    <w:rsid w:val="20B16720"/>
    <w:rsid w:val="20B21B9D"/>
    <w:rsid w:val="20B2783F"/>
    <w:rsid w:val="20B70DED"/>
    <w:rsid w:val="20C56E0A"/>
    <w:rsid w:val="20CC5B0A"/>
    <w:rsid w:val="20DB793B"/>
    <w:rsid w:val="20E17B5C"/>
    <w:rsid w:val="20E21291"/>
    <w:rsid w:val="20E71F9A"/>
    <w:rsid w:val="20EC5BC0"/>
    <w:rsid w:val="20EE2360"/>
    <w:rsid w:val="20EF49FF"/>
    <w:rsid w:val="20F3093F"/>
    <w:rsid w:val="20FE2637"/>
    <w:rsid w:val="21042B4C"/>
    <w:rsid w:val="210A2D48"/>
    <w:rsid w:val="210B0BB4"/>
    <w:rsid w:val="210D7BBB"/>
    <w:rsid w:val="210F1132"/>
    <w:rsid w:val="21125D0B"/>
    <w:rsid w:val="2118056E"/>
    <w:rsid w:val="211A2370"/>
    <w:rsid w:val="21200228"/>
    <w:rsid w:val="21222FD3"/>
    <w:rsid w:val="212248D4"/>
    <w:rsid w:val="21226E3E"/>
    <w:rsid w:val="21251CEC"/>
    <w:rsid w:val="21254871"/>
    <w:rsid w:val="212901B7"/>
    <w:rsid w:val="21311386"/>
    <w:rsid w:val="213172AB"/>
    <w:rsid w:val="213571AA"/>
    <w:rsid w:val="213E4A93"/>
    <w:rsid w:val="213E537F"/>
    <w:rsid w:val="213F7FA1"/>
    <w:rsid w:val="21442BF5"/>
    <w:rsid w:val="214563DE"/>
    <w:rsid w:val="214C62A1"/>
    <w:rsid w:val="214C7695"/>
    <w:rsid w:val="214D2322"/>
    <w:rsid w:val="21526F9E"/>
    <w:rsid w:val="215E0A6B"/>
    <w:rsid w:val="215E4D33"/>
    <w:rsid w:val="21605AEB"/>
    <w:rsid w:val="216A0908"/>
    <w:rsid w:val="217D1A3D"/>
    <w:rsid w:val="217E29A6"/>
    <w:rsid w:val="2185702E"/>
    <w:rsid w:val="218D22ED"/>
    <w:rsid w:val="21935C7E"/>
    <w:rsid w:val="21937929"/>
    <w:rsid w:val="21944263"/>
    <w:rsid w:val="21977402"/>
    <w:rsid w:val="21993D0B"/>
    <w:rsid w:val="219A525F"/>
    <w:rsid w:val="219F63D1"/>
    <w:rsid w:val="21B25BA7"/>
    <w:rsid w:val="21B25F75"/>
    <w:rsid w:val="21B70564"/>
    <w:rsid w:val="21BA4F13"/>
    <w:rsid w:val="21BB741A"/>
    <w:rsid w:val="21C07E88"/>
    <w:rsid w:val="21C35D68"/>
    <w:rsid w:val="21C5612C"/>
    <w:rsid w:val="21C752B5"/>
    <w:rsid w:val="21CE3D07"/>
    <w:rsid w:val="21CF0197"/>
    <w:rsid w:val="21D818E3"/>
    <w:rsid w:val="21E51736"/>
    <w:rsid w:val="21E533F6"/>
    <w:rsid w:val="21E806C8"/>
    <w:rsid w:val="21E840AF"/>
    <w:rsid w:val="21E85FCA"/>
    <w:rsid w:val="21EC0C0F"/>
    <w:rsid w:val="21ED7EE3"/>
    <w:rsid w:val="21F60E47"/>
    <w:rsid w:val="21F86F42"/>
    <w:rsid w:val="21FB42DF"/>
    <w:rsid w:val="21FC1DF1"/>
    <w:rsid w:val="220023DC"/>
    <w:rsid w:val="2204636D"/>
    <w:rsid w:val="220F79FB"/>
    <w:rsid w:val="22160D89"/>
    <w:rsid w:val="222141BE"/>
    <w:rsid w:val="22233D94"/>
    <w:rsid w:val="22237002"/>
    <w:rsid w:val="22252CAE"/>
    <w:rsid w:val="222E2F45"/>
    <w:rsid w:val="223A15C8"/>
    <w:rsid w:val="22433B5E"/>
    <w:rsid w:val="22456F79"/>
    <w:rsid w:val="22463424"/>
    <w:rsid w:val="22474405"/>
    <w:rsid w:val="22477195"/>
    <w:rsid w:val="22480724"/>
    <w:rsid w:val="224F3E0C"/>
    <w:rsid w:val="22504C10"/>
    <w:rsid w:val="22566819"/>
    <w:rsid w:val="225B67A0"/>
    <w:rsid w:val="225E634B"/>
    <w:rsid w:val="226206A3"/>
    <w:rsid w:val="22625BDA"/>
    <w:rsid w:val="22645B7F"/>
    <w:rsid w:val="22646016"/>
    <w:rsid w:val="22646776"/>
    <w:rsid w:val="22684C3A"/>
    <w:rsid w:val="226A4C31"/>
    <w:rsid w:val="226B4100"/>
    <w:rsid w:val="226C6BFB"/>
    <w:rsid w:val="226E75AD"/>
    <w:rsid w:val="227C036D"/>
    <w:rsid w:val="228030BF"/>
    <w:rsid w:val="22833F45"/>
    <w:rsid w:val="22873821"/>
    <w:rsid w:val="2288155B"/>
    <w:rsid w:val="228A5D10"/>
    <w:rsid w:val="228D1833"/>
    <w:rsid w:val="228D605A"/>
    <w:rsid w:val="22907833"/>
    <w:rsid w:val="22943A8B"/>
    <w:rsid w:val="22945646"/>
    <w:rsid w:val="229641BF"/>
    <w:rsid w:val="229722EC"/>
    <w:rsid w:val="2298059A"/>
    <w:rsid w:val="2298547A"/>
    <w:rsid w:val="22994377"/>
    <w:rsid w:val="22995A51"/>
    <w:rsid w:val="22A04AB1"/>
    <w:rsid w:val="22A051C0"/>
    <w:rsid w:val="22A22F0F"/>
    <w:rsid w:val="22A53EBB"/>
    <w:rsid w:val="22AD0FB4"/>
    <w:rsid w:val="22AE685B"/>
    <w:rsid w:val="22BB36DF"/>
    <w:rsid w:val="22C2681B"/>
    <w:rsid w:val="22C408FD"/>
    <w:rsid w:val="22C57F94"/>
    <w:rsid w:val="22CA2950"/>
    <w:rsid w:val="22CB04E4"/>
    <w:rsid w:val="22D331D6"/>
    <w:rsid w:val="22D4731C"/>
    <w:rsid w:val="22D5056B"/>
    <w:rsid w:val="22D5392F"/>
    <w:rsid w:val="22D9569E"/>
    <w:rsid w:val="22E215C5"/>
    <w:rsid w:val="22E91D5F"/>
    <w:rsid w:val="22EB44B3"/>
    <w:rsid w:val="22F02B8D"/>
    <w:rsid w:val="22F65426"/>
    <w:rsid w:val="22F95FB5"/>
    <w:rsid w:val="23005595"/>
    <w:rsid w:val="23077780"/>
    <w:rsid w:val="230C73BA"/>
    <w:rsid w:val="230E1A60"/>
    <w:rsid w:val="230E380E"/>
    <w:rsid w:val="231F1EFE"/>
    <w:rsid w:val="23294FA5"/>
    <w:rsid w:val="232A0B60"/>
    <w:rsid w:val="232B78D8"/>
    <w:rsid w:val="232D0763"/>
    <w:rsid w:val="23307B44"/>
    <w:rsid w:val="23341A26"/>
    <w:rsid w:val="233B1496"/>
    <w:rsid w:val="234247F8"/>
    <w:rsid w:val="23443462"/>
    <w:rsid w:val="23453797"/>
    <w:rsid w:val="234731C4"/>
    <w:rsid w:val="23494E0D"/>
    <w:rsid w:val="234C07DB"/>
    <w:rsid w:val="234C2589"/>
    <w:rsid w:val="23515A40"/>
    <w:rsid w:val="235B27CC"/>
    <w:rsid w:val="235B4D91"/>
    <w:rsid w:val="235F406A"/>
    <w:rsid w:val="235F5525"/>
    <w:rsid w:val="23621074"/>
    <w:rsid w:val="23623B5A"/>
    <w:rsid w:val="236349A6"/>
    <w:rsid w:val="23683CEA"/>
    <w:rsid w:val="236B29EF"/>
    <w:rsid w:val="23721EFF"/>
    <w:rsid w:val="237B69CA"/>
    <w:rsid w:val="237D31F5"/>
    <w:rsid w:val="23882E64"/>
    <w:rsid w:val="238C70A4"/>
    <w:rsid w:val="238E1173"/>
    <w:rsid w:val="238F5B13"/>
    <w:rsid w:val="23940243"/>
    <w:rsid w:val="23966DFB"/>
    <w:rsid w:val="239A5C8D"/>
    <w:rsid w:val="239B015D"/>
    <w:rsid w:val="239F1079"/>
    <w:rsid w:val="23A422AD"/>
    <w:rsid w:val="23A673A1"/>
    <w:rsid w:val="23A83CFF"/>
    <w:rsid w:val="23AB41E0"/>
    <w:rsid w:val="23AE04D8"/>
    <w:rsid w:val="23B0596E"/>
    <w:rsid w:val="23B84FA0"/>
    <w:rsid w:val="23BA1A68"/>
    <w:rsid w:val="23BA2046"/>
    <w:rsid w:val="23BA7C62"/>
    <w:rsid w:val="23BB283A"/>
    <w:rsid w:val="23C10BFA"/>
    <w:rsid w:val="23C44FB3"/>
    <w:rsid w:val="23C556B5"/>
    <w:rsid w:val="23C57A34"/>
    <w:rsid w:val="23C63E16"/>
    <w:rsid w:val="23C74B3C"/>
    <w:rsid w:val="23CE189F"/>
    <w:rsid w:val="23CE56B7"/>
    <w:rsid w:val="23D20CE0"/>
    <w:rsid w:val="23DD41C8"/>
    <w:rsid w:val="23DE2549"/>
    <w:rsid w:val="23E648B2"/>
    <w:rsid w:val="23EC61AD"/>
    <w:rsid w:val="23ED1676"/>
    <w:rsid w:val="23ED78C8"/>
    <w:rsid w:val="23F55109"/>
    <w:rsid w:val="23FA0237"/>
    <w:rsid w:val="23FE46B0"/>
    <w:rsid w:val="24007467"/>
    <w:rsid w:val="2405374B"/>
    <w:rsid w:val="240B2415"/>
    <w:rsid w:val="2412732E"/>
    <w:rsid w:val="24156762"/>
    <w:rsid w:val="24162094"/>
    <w:rsid w:val="242022A8"/>
    <w:rsid w:val="24211B11"/>
    <w:rsid w:val="24260868"/>
    <w:rsid w:val="242A28CA"/>
    <w:rsid w:val="242B5EA0"/>
    <w:rsid w:val="242F3DD2"/>
    <w:rsid w:val="2432122E"/>
    <w:rsid w:val="2434324E"/>
    <w:rsid w:val="24343749"/>
    <w:rsid w:val="24353250"/>
    <w:rsid w:val="243A6885"/>
    <w:rsid w:val="243B5EE3"/>
    <w:rsid w:val="243C385E"/>
    <w:rsid w:val="24415E66"/>
    <w:rsid w:val="244616B0"/>
    <w:rsid w:val="244665F0"/>
    <w:rsid w:val="2448338B"/>
    <w:rsid w:val="2449696F"/>
    <w:rsid w:val="244A405A"/>
    <w:rsid w:val="245270D2"/>
    <w:rsid w:val="24591C56"/>
    <w:rsid w:val="24597EC1"/>
    <w:rsid w:val="245A2A83"/>
    <w:rsid w:val="245D04E3"/>
    <w:rsid w:val="24612064"/>
    <w:rsid w:val="24650D24"/>
    <w:rsid w:val="2466160E"/>
    <w:rsid w:val="247748A6"/>
    <w:rsid w:val="24806309"/>
    <w:rsid w:val="24826EF2"/>
    <w:rsid w:val="24841E77"/>
    <w:rsid w:val="248A15BB"/>
    <w:rsid w:val="248B4660"/>
    <w:rsid w:val="248D2EEF"/>
    <w:rsid w:val="249D1456"/>
    <w:rsid w:val="249F768B"/>
    <w:rsid w:val="24A27E60"/>
    <w:rsid w:val="24AE39B7"/>
    <w:rsid w:val="24B44D1C"/>
    <w:rsid w:val="24B479AD"/>
    <w:rsid w:val="24B50E9F"/>
    <w:rsid w:val="24B73489"/>
    <w:rsid w:val="24BB48C4"/>
    <w:rsid w:val="24BB5C18"/>
    <w:rsid w:val="24C20D54"/>
    <w:rsid w:val="24C307DE"/>
    <w:rsid w:val="24C81645"/>
    <w:rsid w:val="24CB6BB8"/>
    <w:rsid w:val="24CC0DB7"/>
    <w:rsid w:val="24CC1BD3"/>
    <w:rsid w:val="24CC5205"/>
    <w:rsid w:val="24CE51E5"/>
    <w:rsid w:val="24D17935"/>
    <w:rsid w:val="24D56099"/>
    <w:rsid w:val="24D67F08"/>
    <w:rsid w:val="24D77FCA"/>
    <w:rsid w:val="24DA0379"/>
    <w:rsid w:val="24DB1B07"/>
    <w:rsid w:val="24DB6163"/>
    <w:rsid w:val="24DE6178"/>
    <w:rsid w:val="24DF3B0C"/>
    <w:rsid w:val="24E615FC"/>
    <w:rsid w:val="24E72562"/>
    <w:rsid w:val="24ED126A"/>
    <w:rsid w:val="24F445D3"/>
    <w:rsid w:val="250A45F4"/>
    <w:rsid w:val="250C4542"/>
    <w:rsid w:val="250D57C2"/>
    <w:rsid w:val="25122380"/>
    <w:rsid w:val="251672D8"/>
    <w:rsid w:val="25191426"/>
    <w:rsid w:val="25195420"/>
    <w:rsid w:val="25255B52"/>
    <w:rsid w:val="252A7D7C"/>
    <w:rsid w:val="252B188F"/>
    <w:rsid w:val="252C2F2D"/>
    <w:rsid w:val="253725C9"/>
    <w:rsid w:val="25382C78"/>
    <w:rsid w:val="25394CA0"/>
    <w:rsid w:val="253C36E7"/>
    <w:rsid w:val="25432A99"/>
    <w:rsid w:val="25450D64"/>
    <w:rsid w:val="254774AC"/>
    <w:rsid w:val="254865FB"/>
    <w:rsid w:val="254B750F"/>
    <w:rsid w:val="254C683D"/>
    <w:rsid w:val="255B4D05"/>
    <w:rsid w:val="256010CB"/>
    <w:rsid w:val="25666796"/>
    <w:rsid w:val="25675BF4"/>
    <w:rsid w:val="25690FBD"/>
    <w:rsid w:val="256911D0"/>
    <w:rsid w:val="256A5887"/>
    <w:rsid w:val="256B4E3C"/>
    <w:rsid w:val="25706A02"/>
    <w:rsid w:val="2574183A"/>
    <w:rsid w:val="257C5270"/>
    <w:rsid w:val="258221DA"/>
    <w:rsid w:val="25826E23"/>
    <w:rsid w:val="25836DF8"/>
    <w:rsid w:val="2584425C"/>
    <w:rsid w:val="25875AFA"/>
    <w:rsid w:val="258805C0"/>
    <w:rsid w:val="25886F1E"/>
    <w:rsid w:val="258F5D6D"/>
    <w:rsid w:val="25910727"/>
    <w:rsid w:val="25951FC5"/>
    <w:rsid w:val="259579D4"/>
    <w:rsid w:val="259A745F"/>
    <w:rsid w:val="259F2E44"/>
    <w:rsid w:val="25A351E8"/>
    <w:rsid w:val="25A44C4A"/>
    <w:rsid w:val="25AA2CE7"/>
    <w:rsid w:val="25AE548C"/>
    <w:rsid w:val="25AE7B70"/>
    <w:rsid w:val="25AF4750"/>
    <w:rsid w:val="25BA7ED1"/>
    <w:rsid w:val="25BC1C48"/>
    <w:rsid w:val="25C21F30"/>
    <w:rsid w:val="25C22574"/>
    <w:rsid w:val="25C41636"/>
    <w:rsid w:val="25C61FDD"/>
    <w:rsid w:val="25C7343F"/>
    <w:rsid w:val="25C95B23"/>
    <w:rsid w:val="25CE2F4A"/>
    <w:rsid w:val="25D56815"/>
    <w:rsid w:val="25D73C7F"/>
    <w:rsid w:val="25DB40B2"/>
    <w:rsid w:val="25E056EC"/>
    <w:rsid w:val="25E1429E"/>
    <w:rsid w:val="25E349EE"/>
    <w:rsid w:val="25E62821"/>
    <w:rsid w:val="25E906F8"/>
    <w:rsid w:val="25E95292"/>
    <w:rsid w:val="25EE7C1C"/>
    <w:rsid w:val="25F24C6F"/>
    <w:rsid w:val="25F50E16"/>
    <w:rsid w:val="25F56F08"/>
    <w:rsid w:val="25FB5599"/>
    <w:rsid w:val="25FF1EF2"/>
    <w:rsid w:val="26087544"/>
    <w:rsid w:val="26096C7B"/>
    <w:rsid w:val="260C0705"/>
    <w:rsid w:val="260C1ECA"/>
    <w:rsid w:val="2615607C"/>
    <w:rsid w:val="261A33F1"/>
    <w:rsid w:val="262E590C"/>
    <w:rsid w:val="26303AC6"/>
    <w:rsid w:val="26307193"/>
    <w:rsid w:val="263472B0"/>
    <w:rsid w:val="2635488D"/>
    <w:rsid w:val="26376F95"/>
    <w:rsid w:val="26393298"/>
    <w:rsid w:val="26395046"/>
    <w:rsid w:val="26445799"/>
    <w:rsid w:val="264A25D0"/>
    <w:rsid w:val="264C2111"/>
    <w:rsid w:val="264C413D"/>
    <w:rsid w:val="264C62C4"/>
    <w:rsid w:val="26541622"/>
    <w:rsid w:val="265717EC"/>
    <w:rsid w:val="265A086E"/>
    <w:rsid w:val="26601193"/>
    <w:rsid w:val="26605FFB"/>
    <w:rsid w:val="266329C3"/>
    <w:rsid w:val="26641847"/>
    <w:rsid w:val="26644EEC"/>
    <w:rsid w:val="266753D4"/>
    <w:rsid w:val="2668018F"/>
    <w:rsid w:val="266A16A4"/>
    <w:rsid w:val="266A6F9B"/>
    <w:rsid w:val="266D2F7E"/>
    <w:rsid w:val="266D7146"/>
    <w:rsid w:val="266F20C5"/>
    <w:rsid w:val="267178C3"/>
    <w:rsid w:val="26725E58"/>
    <w:rsid w:val="26753BA5"/>
    <w:rsid w:val="26791994"/>
    <w:rsid w:val="26796A84"/>
    <w:rsid w:val="267C59DE"/>
    <w:rsid w:val="268006CB"/>
    <w:rsid w:val="268162BD"/>
    <w:rsid w:val="2683004A"/>
    <w:rsid w:val="26851904"/>
    <w:rsid w:val="26862EC6"/>
    <w:rsid w:val="268918C3"/>
    <w:rsid w:val="268954B2"/>
    <w:rsid w:val="268A7BCD"/>
    <w:rsid w:val="26946C9F"/>
    <w:rsid w:val="26964D95"/>
    <w:rsid w:val="26981F98"/>
    <w:rsid w:val="26A16743"/>
    <w:rsid w:val="26A43878"/>
    <w:rsid w:val="26A673A7"/>
    <w:rsid w:val="26A77BCE"/>
    <w:rsid w:val="26A92BC9"/>
    <w:rsid w:val="26AA02F7"/>
    <w:rsid w:val="26B04510"/>
    <w:rsid w:val="26B172D2"/>
    <w:rsid w:val="26B3099D"/>
    <w:rsid w:val="26B30B53"/>
    <w:rsid w:val="26B42BD6"/>
    <w:rsid w:val="26B462D5"/>
    <w:rsid w:val="26B53DCC"/>
    <w:rsid w:val="26B6592D"/>
    <w:rsid w:val="26B80661"/>
    <w:rsid w:val="26BE3442"/>
    <w:rsid w:val="26C119AC"/>
    <w:rsid w:val="26C63E48"/>
    <w:rsid w:val="26C740FD"/>
    <w:rsid w:val="26C92580"/>
    <w:rsid w:val="26CE1675"/>
    <w:rsid w:val="26D11723"/>
    <w:rsid w:val="26D34354"/>
    <w:rsid w:val="26D46B1D"/>
    <w:rsid w:val="26D7485F"/>
    <w:rsid w:val="26DC2D2F"/>
    <w:rsid w:val="26DC5B5E"/>
    <w:rsid w:val="26E33204"/>
    <w:rsid w:val="26E72CF4"/>
    <w:rsid w:val="26ED0A06"/>
    <w:rsid w:val="26F61EFB"/>
    <w:rsid w:val="27030929"/>
    <w:rsid w:val="27091C7F"/>
    <w:rsid w:val="270A414D"/>
    <w:rsid w:val="270C62B7"/>
    <w:rsid w:val="270F224B"/>
    <w:rsid w:val="27105989"/>
    <w:rsid w:val="27121880"/>
    <w:rsid w:val="27144FF3"/>
    <w:rsid w:val="2716528F"/>
    <w:rsid w:val="27177B58"/>
    <w:rsid w:val="271B59AC"/>
    <w:rsid w:val="27202195"/>
    <w:rsid w:val="27260E2E"/>
    <w:rsid w:val="27265523"/>
    <w:rsid w:val="27272B62"/>
    <w:rsid w:val="272C09B3"/>
    <w:rsid w:val="272C6772"/>
    <w:rsid w:val="27300AB9"/>
    <w:rsid w:val="273206F8"/>
    <w:rsid w:val="273632B5"/>
    <w:rsid w:val="27367074"/>
    <w:rsid w:val="273774A3"/>
    <w:rsid w:val="27386379"/>
    <w:rsid w:val="273C152A"/>
    <w:rsid w:val="273C2B8C"/>
    <w:rsid w:val="273C5413"/>
    <w:rsid w:val="27445EF8"/>
    <w:rsid w:val="27454DF4"/>
    <w:rsid w:val="27467457"/>
    <w:rsid w:val="274B107D"/>
    <w:rsid w:val="275028C7"/>
    <w:rsid w:val="27527201"/>
    <w:rsid w:val="27547C5E"/>
    <w:rsid w:val="275D3B45"/>
    <w:rsid w:val="27632CCB"/>
    <w:rsid w:val="276621B2"/>
    <w:rsid w:val="276C4FA7"/>
    <w:rsid w:val="2774342E"/>
    <w:rsid w:val="2775488E"/>
    <w:rsid w:val="277A758E"/>
    <w:rsid w:val="277B61EE"/>
    <w:rsid w:val="277D7BBD"/>
    <w:rsid w:val="277E352F"/>
    <w:rsid w:val="277E56E0"/>
    <w:rsid w:val="27802906"/>
    <w:rsid w:val="27845C04"/>
    <w:rsid w:val="278A3E0D"/>
    <w:rsid w:val="278B7923"/>
    <w:rsid w:val="278E4F1E"/>
    <w:rsid w:val="279043D0"/>
    <w:rsid w:val="27973F81"/>
    <w:rsid w:val="279C3F58"/>
    <w:rsid w:val="279C6222"/>
    <w:rsid w:val="279D078F"/>
    <w:rsid w:val="279D4976"/>
    <w:rsid w:val="27A04FDD"/>
    <w:rsid w:val="27A05021"/>
    <w:rsid w:val="27A279FE"/>
    <w:rsid w:val="27A37B91"/>
    <w:rsid w:val="27A72484"/>
    <w:rsid w:val="27A84AA0"/>
    <w:rsid w:val="27AC3F67"/>
    <w:rsid w:val="27AD6747"/>
    <w:rsid w:val="27AF0BC8"/>
    <w:rsid w:val="27BC3FD0"/>
    <w:rsid w:val="27BE56E2"/>
    <w:rsid w:val="27C06054"/>
    <w:rsid w:val="27C0669B"/>
    <w:rsid w:val="27C26A1C"/>
    <w:rsid w:val="27C83638"/>
    <w:rsid w:val="27CC1A99"/>
    <w:rsid w:val="27D652D7"/>
    <w:rsid w:val="27D767DA"/>
    <w:rsid w:val="27D8639F"/>
    <w:rsid w:val="27DC5F86"/>
    <w:rsid w:val="27E172DB"/>
    <w:rsid w:val="27E41914"/>
    <w:rsid w:val="27E928EF"/>
    <w:rsid w:val="27EA43F6"/>
    <w:rsid w:val="27F05BD9"/>
    <w:rsid w:val="27F25CA0"/>
    <w:rsid w:val="27F96C2C"/>
    <w:rsid w:val="27FA401B"/>
    <w:rsid w:val="27FC4264"/>
    <w:rsid w:val="27FE0A02"/>
    <w:rsid w:val="27FF1A35"/>
    <w:rsid w:val="280751E1"/>
    <w:rsid w:val="280A513C"/>
    <w:rsid w:val="2814474E"/>
    <w:rsid w:val="281653D0"/>
    <w:rsid w:val="28190062"/>
    <w:rsid w:val="282064CD"/>
    <w:rsid w:val="28212CAA"/>
    <w:rsid w:val="28220E00"/>
    <w:rsid w:val="282704BA"/>
    <w:rsid w:val="28272D0E"/>
    <w:rsid w:val="282B3545"/>
    <w:rsid w:val="282B5218"/>
    <w:rsid w:val="28334AE0"/>
    <w:rsid w:val="28361D2C"/>
    <w:rsid w:val="283A6E54"/>
    <w:rsid w:val="284D50A1"/>
    <w:rsid w:val="285039E3"/>
    <w:rsid w:val="28515CA1"/>
    <w:rsid w:val="28596462"/>
    <w:rsid w:val="285B140A"/>
    <w:rsid w:val="286904D1"/>
    <w:rsid w:val="28694EF6"/>
    <w:rsid w:val="286D6AB5"/>
    <w:rsid w:val="28702B93"/>
    <w:rsid w:val="2874350E"/>
    <w:rsid w:val="28771E56"/>
    <w:rsid w:val="287A2278"/>
    <w:rsid w:val="287F4DCB"/>
    <w:rsid w:val="28844BCF"/>
    <w:rsid w:val="28867AC4"/>
    <w:rsid w:val="289377A0"/>
    <w:rsid w:val="2895359B"/>
    <w:rsid w:val="28974A46"/>
    <w:rsid w:val="289932F8"/>
    <w:rsid w:val="289B46FE"/>
    <w:rsid w:val="289D57CC"/>
    <w:rsid w:val="289E75ED"/>
    <w:rsid w:val="289F29E9"/>
    <w:rsid w:val="28A52931"/>
    <w:rsid w:val="28A5308F"/>
    <w:rsid w:val="28A80261"/>
    <w:rsid w:val="28A93E69"/>
    <w:rsid w:val="28B4671D"/>
    <w:rsid w:val="28B561EF"/>
    <w:rsid w:val="28BB47EF"/>
    <w:rsid w:val="28BE1509"/>
    <w:rsid w:val="28BE40D2"/>
    <w:rsid w:val="28BF092D"/>
    <w:rsid w:val="28C51E24"/>
    <w:rsid w:val="28C52A69"/>
    <w:rsid w:val="28C76A4C"/>
    <w:rsid w:val="28C826B1"/>
    <w:rsid w:val="28CA467C"/>
    <w:rsid w:val="28CB3A2A"/>
    <w:rsid w:val="28D047E6"/>
    <w:rsid w:val="28D82151"/>
    <w:rsid w:val="28DD745F"/>
    <w:rsid w:val="28E02BFB"/>
    <w:rsid w:val="28E62B38"/>
    <w:rsid w:val="28E81607"/>
    <w:rsid w:val="28E87728"/>
    <w:rsid w:val="28EB29C2"/>
    <w:rsid w:val="28EF47C3"/>
    <w:rsid w:val="28F17C82"/>
    <w:rsid w:val="28F46DCF"/>
    <w:rsid w:val="28F84BAF"/>
    <w:rsid w:val="28FB2A87"/>
    <w:rsid w:val="29016925"/>
    <w:rsid w:val="290336EA"/>
    <w:rsid w:val="290A2CCA"/>
    <w:rsid w:val="290C63C8"/>
    <w:rsid w:val="29154A23"/>
    <w:rsid w:val="291A0821"/>
    <w:rsid w:val="291D70AA"/>
    <w:rsid w:val="291F2116"/>
    <w:rsid w:val="29220B72"/>
    <w:rsid w:val="29230DF4"/>
    <w:rsid w:val="2927139B"/>
    <w:rsid w:val="29283150"/>
    <w:rsid w:val="292B0441"/>
    <w:rsid w:val="292B62A4"/>
    <w:rsid w:val="292B63C4"/>
    <w:rsid w:val="2931663F"/>
    <w:rsid w:val="29345DFD"/>
    <w:rsid w:val="2935745D"/>
    <w:rsid w:val="293715E5"/>
    <w:rsid w:val="2939710B"/>
    <w:rsid w:val="293C40C5"/>
    <w:rsid w:val="29442C9B"/>
    <w:rsid w:val="295E287B"/>
    <w:rsid w:val="2961283D"/>
    <w:rsid w:val="29616EE5"/>
    <w:rsid w:val="296279D8"/>
    <w:rsid w:val="296334C6"/>
    <w:rsid w:val="29633B7C"/>
    <w:rsid w:val="29660BBA"/>
    <w:rsid w:val="296B1622"/>
    <w:rsid w:val="296F0D7F"/>
    <w:rsid w:val="2973086F"/>
    <w:rsid w:val="297310D8"/>
    <w:rsid w:val="297939AC"/>
    <w:rsid w:val="297D4A2A"/>
    <w:rsid w:val="297F65D1"/>
    <w:rsid w:val="29831C05"/>
    <w:rsid w:val="29875B0E"/>
    <w:rsid w:val="298A03C7"/>
    <w:rsid w:val="298E16AA"/>
    <w:rsid w:val="298F39F4"/>
    <w:rsid w:val="29901C36"/>
    <w:rsid w:val="299370B1"/>
    <w:rsid w:val="299568C8"/>
    <w:rsid w:val="29970B9B"/>
    <w:rsid w:val="29974FDC"/>
    <w:rsid w:val="299908FF"/>
    <w:rsid w:val="29992C4D"/>
    <w:rsid w:val="299E3412"/>
    <w:rsid w:val="299F4D37"/>
    <w:rsid w:val="29A05272"/>
    <w:rsid w:val="29A2195A"/>
    <w:rsid w:val="29A71F90"/>
    <w:rsid w:val="29AF0AEA"/>
    <w:rsid w:val="29AF52E8"/>
    <w:rsid w:val="29B6120E"/>
    <w:rsid w:val="29BC0A6C"/>
    <w:rsid w:val="29BF5A6F"/>
    <w:rsid w:val="29C51439"/>
    <w:rsid w:val="29C86F91"/>
    <w:rsid w:val="29CC7855"/>
    <w:rsid w:val="29D3130E"/>
    <w:rsid w:val="29D62408"/>
    <w:rsid w:val="29D80B9B"/>
    <w:rsid w:val="29D82DC8"/>
    <w:rsid w:val="29DB4666"/>
    <w:rsid w:val="29DC126F"/>
    <w:rsid w:val="29DC4C0A"/>
    <w:rsid w:val="29DD5504"/>
    <w:rsid w:val="29E16C07"/>
    <w:rsid w:val="29E42F26"/>
    <w:rsid w:val="29E63C01"/>
    <w:rsid w:val="29EE50E2"/>
    <w:rsid w:val="29F67763"/>
    <w:rsid w:val="29FF23D6"/>
    <w:rsid w:val="2A012E10"/>
    <w:rsid w:val="2A031BF8"/>
    <w:rsid w:val="2A055720"/>
    <w:rsid w:val="2A0A42E6"/>
    <w:rsid w:val="2A106CEB"/>
    <w:rsid w:val="2A110088"/>
    <w:rsid w:val="2A110D2B"/>
    <w:rsid w:val="2A1152AB"/>
    <w:rsid w:val="2A127EDC"/>
    <w:rsid w:val="2A130BCF"/>
    <w:rsid w:val="2A1A0CEB"/>
    <w:rsid w:val="2A257AC6"/>
    <w:rsid w:val="2A293624"/>
    <w:rsid w:val="2A2A0E91"/>
    <w:rsid w:val="2A2B5380"/>
    <w:rsid w:val="2A2B73F0"/>
    <w:rsid w:val="2A2F265A"/>
    <w:rsid w:val="2A337FFE"/>
    <w:rsid w:val="2A3A1811"/>
    <w:rsid w:val="2A3C4F67"/>
    <w:rsid w:val="2A3D1FB4"/>
    <w:rsid w:val="2A5113FA"/>
    <w:rsid w:val="2A5207C6"/>
    <w:rsid w:val="2A577A69"/>
    <w:rsid w:val="2A583E42"/>
    <w:rsid w:val="2A5A1A2F"/>
    <w:rsid w:val="2A627F9C"/>
    <w:rsid w:val="2A642D28"/>
    <w:rsid w:val="2A654B33"/>
    <w:rsid w:val="2A665B05"/>
    <w:rsid w:val="2A6B59EA"/>
    <w:rsid w:val="2A6D659E"/>
    <w:rsid w:val="2A7311DB"/>
    <w:rsid w:val="2A776ADB"/>
    <w:rsid w:val="2A7D7667"/>
    <w:rsid w:val="2A846D98"/>
    <w:rsid w:val="2A8A2314"/>
    <w:rsid w:val="2A93450C"/>
    <w:rsid w:val="2A995E87"/>
    <w:rsid w:val="2A9A0F9D"/>
    <w:rsid w:val="2A9A2760"/>
    <w:rsid w:val="2A9B409C"/>
    <w:rsid w:val="2AAF0CCC"/>
    <w:rsid w:val="2AB23619"/>
    <w:rsid w:val="2AB2709E"/>
    <w:rsid w:val="2ABA5A88"/>
    <w:rsid w:val="2AC9171A"/>
    <w:rsid w:val="2ACA11D7"/>
    <w:rsid w:val="2ACC71A4"/>
    <w:rsid w:val="2AD072A3"/>
    <w:rsid w:val="2AD72BD7"/>
    <w:rsid w:val="2AE4125A"/>
    <w:rsid w:val="2AE52F54"/>
    <w:rsid w:val="2AEF1765"/>
    <w:rsid w:val="2AF15371"/>
    <w:rsid w:val="2AF24FBD"/>
    <w:rsid w:val="2AF661D1"/>
    <w:rsid w:val="2AF662D4"/>
    <w:rsid w:val="2AFB21D9"/>
    <w:rsid w:val="2AFC0F31"/>
    <w:rsid w:val="2B054B6B"/>
    <w:rsid w:val="2B0C41B3"/>
    <w:rsid w:val="2B151462"/>
    <w:rsid w:val="2B24771B"/>
    <w:rsid w:val="2B293012"/>
    <w:rsid w:val="2B3645FC"/>
    <w:rsid w:val="2B382B44"/>
    <w:rsid w:val="2B3B360F"/>
    <w:rsid w:val="2B400FCE"/>
    <w:rsid w:val="2B446ECC"/>
    <w:rsid w:val="2B467CBA"/>
    <w:rsid w:val="2B4C1511"/>
    <w:rsid w:val="2B4D0BA6"/>
    <w:rsid w:val="2B5564E3"/>
    <w:rsid w:val="2B564436"/>
    <w:rsid w:val="2B5B3BD6"/>
    <w:rsid w:val="2B5F634B"/>
    <w:rsid w:val="2B614095"/>
    <w:rsid w:val="2B642D44"/>
    <w:rsid w:val="2B7408CF"/>
    <w:rsid w:val="2B7803BF"/>
    <w:rsid w:val="2B7F4EE7"/>
    <w:rsid w:val="2B7F669E"/>
    <w:rsid w:val="2B8457EA"/>
    <w:rsid w:val="2B8857E8"/>
    <w:rsid w:val="2B8C062B"/>
    <w:rsid w:val="2B8C19B3"/>
    <w:rsid w:val="2B8E7BE2"/>
    <w:rsid w:val="2B933BA5"/>
    <w:rsid w:val="2B934D14"/>
    <w:rsid w:val="2B9710A5"/>
    <w:rsid w:val="2B991B1F"/>
    <w:rsid w:val="2B994722"/>
    <w:rsid w:val="2B9B22FF"/>
    <w:rsid w:val="2B9D4CDD"/>
    <w:rsid w:val="2BA70C93"/>
    <w:rsid w:val="2BB669BA"/>
    <w:rsid w:val="2BB71C6F"/>
    <w:rsid w:val="2BBB4B24"/>
    <w:rsid w:val="2BBC6296"/>
    <w:rsid w:val="2BBD1A08"/>
    <w:rsid w:val="2BC2163A"/>
    <w:rsid w:val="2BCA111E"/>
    <w:rsid w:val="2BCA7A5B"/>
    <w:rsid w:val="2BCE41F9"/>
    <w:rsid w:val="2BD22104"/>
    <w:rsid w:val="2BD24C25"/>
    <w:rsid w:val="2BD33F19"/>
    <w:rsid w:val="2BD510D9"/>
    <w:rsid w:val="2BD83CA5"/>
    <w:rsid w:val="2BE772F2"/>
    <w:rsid w:val="2BE81F12"/>
    <w:rsid w:val="2BEF4DB2"/>
    <w:rsid w:val="2BFD6E47"/>
    <w:rsid w:val="2C027C88"/>
    <w:rsid w:val="2C0561C1"/>
    <w:rsid w:val="2C084947"/>
    <w:rsid w:val="2C092A84"/>
    <w:rsid w:val="2C092FD8"/>
    <w:rsid w:val="2C0B7E47"/>
    <w:rsid w:val="2C130B3C"/>
    <w:rsid w:val="2C15260C"/>
    <w:rsid w:val="2C16669B"/>
    <w:rsid w:val="2C16706A"/>
    <w:rsid w:val="2C172FB2"/>
    <w:rsid w:val="2C1F23F7"/>
    <w:rsid w:val="2C2077D4"/>
    <w:rsid w:val="2C245E51"/>
    <w:rsid w:val="2C251F50"/>
    <w:rsid w:val="2C255737"/>
    <w:rsid w:val="2C287547"/>
    <w:rsid w:val="2C28769D"/>
    <w:rsid w:val="2C293CA3"/>
    <w:rsid w:val="2C393D3F"/>
    <w:rsid w:val="2C3A77D9"/>
    <w:rsid w:val="2C3B36C2"/>
    <w:rsid w:val="2C3D5164"/>
    <w:rsid w:val="2C3F5382"/>
    <w:rsid w:val="2C464019"/>
    <w:rsid w:val="2C5032C8"/>
    <w:rsid w:val="2C517BAB"/>
    <w:rsid w:val="2C5D0D31"/>
    <w:rsid w:val="2C5E66B5"/>
    <w:rsid w:val="2C623001"/>
    <w:rsid w:val="2C654AA8"/>
    <w:rsid w:val="2C6A71B0"/>
    <w:rsid w:val="2C6B1CD2"/>
    <w:rsid w:val="2C6C35FF"/>
    <w:rsid w:val="2C771D88"/>
    <w:rsid w:val="2C823618"/>
    <w:rsid w:val="2C8608B9"/>
    <w:rsid w:val="2C872164"/>
    <w:rsid w:val="2C8D3F94"/>
    <w:rsid w:val="2C9034E6"/>
    <w:rsid w:val="2C931AB4"/>
    <w:rsid w:val="2C946880"/>
    <w:rsid w:val="2C9A2A5D"/>
    <w:rsid w:val="2C9F71F5"/>
    <w:rsid w:val="2CA15EC7"/>
    <w:rsid w:val="2CA37E2A"/>
    <w:rsid w:val="2CA70830"/>
    <w:rsid w:val="2CB376CC"/>
    <w:rsid w:val="2CBC3CE3"/>
    <w:rsid w:val="2CBF3DCB"/>
    <w:rsid w:val="2CBF5469"/>
    <w:rsid w:val="2CC358E3"/>
    <w:rsid w:val="2CCA33C4"/>
    <w:rsid w:val="2CD669DC"/>
    <w:rsid w:val="2CDD52F7"/>
    <w:rsid w:val="2CE128E7"/>
    <w:rsid w:val="2CE16B78"/>
    <w:rsid w:val="2CE633B0"/>
    <w:rsid w:val="2CE657FC"/>
    <w:rsid w:val="2CE73256"/>
    <w:rsid w:val="2CEB696E"/>
    <w:rsid w:val="2CEC1852"/>
    <w:rsid w:val="2CED6C22"/>
    <w:rsid w:val="2CEF1440"/>
    <w:rsid w:val="2CEF6EFD"/>
    <w:rsid w:val="2CF62EBF"/>
    <w:rsid w:val="2CF63A4E"/>
    <w:rsid w:val="2CF9400D"/>
    <w:rsid w:val="2D0008A2"/>
    <w:rsid w:val="2D025056"/>
    <w:rsid w:val="2D0E472E"/>
    <w:rsid w:val="2D102879"/>
    <w:rsid w:val="2D142369"/>
    <w:rsid w:val="2D150A92"/>
    <w:rsid w:val="2D1D2FAE"/>
    <w:rsid w:val="2D1F039A"/>
    <w:rsid w:val="2D226106"/>
    <w:rsid w:val="2D2D1790"/>
    <w:rsid w:val="2D332FD8"/>
    <w:rsid w:val="2D350701"/>
    <w:rsid w:val="2D360531"/>
    <w:rsid w:val="2D3B5BE3"/>
    <w:rsid w:val="2D3E16EE"/>
    <w:rsid w:val="2D4018EA"/>
    <w:rsid w:val="2D422838"/>
    <w:rsid w:val="2D4D3CEA"/>
    <w:rsid w:val="2D4F544D"/>
    <w:rsid w:val="2D595FCE"/>
    <w:rsid w:val="2D5F2C46"/>
    <w:rsid w:val="2D5F4F35"/>
    <w:rsid w:val="2D66185C"/>
    <w:rsid w:val="2D67693D"/>
    <w:rsid w:val="2D693A72"/>
    <w:rsid w:val="2D6A586C"/>
    <w:rsid w:val="2D6D3BCC"/>
    <w:rsid w:val="2D71757B"/>
    <w:rsid w:val="2D755AFE"/>
    <w:rsid w:val="2D7C3712"/>
    <w:rsid w:val="2D8964F0"/>
    <w:rsid w:val="2D8C0FBD"/>
    <w:rsid w:val="2D9073DA"/>
    <w:rsid w:val="2D9627DF"/>
    <w:rsid w:val="2D9669FD"/>
    <w:rsid w:val="2D9B65E7"/>
    <w:rsid w:val="2DA0414B"/>
    <w:rsid w:val="2DA123AA"/>
    <w:rsid w:val="2DA76A49"/>
    <w:rsid w:val="2DB24C88"/>
    <w:rsid w:val="2DB536F8"/>
    <w:rsid w:val="2DB65C23"/>
    <w:rsid w:val="2DBF149D"/>
    <w:rsid w:val="2DC32689"/>
    <w:rsid w:val="2DC518B5"/>
    <w:rsid w:val="2DD11892"/>
    <w:rsid w:val="2DD136C7"/>
    <w:rsid w:val="2DD35D80"/>
    <w:rsid w:val="2DD6025F"/>
    <w:rsid w:val="2DDA7126"/>
    <w:rsid w:val="2DE476B2"/>
    <w:rsid w:val="2DE53B56"/>
    <w:rsid w:val="2DE60B6B"/>
    <w:rsid w:val="2DEA30CA"/>
    <w:rsid w:val="2DEF10F4"/>
    <w:rsid w:val="2DF16206"/>
    <w:rsid w:val="2DF7711A"/>
    <w:rsid w:val="2DFB0E33"/>
    <w:rsid w:val="2E03345F"/>
    <w:rsid w:val="2E074973"/>
    <w:rsid w:val="2E081658"/>
    <w:rsid w:val="2E0D29F7"/>
    <w:rsid w:val="2E2376DA"/>
    <w:rsid w:val="2E24038A"/>
    <w:rsid w:val="2E2A76AB"/>
    <w:rsid w:val="2E323B8A"/>
    <w:rsid w:val="2E3A7BAD"/>
    <w:rsid w:val="2E446289"/>
    <w:rsid w:val="2E45672E"/>
    <w:rsid w:val="2E4722CA"/>
    <w:rsid w:val="2E480174"/>
    <w:rsid w:val="2E4B167D"/>
    <w:rsid w:val="2E4B2360"/>
    <w:rsid w:val="2E5D564A"/>
    <w:rsid w:val="2E5D654E"/>
    <w:rsid w:val="2E604BFD"/>
    <w:rsid w:val="2E685049"/>
    <w:rsid w:val="2E693F13"/>
    <w:rsid w:val="2E6B4DE4"/>
    <w:rsid w:val="2E7312E0"/>
    <w:rsid w:val="2E733D16"/>
    <w:rsid w:val="2E746B11"/>
    <w:rsid w:val="2E750BE6"/>
    <w:rsid w:val="2E76495E"/>
    <w:rsid w:val="2E765890"/>
    <w:rsid w:val="2E790E45"/>
    <w:rsid w:val="2E7A26A0"/>
    <w:rsid w:val="2E7C319B"/>
    <w:rsid w:val="2E7C6418"/>
    <w:rsid w:val="2E7F79F1"/>
    <w:rsid w:val="2E80154D"/>
    <w:rsid w:val="2E8157DC"/>
    <w:rsid w:val="2E840E29"/>
    <w:rsid w:val="2E894691"/>
    <w:rsid w:val="2E8C2A38"/>
    <w:rsid w:val="2E8E7414"/>
    <w:rsid w:val="2E922FD7"/>
    <w:rsid w:val="2E92383C"/>
    <w:rsid w:val="2E9279E9"/>
    <w:rsid w:val="2E955461"/>
    <w:rsid w:val="2E9B6172"/>
    <w:rsid w:val="2E9D2EBD"/>
    <w:rsid w:val="2EA22A6B"/>
    <w:rsid w:val="2EA35C86"/>
    <w:rsid w:val="2EA662CD"/>
    <w:rsid w:val="2EA76C1E"/>
    <w:rsid w:val="2EAD63CD"/>
    <w:rsid w:val="2EB65D31"/>
    <w:rsid w:val="2EB726C1"/>
    <w:rsid w:val="2EC7740A"/>
    <w:rsid w:val="2ED2631F"/>
    <w:rsid w:val="2ED674D1"/>
    <w:rsid w:val="2ED7074F"/>
    <w:rsid w:val="2ED71D78"/>
    <w:rsid w:val="2EDB6221"/>
    <w:rsid w:val="2EDE2C2F"/>
    <w:rsid w:val="2EE144CD"/>
    <w:rsid w:val="2EE3697E"/>
    <w:rsid w:val="2EE85023"/>
    <w:rsid w:val="2EEA66C9"/>
    <w:rsid w:val="2EED4D02"/>
    <w:rsid w:val="2EF2736E"/>
    <w:rsid w:val="2EF65EE5"/>
    <w:rsid w:val="2EF80615"/>
    <w:rsid w:val="2EFA10EB"/>
    <w:rsid w:val="2EFE102D"/>
    <w:rsid w:val="2EFF3610"/>
    <w:rsid w:val="2F0A7768"/>
    <w:rsid w:val="2F1039D8"/>
    <w:rsid w:val="2F141046"/>
    <w:rsid w:val="2F1526D4"/>
    <w:rsid w:val="2F1555DA"/>
    <w:rsid w:val="2F1A0CE2"/>
    <w:rsid w:val="2F1A68FC"/>
    <w:rsid w:val="2F1E770D"/>
    <w:rsid w:val="2F232A39"/>
    <w:rsid w:val="2F252CC5"/>
    <w:rsid w:val="2F263CF2"/>
    <w:rsid w:val="2F2A1AA0"/>
    <w:rsid w:val="2F2D64CE"/>
    <w:rsid w:val="2F331211"/>
    <w:rsid w:val="2F3841FB"/>
    <w:rsid w:val="2F3A598B"/>
    <w:rsid w:val="2F3D4741"/>
    <w:rsid w:val="2F41692A"/>
    <w:rsid w:val="2F4E5030"/>
    <w:rsid w:val="2F505757"/>
    <w:rsid w:val="2F524C8A"/>
    <w:rsid w:val="2F586FE4"/>
    <w:rsid w:val="2F592E1B"/>
    <w:rsid w:val="2F633134"/>
    <w:rsid w:val="2F6A2098"/>
    <w:rsid w:val="2F74620C"/>
    <w:rsid w:val="2F797A5E"/>
    <w:rsid w:val="2F7B2673"/>
    <w:rsid w:val="2F7B665E"/>
    <w:rsid w:val="2F873E58"/>
    <w:rsid w:val="2F887B70"/>
    <w:rsid w:val="2F8B5C04"/>
    <w:rsid w:val="2F921111"/>
    <w:rsid w:val="2F953470"/>
    <w:rsid w:val="2F9B5FC8"/>
    <w:rsid w:val="2F9D1621"/>
    <w:rsid w:val="2FA63021"/>
    <w:rsid w:val="2FA90C60"/>
    <w:rsid w:val="2FAD43AF"/>
    <w:rsid w:val="2FAF5306"/>
    <w:rsid w:val="2FB00EA9"/>
    <w:rsid w:val="2FBC149F"/>
    <w:rsid w:val="2FBE0938"/>
    <w:rsid w:val="2FBF3955"/>
    <w:rsid w:val="2FC22887"/>
    <w:rsid w:val="2FD16B4B"/>
    <w:rsid w:val="2FD57626"/>
    <w:rsid w:val="2FDF00BE"/>
    <w:rsid w:val="2FDF70B1"/>
    <w:rsid w:val="2FE11F29"/>
    <w:rsid w:val="2FE459C2"/>
    <w:rsid w:val="2FE53673"/>
    <w:rsid w:val="2FE83D38"/>
    <w:rsid w:val="2FF15572"/>
    <w:rsid w:val="2FF350DE"/>
    <w:rsid w:val="2FF51560"/>
    <w:rsid w:val="2FF75847"/>
    <w:rsid w:val="2FF91017"/>
    <w:rsid w:val="2FFE4C0B"/>
    <w:rsid w:val="2FFF65BD"/>
    <w:rsid w:val="300645B8"/>
    <w:rsid w:val="300A339A"/>
    <w:rsid w:val="300C16CD"/>
    <w:rsid w:val="300C1BC4"/>
    <w:rsid w:val="30165D6D"/>
    <w:rsid w:val="301F4BEC"/>
    <w:rsid w:val="30250A0A"/>
    <w:rsid w:val="30253028"/>
    <w:rsid w:val="302B1B3E"/>
    <w:rsid w:val="302C52B5"/>
    <w:rsid w:val="302D729E"/>
    <w:rsid w:val="3031382E"/>
    <w:rsid w:val="30385CF4"/>
    <w:rsid w:val="304326EB"/>
    <w:rsid w:val="30474D35"/>
    <w:rsid w:val="30486932"/>
    <w:rsid w:val="3054085C"/>
    <w:rsid w:val="30574AD6"/>
    <w:rsid w:val="3057541B"/>
    <w:rsid w:val="305C4F31"/>
    <w:rsid w:val="30643164"/>
    <w:rsid w:val="306507A3"/>
    <w:rsid w:val="30671D7A"/>
    <w:rsid w:val="306F661E"/>
    <w:rsid w:val="30717BA1"/>
    <w:rsid w:val="30727539"/>
    <w:rsid w:val="30741562"/>
    <w:rsid w:val="30784065"/>
    <w:rsid w:val="307849BD"/>
    <w:rsid w:val="3081343B"/>
    <w:rsid w:val="30843B1C"/>
    <w:rsid w:val="30893B88"/>
    <w:rsid w:val="308A649E"/>
    <w:rsid w:val="308B0B94"/>
    <w:rsid w:val="308E10D3"/>
    <w:rsid w:val="308F7AAE"/>
    <w:rsid w:val="30901D07"/>
    <w:rsid w:val="30937FE3"/>
    <w:rsid w:val="309431D3"/>
    <w:rsid w:val="30981DFE"/>
    <w:rsid w:val="309E1814"/>
    <w:rsid w:val="30A03C28"/>
    <w:rsid w:val="30A16C0F"/>
    <w:rsid w:val="30A22D88"/>
    <w:rsid w:val="30B123CA"/>
    <w:rsid w:val="30B55C11"/>
    <w:rsid w:val="30B56F12"/>
    <w:rsid w:val="30BC20C9"/>
    <w:rsid w:val="30C178B3"/>
    <w:rsid w:val="30C52310"/>
    <w:rsid w:val="30C714A1"/>
    <w:rsid w:val="30D16B10"/>
    <w:rsid w:val="30D50061"/>
    <w:rsid w:val="30D7288E"/>
    <w:rsid w:val="30D740CD"/>
    <w:rsid w:val="30DD0973"/>
    <w:rsid w:val="30E16FF7"/>
    <w:rsid w:val="30E402A4"/>
    <w:rsid w:val="30E6401D"/>
    <w:rsid w:val="30E65B19"/>
    <w:rsid w:val="30EB5C71"/>
    <w:rsid w:val="30EE0487"/>
    <w:rsid w:val="30F46174"/>
    <w:rsid w:val="30F50B8C"/>
    <w:rsid w:val="30F5607D"/>
    <w:rsid w:val="30F6135A"/>
    <w:rsid w:val="30F91382"/>
    <w:rsid w:val="30F962A3"/>
    <w:rsid w:val="30FA1876"/>
    <w:rsid w:val="30FD4EC2"/>
    <w:rsid w:val="31045DB5"/>
    <w:rsid w:val="31046BEC"/>
    <w:rsid w:val="31047991"/>
    <w:rsid w:val="310A4903"/>
    <w:rsid w:val="31111413"/>
    <w:rsid w:val="311371AF"/>
    <w:rsid w:val="311446C5"/>
    <w:rsid w:val="31247734"/>
    <w:rsid w:val="312E56BF"/>
    <w:rsid w:val="31306BA6"/>
    <w:rsid w:val="313174F1"/>
    <w:rsid w:val="313404F5"/>
    <w:rsid w:val="313D3702"/>
    <w:rsid w:val="314027B9"/>
    <w:rsid w:val="31412AD5"/>
    <w:rsid w:val="3148396C"/>
    <w:rsid w:val="314C3951"/>
    <w:rsid w:val="314D732D"/>
    <w:rsid w:val="314F32D9"/>
    <w:rsid w:val="315016E3"/>
    <w:rsid w:val="31530A22"/>
    <w:rsid w:val="315471D8"/>
    <w:rsid w:val="315545D9"/>
    <w:rsid w:val="31616B72"/>
    <w:rsid w:val="3162252D"/>
    <w:rsid w:val="31685FD9"/>
    <w:rsid w:val="316B1747"/>
    <w:rsid w:val="316D3842"/>
    <w:rsid w:val="316D3FB9"/>
    <w:rsid w:val="31700E5D"/>
    <w:rsid w:val="31713198"/>
    <w:rsid w:val="31757D2D"/>
    <w:rsid w:val="317A7992"/>
    <w:rsid w:val="31820904"/>
    <w:rsid w:val="3186135C"/>
    <w:rsid w:val="318D4877"/>
    <w:rsid w:val="318E2291"/>
    <w:rsid w:val="318E33F4"/>
    <w:rsid w:val="319275DD"/>
    <w:rsid w:val="319B2EB9"/>
    <w:rsid w:val="319C127D"/>
    <w:rsid w:val="319C292D"/>
    <w:rsid w:val="31AA3143"/>
    <w:rsid w:val="31B076D0"/>
    <w:rsid w:val="31B324D2"/>
    <w:rsid w:val="31B639EF"/>
    <w:rsid w:val="31B66925"/>
    <w:rsid w:val="31B7166F"/>
    <w:rsid w:val="31B90CA2"/>
    <w:rsid w:val="31BA402E"/>
    <w:rsid w:val="31BC769C"/>
    <w:rsid w:val="31BF34BC"/>
    <w:rsid w:val="31C003CA"/>
    <w:rsid w:val="31C077A3"/>
    <w:rsid w:val="31C91466"/>
    <w:rsid w:val="31C95211"/>
    <w:rsid w:val="31C96E10"/>
    <w:rsid w:val="31CF10AD"/>
    <w:rsid w:val="31D003BB"/>
    <w:rsid w:val="31D23CD7"/>
    <w:rsid w:val="31D779E8"/>
    <w:rsid w:val="31D90257"/>
    <w:rsid w:val="31DE4721"/>
    <w:rsid w:val="31E00A6C"/>
    <w:rsid w:val="31E10DF1"/>
    <w:rsid w:val="31E21241"/>
    <w:rsid w:val="31EA7E07"/>
    <w:rsid w:val="31EE4562"/>
    <w:rsid w:val="31F25A33"/>
    <w:rsid w:val="31F471F2"/>
    <w:rsid w:val="31F77B64"/>
    <w:rsid w:val="31F83B65"/>
    <w:rsid w:val="32006253"/>
    <w:rsid w:val="32014CC9"/>
    <w:rsid w:val="320206CE"/>
    <w:rsid w:val="32054110"/>
    <w:rsid w:val="32060BE6"/>
    <w:rsid w:val="32060D3C"/>
    <w:rsid w:val="32065A9C"/>
    <w:rsid w:val="32095006"/>
    <w:rsid w:val="32113669"/>
    <w:rsid w:val="32121FF8"/>
    <w:rsid w:val="321369CD"/>
    <w:rsid w:val="32171BAC"/>
    <w:rsid w:val="32185518"/>
    <w:rsid w:val="321B3108"/>
    <w:rsid w:val="322532C1"/>
    <w:rsid w:val="322A1672"/>
    <w:rsid w:val="322A727C"/>
    <w:rsid w:val="322C3CB1"/>
    <w:rsid w:val="32317519"/>
    <w:rsid w:val="323301CA"/>
    <w:rsid w:val="323411F5"/>
    <w:rsid w:val="32345A4F"/>
    <w:rsid w:val="3237417B"/>
    <w:rsid w:val="32394B5E"/>
    <w:rsid w:val="323C3445"/>
    <w:rsid w:val="323D354C"/>
    <w:rsid w:val="323E4DE5"/>
    <w:rsid w:val="323E7098"/>
    <w:rsid w:val="32420511"/>
    <w:rsid w:val="32452430"/>
    <w:rsid w:val="32481FD4"/>
    <w:rsid w:val="32495498"/>
    <w:rsid w:val="324A2916"/>
    <w:rsid w:val="324D5377"/>
    <w:rsid w:val="325B7B2A"/>
    <w:rsid w:val="325F139F"/>
    <w:rsid w:val="326351F9"/>
    <w:rsid w:val="3264093D"/>
    <w:rsid w:val="32695D86"/>
    <w:rsid w:val="326B42CF"/>
    <w:rsid w:val="326C2B55"/>
    <w:rsid w:val="3270004D"/>
    <w:rsid w:val="328624F4"/>
    <w:rsid w:val="32863519"/>
    <w:rsid w:val="32894E43"/>
    <w:rsid w:val="328A5CEE"/>
    <w:rsid w:val="328B278B"/>
    <w:rsid w:val="328D7C9C"/>
    <w:rsid w:val="32911FDF"/>
    <w:rsid w:val="32935135"/>
    <w:rsid w:val="329365A6"/>
    <w:rsid w:val="3294539B"/>
    <w:rsid w:val="32973CE7"/>
    <w:rsid w:val="32981281"/>
    <w:rsid w:val="329863B7"/>
    <w:rsid w:val="32990C5F"/>
    <w:rsid w:val="329A4CA0"/>
    <w:rsid w:val="32A0100A"/>
    <w:rsid w:val="32A06194"/>
    <w:rsid w:val="32A07380"/>
    <w:rsid w:val="32A12E2A"/>
    <w:rsid w:val="32A7003F"/>
    <w:rsid w:val="32A73338"/>
    <w:rsid w:val="32A733B9"/>
    <w:rsid w:val="32AB107A"/>
    <w:rsid w:val="32AE03F5"/>
    <w:rsid w:val="32AE78C9"/>
    <w:rsid w:val="32B0306F"/>
    <w:rsid w:val="32B442FE"/>
    <w:rsid w:val="32B503A4"/>
    <w:rsid w:val="32BC1D14"/>
    <w:rsid w:val="32BF329C"/>
    <w:rsid w:val="32C03AD8"/>
    <w:rsid w:val="32C67CAA"/>
    <w:rsid w:val="32CF553C"/>
    <w:rsid w:val="32D11EE7"/>
    <w:rsid w:val="32D274D4"/>
    <w:rsid w:val="32D44840"/>
    <w:rsid w:val="32D86CB5"/>
    <w:rsid w:val="32DC2B5D"/>
    <w:rsid w:val="32E717A2"/>
    <w:rsid w:val="32E8711E"/>
    <w:rsid w:val="32EE3FBA"/>
    <w:rsid w:val="32F41CD6"/>
    <w:rsid w:val="32F52D53"/>
    <w:rsid w:val="32F55942"/>
    <w:rsid w:val="32F63AF9"/>
    <w:rsid w:val="32F9331E"/>
    <w:rsid w:val="330042A1"/>
    <w:rsid w:val="33013C3F"/>
    <w:rsid w:val="33024A12"/>
    <w:rsid w:val="3303354F"/>
    <w:rsid w:val="33065663"/>
    <w:rsid w:val="33073AB9"/>
    <w:rsid w:val="330B033D"/>
    <w:rsid w:val="330B17E7"/>
    <w:rsid w:val="330C4584"/>
    <w:rsid w:val="330E785B"/>
    <w:rsid w:val="331210F9"/>
    <w:rsid w:val="33136C1F"/>
    <w:rsid w:val="3316046C"/>
    <w:rsid w:val="33172DDD"/>
    <w:rsid w:val="331E2D04"/>
    <w:rsid w:val="332151F3"/>
    <w:rsid w:val="33221016"/>
    <w:rsid w:val="33225E94"/>
    <w:rsid w:val="33227F37"/>
    <w:rsid w:val="333B175F"/>
    <w:rsid w:val="333C295B"/>
    <w:rsid w:val="33403D89"/>
    <w:rsid w:val="334377A2"/>
    <w:rsid w:val="33492641"/>
    <w:rsid w:val="334C4750"/>
    <w:rsid w:val="334E0DFC"/>
    <w:rsid w:val="334E2A30"/>
    <w:rsid w:val="334F625C"/>
    <w:rsid w:val="335038F0"/>
    <w:rsid w:val="3351188B"/>
    <w:rsid w:val="33514506"/>
    <w:rsid w:val="33516E36"/>
    <w:rsid w:val="33557448"/>
    <w:rsid w:val="33566357"/>
    <w:rsid w:val="33587A60"/>
    <w:rsid w:val="33597AF2"/>
    <w:rsid w:val="335D7E9A"/>
    <w:rsid w:val="335F3C12"/>
    <w:rsid w:val="336028D2"/>
    <w:rsid w:val="3364444D"/>
    <w:rsid w:val="33683704"/>
    <w:rsid w:val="33690954"/>
    <w:rsid w:val="336A3CEB"/>
    <w:rsid w:val="336F4902"/>
    <w:rsid w:val="33704071"/>
    <w:rsid w:val="33744D8D"/>
    <w:rsid w:val="337A75D3"/>
    <w:rsid w:val="337C6572"/>
    <w:rsid w:val="337D75B7"/>
    <w:rsid w:val="337E3FAD"/>
    <w:rsid w:val="338168E3"/>
    <w:rsid w:val="33850B70"/>
    <w:rsid w:val="33873815"/>
    <w:rsid w:val="33891DCD"/>
    <w:rsid w:val="338B2639"/>
    <w:rsid w:val="338D071A"/>
    <w:rsid w:val="33953AD8"/>
    <w:rsid w:val="33994414"/>
    <w:rsid w:val="33A146E4"/>
    <w:rsid w:val="33A87367"/>
    <w:rsid w:val="33A87381"/>
    <w:rsid w:val="33AA1532"/>
    <w:rsid w:val="33AA2F0D"/>
    <w:rsid w:val="33AE3832"/>
    <w:rsid w:val="33B11047"/>
    <w:rsid w:val="33B77D37"/>
    <w:rsid w:val="33B968B7"/>
    <w:rsid w:val="33BA709B"/>
    <w:rsid w:val="33BA7C90"/>
    <w:rsid w:val="33BB5744"/>
    <w:rsid w:val="33BC2440"/>
    <w:rsid w:val="33BE161E"/>
    <w:rsid w:val="33C30645"/>
    <w:rsid w:val="33C46B3C"/>
    <w:rsid w:val="33C87C07"/>
    <w:rsid w:val="33CF6FEA"/>
    <w:rsid w:val="33D254FF"/>
    <w:rsid w:val="33D66246"/>
    <w:rsid w:val="33D742CB"/>
    <w:rsid w:val="33DA5E2D"/>
    <w:rsid w:val="33DA7A96"/>
    <w:rsid w:val="33E02FA5"/>
    <w:rsid w:val="33E0505D"/>
    <w:rsid w:val="33E3630D"/>
    <w:rsid w:val="33E56BD7"/>
    <w:rsid w:val="33F16F60"/>
    <w:rsid w:val="33F24A86"/>
    <w:rsid w:val="33F26A20"/>
    <w:rsid w:val="33F72E36"/>
    <w:rsid w:val="33FA7355"/>
    <w:rsid w:val="33FD17FB"/>
    <w:rsid w:val="34026CBC"/>
    <w:rsid w:val="34046E30"/>
    <w:rsid w:val="340547BA"/>
    <w:rsid w:val="3408137C"/>
    <w:rsid w:val="341029E8"/>
    <w:rsid w:val="34104C55"/>
    <w:rsid w:val="34125129"/>
    <w:rsid w:val="34197201"/>
    <w:rsid w:val="341E5E8A"/>
    <w:rsid w:val="341F7370"/>
    <w:rsid w:val="3423186C"/>
    <w:rsid w:val="342A7BA0"/>
    <w:rsid w:val="342E2F0D"/>
    <w:rsid w:val="3432077B"/>
    <w:rsid w:val="343331E4"/>
    <w:rsid w:val="34335D09"/>
    <w:rsid w:val="34357FFF"/>
    <w:rsid w:val="343926B5"/>
    <w:rsid w:val="34466ECA"/>
    <w:rsid w:val="344670A1"/>
    <w:rsid w:val="34497A40"/>
    <w:rsid w:val="344C23A2"/>
    <w:rsid w:val="34503EE5"/>
    <w:rsid w:val="34517705"/>
    <w:rsid w:val="34521C93"/>
    <w:rsid w:val="345612EE"/>
    <w:rsid w:val="345A1625"/>
    <w:rsid w:val="346220F9"/>
    <w:rsid w:val="346546D1"/>
    <w:rsid w:val="34673CED"/>
    <w:rsid w:val="34673E70"/>
    <w:rsid w:val="34685CFE"/>
    <w:rsid w:val="346A0D66"/>
    <w:rsid w:val="346A286F"/>
    <w:rsid w:val="346F4329"/>
    <w:rsid w:val="347156E4"/>
    <w:rsid w:val="34724274"/>
    <w:rsid w:val="347375CD"/>
    <w:rsid w:val="34762617"/>
    <w:rsid w:val="347C13BB"/>
    <w:rsid w:val="348E47AF"/>
    <w:rsid w:val="349A52CD"/>
    <w:rsid w:val="349B7CA4"/>
    <w:rsid w:val="34A15415"/>
    <w:rsid w:val="34A9652A"/>
    <w:rsid w:val="34B00BC9"/>
    <w:rsid w:val="34B723AD"/>
    <w:rsid w:val="34B955A4"/>
    <w:rsid w:val="34BA29E8"/>
    <w:rsid w:val="34BE1036"/>
    <w:rsid w:val="34C22C1F"/>
    <w:rsid w:val="34C300F8"/>
    <w:rsid w:val="34C5749C"/>
    <w:rsid w:val="34C70927"/>
    <w:rsid w:val="34C90CF8"/>
    <w:rsid w:val="34CB5A03"/>
    <w:rsid w:val="34CB7DC1"/>
    <w:rsid w:val="34D5484B"/>
    <w:rsid w:val="34D5545F"/>
    <w:rsid w:val="34D7140F"/>
    <w:rsid w:val="34E17252"/>
    <w:rsid w:val="34F37F50"/>
    <w:rsid w:val="34F94EE6"/>
    <w:rsid w:val="35042CC3"/>
    <w:rsid w:val="3504515F"/>
    <w:rsid w:val="35050E48"/>
    <w:rsid w:val="35090CE9"/>
    <w:rsid w:val="350A3E06"/>
    <w:rsid w:val="350E0EF8"/>
    <w:rsid w:val="35111611"/>
    <w:rsid w:val="35133E3C"/>
    <w:rsid w:val="35255788"/>
    <w:rsid w:val="352C087C"/>
    <w:rsid w:val="35332A06"/>
    <w:rsid w:val="353A2617"/>
    <w:rsid w:val="353A2FC1"/>
    <w:rsid w:val="353B420D"/>
    <w:rsid w:val="353E106F"/>
    <w:rsid w:val="353E6BF7"/>
    <w:rsid w:val="35463623"/>
    <w:rsid w:val="3546508A"/>
    <w:rsid w:val="35471509"/>
    <w:rsid w:val="354741BF"/>
    <w:rsid w:val="354C3FB0"/>
    <w:rsid w:val="354D652F"/>
    <w:rsid w:val="35531DB4"/>
    <w:rsid w:val="355733F2"/>
    <w:rsid w:val="3562371A"/>
    <w:rsid w:val="356409D9"/>
    <w:rsid w:val="356507B1"/>
    <w:rsid w:val="356523E2"/>
    <w:rsid w:val="356A3560"/>
    <w:rsid w:val="357240D1"/>
    <w:rsid w:val="3572590F"/>
    <w:rsid w:val="35742B41"/>
    <w:rsid w:val="35745BB7"/>
    <w:rsid w:val="357940C4"/>
    <w:rsid w:val="357F67EE"/>
    <w:rsid w:val="35850CE9"/>
    <w:rsid w:val="35907DB1"/>
    <w:rsid w:val="35926C9F"/>
    <w:rsid w:val="35936138"/>
    <w:rsid w:val="35943BF2"/>
    <w:rsid w:val="35944BEB"/>
    <w:rsid w:val="35A10512"/>
    <w:rsid w:val="35A50C8F"/>
    <w:rsid w:val="35A6316A"/>
    <w:rsid w:val="35B23761"/>
    <w:rsid w:val="35B73499"/>
    <w:rsid w:val="35B935DD"/>
    <w:rsid w:val="35BC60D5"/>
    <w:rsid w:val="35BD5FEF"/>
    <w:rsid w:val="35C024FF"/>
    <w:rsid w:val="35CA78D5"/>
    <w:rsid w:val="35CB17C8"/>
    <w:rsid w:val="35CD4803"/>
    <w:rsid w:val="35D84F41"/>
    <w:rsid w:val="35DF37B8"/>
    <w:rsid w:val="35EA2952"/>
    <w:rsid w:val="35ED3FC9"/>
    <w:rsid w:val="35F209B7"/>
    <w:rsid w:val="35F52380"/>
    <w:rsid w:val="35FB4D62"/>
    <w:rsid w:val="35FF3FD7"/>
    <w:rsid w:val="36026134"/>
    <w:rsid w:val="36026D51"/>
    <w:rsid w:val="3604452D"/>
    <w:rsid w:val="360D47D1"/>
    <w:rsid w:val="36107BED"/>
    <w:rsid w:val="36133970"/>
    <w:rsid w:val="36160F00"/>
    <w:rsid w:val="36174C78"/>
    <w:rsid w:val="361A7030"/>
    <w:rsid w:val="361D694D"/>
    <w:rsid w:val="362058DB"/>
    <w:rsid w:val="36240B99"/>
    <w:rsid w:val="36242022"/>
    <w:rsid w:val="3626412A"/>
    <w:rsid w:val="36280C33"/>
    <w:rsid w:val="36297735"/>
    <w:rsid w:val="362B2893"/>
    <w:rsid w:val="362C4832"/>
    <w:rsid w:val="362D00CA"/>
    <w:rsid w:val="362E79FC"/>
    <w:rsid w:val="36363077"/>
    <w:rsid w:val="36370E76"/>
    <w:rsid w:val="363E114E"/>
    <w:rsid w:val="363E2E0E"/>
    <w:rsid w:val="363F34B0"/>
    <w:rsid w:val="36423CDE"/>
    <w:rsid w:val="36433283"/>
    <w:rsid w:val="36433E85"/>
    <w:rsid w:val="36452DB7"/>
    <w:rsid w:val="364831CC"/>
    <w:rsid w:val="36487CC3"/>
    <w:rsid w:val="365F0FF3"/>
    <w:rsid w:val="365F2FF1"/>
    <w:rsid w:val="366132AD"/>
    <w:rsid w:val="36640681"/>
    <w:rsid w:val="366C01EF"/>
    <w:rsid w:val="367062CD"/>
    <w:rsid w:val="367140CE"/>
    <w:rsid w:val="367757DA"/>
    <w:rsid w:val="36796DBA"/>
    <w:rsid w:val="367C0606"/>
    <w:rsid w:val="367E6AA5"/>
    <w:rsid w:val="367F0C43"/>
    <w:rsid w:val="3680094B"/>
    <w:rsid w:val="36851BE2"/>
    <w:rsid w:val="368805F3"/>
    <w:rsid w:val="368823F7"/>
    <w:rsid w:val="368B0B98"/>
    <w:rsid w:val="368B6EA5"/>
    <w:rsid w:val="368D0528"/>
    <w:rsid w:val="369E4151"/>
    <w:rsid w:val="369F095D"/>
    <w:rsid w:val="36A23A30"/>
    <w:rsid w:val="36A24542"/>
    <w:rsid w:val="36AB0188"/>
    <w:rsid w:val="36AF403B"/>
    <w:rsid w:val="36B04C59"/>
    <w:rsid w:val="36B111EC"/>
    <w:rsid w:val="36B176CD"/>
    <w:rsid w:val="36B477F0"/>
    <w:rsid w:val="36B47E57"/>
    <w:rsid w:val="36B5259C"/>
    <w:rsid w:val="36B8400A"/>
    <w:rsid w:val="36BB532C"/>
    <w:rsid w:val="36BC0C12"/>
    <w:rsid w:val="36BD603C"/>
    <w:rsid w:val="36BE50F4"/>
    <w:rsid w:val="36C43915"/>
    <w:rsid w:val="36C83E96"/>
    <w:rsid w:val="36CA329C"/>
    <w:rsid w:val="36D354F9"/>
    <w:rsid w:val="36DA1C6E"/>
    <w:rsid w:val="36DC2DA4"/>
    <w:rsid w:val="36DC4194"/>
    <w:rsid w:val="36DD0A81"/>
    <w:rsid w:val="36E546D9"/>
    <w:rsid w:val="36E56B24"/>
    <w:rsid w:val="36EA7C97"/>
    <w:rsid w:val="36ED27FA"/>
    <w:rsid w:val="36ED3550"/>
    <w:rsid w:val="36EF0F55"/>
    <w:rsid w:val="36FC50DD"/>
    <w:rsid w:val="36FD4F6B"/>
    <w:rsid w:val="36FD5315"/>
    <w:rsid w:val="36FF4C1D"/>
    <w:rsid w:val="37036AB0"/>
    <w:rsid w:val="370574F6"/>
    <w:rsid w:val="37070849"/>
    <w:rsid w:val="37084F05"/>
    <w:rsid w:val="370B3426"/>
    <w:rsid w:val="370B4330"/>
    <w:rsid w:val="370C44EE"/>
    <w:rsid w:val="3710120F"/>
    <w:rsid w:val="37112ECC"/>
    <w:rsid w:val="37125F48"/>
    <w:rsid w:val="37140CF6"/>
    <w:rsid w:val="37196234"/>
    <w:rsid w:val="371C5CDC"/>
    <w:rsid w:val="37217C09"/>
    <w:rsid w:val="372C3637"/>
    <w:rsid w:val="37330D6F"/>
    <w:rsid w:val="373B4340"/>
    <w:rsid w:val="374D6BA3"/>
    <w:rsid w:val="374E115D"/>
    <w:rsid w:val="374E2B92"/>
    <w:rsid w:val="375118E1"/>
    <w:rsid w:val="37585C6A"/>
    <w:rsid w:val="375D7340"/>
    <w:rsid w:val="376B2C6A"/>
    <w:rsid w:val="376F077B"/>
    <w:rsid w:val="376F435D"/>
    <w:rsid w:val="3776484C"/>
    <w:rsid w:val="377A25E6"/>
    <w:rsid w:val="377F5EAA"/>
    <w:rsid w:val="378043EE"/>
    <w:rsid w:val="3783605E"/>
    <w:rsid w:val="37866954"/>
    <w:rsid w:val="37866E04"/>
    <w:rsid w:val="37882E22"/>
    <w:rsid w:val="378B3806"/>
    <w:rsid w:val="378E4D9B"/>
    <w:rsid w:val="37922FA8"/>
    <w:rsid w:val="379958A7"/>
    <w:rsid w:val="379A790F"/>
    <w:rsid w:val="379B4249"/>
    <w:rsid w:val="379E236D"/>
    <w:rsid w:val="379E2C3B"/>
    <w:rsid w:val="379E52B4"/>
    <w:rsid w:val="37A128BC"/>
    <w:rsid w:val="37A3390F"/>
    <w:rsid w:val="37A37007"/>
    <w:rsid w:val="37AC435C"/>
    <w:rsid w:val="37AE5168"/>
    <w:rsid w:val="37B409D1"/>
    <w:rsid w:val="37C009B4"/>
    <w:rsid w:val="37CE1367"/>
    <w:rsid w:val="37D57705"/>
    <w:rsid w:val="37DE3C9F"/>
    <w:rsid w:val="37E01899"/>
    <w:rsid w:val="37E571D9"/>
    <w:rsid w:val="37E66C76"/>
    <w:rsid w:val="37E74C04"/>
    <w:rsid w:val="37EB3CC7"/>
    <w:rsid w:val="37EB7B10"/>
    <w:rsid w:val="37EF0FCE"/>
    <w:rsid w:val="37EF6AA9"/>
    <w:rsid w:val="37F75831"/>
    <w:rsid w:val="380D7280"/>
    <w:rsid w:val="380E6969"/>
    <w:rsid w:val="38163850"/>
    <w:rsid w:val="38173BB2"/>
    <w:rsid w:val="3819279E"/>
    <w:rsid w:val="38223824"/>
    <w:rsid w:val="382457BD"/>
    <w:rsid w:val="382A48EF"/>
    <w:rsid w:val="382B498A"/>
    <w:rsid w:val="382C1BFC"/>
    <w:rsid w:val="382F248B"/>
    <w:rsid w:val="383078BE"/>
    <w:rsid w:val="383251D2"/>
    <w:rsid w:val="38363E93"/>
    <w:rsid w:val="38370E26"/>
    <w:rsid w:val="38387D57"/>
    <w:rsid w:val="383977E5"/>
    <w:rsid w:val="383A3F4E"/>
    <w:rsid w:val="383A5D84"/>
    <w:rsid w:val="383E5A2C"/>
    <w:rsid w:val="383F2366"/>
    <w:rsid w:val="383F6B1D"/>
    <w:rsid w:val="38455ACD"/>
    <w:rsid w:val="384E7BEB"/>
    <w:rsid w:val="384F24A7"/>
    <w:rsid w:val="384F52B2"/>
    <w:rsid w:val="38547CF3"/>
    <w:rsid w:val="38593326"/>
    <w:rsid w:val="38594EA4"/>
    <w:rsid w:val="386115F0"/>
    <w:rsid w:val="3861213E"/>
    <w:rsid w:val="38653A79"/>
    <w:rsid w:val="3869241B"/>
    <w:rsid w:val="3869503F"/>
    <w:rsid w:val="386C2902"/>
    <w:rsid w:val="38703B25"/>
    <w:rsid w:val="3872402A"/>
    <w:rsid w:val="387401EC"/>
    <w:rsid w:val="38745A8D"/>
    <w:rsid w:val="38763ACF"/>
    <w:rsid w:val="38776F7B"/>
    <w:rsid w:val="387876BE"/>
    <w:rsid w:val="387939C8"/>
    <w:rsid w:val="388A7983"/>
    <w:rsid w:val="388F52EB"/>
    <w:rsid w:val="388F5EDF"/>
    <w:rsid w:val="3891486E"/>
    <w:rsid w:val="38936487"/>
    <w:rsid w:val="389417BE"/>
    <w:rsid w:val="38941A75"/>
    <w:rsid w:val="389712B7"/>
    <w:rsid w:val="38984528"/>
    <w:rsid w:val="38986BAD"/>
    <w:rsid w:val="389D2722"/>
    <w:rsid w:val="38A012CF"/>
    <w:rsid w:val="38A071A7"/>
    <w:rsid w:val="38AB209D"/>
    <w:rsid w:val="38B07F3F"/>
    <w:rsid w:val="38B15295"/>
    <w:rsid w:val="38B93DC5"/>
    <w:rsid w:val="38BB3D60"/>
    <w:rsid w:val="38BE13DB"/>
    <w:rsid w:val="38BF5913"/>
    <w:rsid w:val="38C369F1"/>
    <w:rsid w:val="38C764E2"/>
    <w:rsid w:val="38CA604A"/>
    <w:rsid w:val="38CE72DE"/>
    <w:rsid w:val="38CF40C0"/>
    <w:rsid w:val="38D3208F"/>
    <w:rsid w:val="38D46B2D"/>
    <w:rsid w:val="38D515DF"/>
    <w:rsid w:val="38D529D0"/>
    <w:rsid w:val="38D532D0"/>
    <w:rsid w:val="38D77001"/>
    <w:rsid w:val="38D7700F"/>
    <w:rsid w:val="38DB506A"/>
    <w:rsid w:val="38DD54BB"/>
    <w:rsid w:val="38DE382B"/>
    <w:rsid w:val="38E20B5A"/>
    <w:rsid w:val="38ED3A6E"/>
    <w:rsid w:val="38FF223E"/>
    <w:rsid w:val="3904435C"/>
    <w:rsid w:val="39072D82"/>
    <w:rsid w:val="390B7B89"/>
    <w:rsid w:val="39102DF5"/>
    <w:rsid w:val="39135C3F"/>
    <w:rsid w:val="39142266"/>
    <w:rsid w:val="391C2033"/>
    <w:rsid w:val="391E459E"/>
    <w:rsid w:val="39236F5E"/>
    <w:rsid w:val="39237490"/>
    <w:rsid w:val="39241D31"/>
    <w:rsid w:val="39243934"/>
    <w:rsid w:val="39252FDC"/>
    <w:rsid w:val="3928245B"/>
    <w:rsid w:val="39286B48"/>
    <w:rsid w:val="392C209C"/>
    <w:rsid w:val="3930096E"/>
    <w:rsid w:val="3930586A"/>
    <w:rsid w:val="39377CF7"/>
    <w:rsid w:val="393D2ED0"/>
    <w:rsid w:val="393E0CA6"/>
    <w:rsid w:val="393E6BE9"/>
    <w:rsid w:val="393E7D4C"/>
    <w:rsid w:val="394121D9"/>
    <w:rsid w:val="3942200C"/>
    <w:rsid w:val="394406BF"/>
    <w:rsid w:val="39456E77"/>
    <w:rsid w:val="394D3BF7"/>
    <w:rsid w:val="395313F4"/>
    <w:rsid w:val="39536F7B"/>
    <w:rsid w:val="39550D54"/>
    <w:rsid w:val="3955479B"/>
    <w:rsid w:val="395D3917"/>
    <w:rsid w:val="395F671A"/>
    <w:rsid w:val="39642C55"/>
    <w:rsid w:val="39673337"/>
    <w:rsid w:val="39677B48"/>
    <w:rsid w:val="396A27AA"/>
    <w:rsid w:val="396C0D16"/>
    <w:rsid w:val="3971469F"/>
    <w:rsid w:val="397D2868"/>
    <w:rsid w:val="398275E5"/>
    <w:rsid w:val="398A5494"/>
    <w:rsid w:val="398B5D21"/>
    <w:rsid w:val="398C3B30"/>
    <w:rsid w:val="398E60C5"/>
    <w:rsid w:val="39976BA9"/>
    <w:rsid w:val="39986CE8"/>
    <w:rsid w:val="399A7A62"/>
    <w:rsid w:val="39A769F2"/>
    <w:rsid w:val="39AB5504"/>
    <w:rsid w:val="39B24193"/>
    <w:rsid w:val="39BD4F48"/>
    <w:rsid w:val="39C921CD"/>
    <w:rsid w:val="39CB333D"/>
    <w:rsid w:val="39D27F2A"/>
    <w:rsid w:val="39D33B54"/>
    <w:rsid w:val="39D5718B"/>
    <w:rsid w:val="39D92053"/>
    <w:rsid w:val="39DA17A1"/>
    <w:rsid w:val="39DB6694"/>
    <w:rsid w:val="39DD3AE3"/>
    <w:rsid w:val="39E1445D"/>
    <w:rsid w:val="39E41149"/>
    <w:rsid w:val="39E53400"/>
    <w:rsid w:val="39E559B6"/>
    <w:rsid w:val="39E64D16"/>
    <w:rsid w:val="39EA4026"/>
    <w:rsid w:val="39EA5E67"/>
    <w:rsid w:val="39EB0342"/>
    <w:rsid w:val="39ED5E10"/>
    <w:rsid w:val="39F33336"/>
    <w:rsid w:val="39F8040F"/>
    <w:rsid w:val="39FC4FE5"/>
    <w:rsid w:val="3A053765"/>
    <w:rsid w:val="3A057993"/>
    <w:rsid w:val="3A0C66B2"/>
    <w:rsid w:val="3A0F3283"/>
    <w:rsid w:val="3A1C285D"/>
    <w:rsid w:val="3A1C4FC6"/>
    <w:rsid w:val="3A225659"/>
    <w:rsid w:val="3A253D8D"/>
    <w:rsid w:val="3A266C45"/>
    <w:rsid w:val="3A2E521F"/>
    <w:rsid w:val="3A2E6E6B"/>
    <w:rsid w:val="3A3150E5"/>
    <w:rsid w:val="3A383AE9"/>
    <w:rsid w:val="3A3B4233"/>
    <w:rsid w:val="3A3B5C55"/>
    <w:rsid w:val="3A3D0276"/>
    <w:rsid w:val="3A3F3E59"/>
    <w:rsid w:val="3A4240DA"/>
    <w:rsid w:val="3A4672E7"/>
    <w:rsid w:val="3A476A38"/>
    <w:rsid w:val="3A4F301B"/>
    <w:rsid w:val="3A5174E9"/>
    <w:rsid w:val="3A522172"/>
    <w:rsid w:val="3A541C14"/>
    <w:rsid w:val="3A551B4D"/>
    <w:rsid w:val="3A5615EE"/>
    <w:rsid w:val="3A582990"/>
    <w:rsid w:val="3A587774"/>
    <w:rsid w:val="3A5D52DD"/>
    <w:rsid w:val="3A634086"/>
    <w:rsid w:val="3A635E97"/>
    <w:rsid w:val="3A6437AD"/>
    <w:rsid w:val="3A6600C8"/>
    <w:rsid w:val="3A6A6932"/>
    <w:rsid w:val="3A705338"/>
    <w:rsid w:val="3A73041D"/>
    <w:rsid w:val="3A76199B"/>
    <w:rsid w:val="3A774B09"/>
    <w:rsid w:val="3A781BC1"/>
    <w:rsid w:val="3A811B65"/>
    <w:rsid w:val="3A844DE6"/>
    <w:rsid w:val="3A852C80"/>
    <w:rsid w:val="3A8B316E"/>
    <w:rsid w:val="3A8D3CA7"/>
    <w:rsid w:val="3A902879"/>
    <w:rsid w:val="3A9116C1"/>
    <w:rsid w:val="3A945BAD"/>
    <w:rsid w:val="3A9E2A1F"/>
    <w:rsid w:val="3A9E4DA1"/>
    <w:rsid w:val="3AA40FCA"/>
    <w:rsid w:val="3AA43FCF"/>
    <w:rsid w:val="3AA51585"/>
    <w:rsid w:val="3AA82DAA"/>
    <w:rsid w:val="3AAA61A2"/>
    <w:rsid w:val="3AAE7743"/>
    <w:rsid w:val="3AAF1F74"/>
    <w:rsid w:val="3AB516FA"/>
    <w:rsid w:val="3AB738C8"/>
    <w:rsid w:val="3AB962FE"/>
    <w:rsid w:val="3AC76A43"/>
    <w:rsid w:val="3AC80F9C"/>
    <w:rsid w:val="3AC96C9F"/>
    <w:rsid w:val="3ACA3ECF"/>
    <w:rsid w:val="3ACD4372"/>
    <w:rsid w:val="3AD2773C"/>
    <w:rsid w:val="3AD76784"/>
    <w:rsid w:val="3ADE1BD0"/>
    <w:rsid w:val="3AE01ADD"/>
    <w:rsid w:val="3AE03C07"/>
    <w:rsid w:val="3AE315CD"/>
    <w:rsid w:val="3AE35573"/>
    <w:rsid w:val="3AE36D2C"/>
    <w:rsid w:val="3AE43A31"/>
    <w:rsid w:val="3AE570F3"/>
    <w:rsid w:val="3AE651D0"/>
    <w:rsid w:val="3AE80991"/>
    <w:rsid w:val="3AEF1D20"/>
    <w:rsid w:val="3AF01C00"/>
    <w:rsid w:val="3AF201B2"/>
    <w:rsid w:val="3AF85078"/>
    <w:rsid w:val="3AF93519"/>
    <w:rsid w:val="3AFB6295"/>
    <w:rsid w:val="3AFC2514"/>
    <w:rsid w:val="3AFD64CE"/>
    <w:rsid w:val="3B014BA8"/>
    <w:rsid w:val="3B023801"/>
    <w:rsid w:val="3B0614F6"/>
    <w:rsid w:val="3B065EED"/>
    <w:rsid w:val="3B0827C2"/>
    <w:rsid w:val="3B0E6089"/>
    <w:rsid w:val="3B111A40"/>
    <w:rsid w:val="3B173872"/>
    <w:rsid w:val="3B183326"/>
    <w:rsid w:val="3B246312"/>
    <w:rsid w:val="3B50027D"/>
    <w:rsid w:val="3B5129DA"/>
    <w:rsid w:val="3B51797E"/>
    <w:rsid w:val="3B5454B4"/>
    <w:rsid w:val="3B5A50A2"/>
    <w:rsid w:val="3B5E0B48"/>
    <w:rsid w:val="3B620744"/>
    <w:rsid w:val="3B672905"/>
    <w:rsid w:val="3B675BB7"/>
    <w:rsid w:val="3B6B284D"/>
    <w:rsid w:val="3B6D04AE"/>
    <w:rsid w:val="3B744E3E"/>
    <w:rsid w:val="3B7519E6"/>
    <w:rsid w:val="3B7636BD"/>
    <w:rsid w:val="3B7729D3"/>
    <w:rsid w:val="3B7F6783"/>
    <w:rsid w:val="3B810333"/>
    <w:rsid w:val="3B826A58"/>
    <w:rsid w:val="3B834FA0"/>
    <w:rsid w:val="3B8E784F"/>
    <w:rsid w:val="3B9308FD"/>
    <w:rsid w:val="3B972CCE"/>
    <w:rsid w:val="3B9852A9"/>
    <w:rsid w:val="3B985F13"/>
    <w:rsid w:val="3B9B58B0"/>
    <w:rsid w:val="3B9F12E2"/>
    <w:rsid w:val="3BA02C9E"/>
    <w:rsid w:val="3BA87498"/>
    <w:rsid w:val="3BAB339A"/>
    <w:rsid w:val="3BB004E7"/>
    <w:rsid w:val="3BB77A64"/>
    <w:rsid w:val="3BBB45B9"/>
    <w:rsid w:val="3BBB499C"/>
    <w:rsid w:val="3BC17E50"/>
    <w:rsid w:val="3BCD7710"/>
    <w:rsid w:val="3BD1314E"/>
    <w:rsid w:val="3BD41E4D"/>
    <w:rsid w:val="3BD42B6E"/>
    <w:rsid w:val="3BD8434A"/>
    <w:rsid w:val="3BE06A24"/>
    <w:rsid w:val="3BE976FA"/>
    <w:rsid w:val="3BEC1462"/>
    <w:rsid w:val="3BF13050"/>
    <w:rsid w:val="3BF33A92"/>
    <w:rsid w:val="3BF53366"/>
    <w:rsid w:val="3BF72917"/>
    <w:rsid w:val="3BFF5F92"/>
    <w:rsid w:val="3C046CA0"/>
    <w:rsid w:val="3C05169D"/>
    <w:rsid w:val="3C06146A"/>
    <w:rsid w:val="3C0A45D3"/>
    <w:rsid w:val="3C1A7CA8"/>
    <w:rsid w:val="3C1B4E0F"/>
    <w:rsid w:val="3C1C3D9E"/>
    <w:rsid w:val="3C1D3286"/>
    <w:rsid w:val="3C2B6956"/>
    <w:rsid w:val="3C2B6D87"/>
    <w:rsid w:val="3C2D4BF2"/>
    <w:rsid w:val="3C2F3E9D"/>
    <w:rsid w:val="3C330F71"/>
    <w:rsid w:val="3C337D72"/>
    <w:rsid w:val="3C3C0578"/>
    <w:rsid w:val="3C3F26F8"/>
    <w:rsid w:val="3C3F5B3D"/>
    <w:rsid w:val="3C441E40"/>
    <w:rsid w:val="3C541427"/>
    <w:rsid w:val="3C541E30"/>
    <w:rsid w:val="3C5D4B00"/>
    <w:rsid w:val="3C61070D"/>
    <w:rsid w:val="3C6207C1"/>
    <w:rsid w:val="3C654647"/>
    <w:rsid w:val="3C677353"/>
    <w:rsid w:val="3C6C17F4"/>
    <w:rsid w:val="3C6C3112"/>
    <w:rsid w:val="3C6C4377"/>
    <w:rsid w:val="3C6D22DF"/>
    <w:rsid w:val="3C6F136A"/>
    <w:rsid w:val="3C805A59"/>
    <w:rsid w:val="3C853325"/>
    <w:rsid w:val="3C8666B4"/>
    <w:rsid w:val="3C883EF2"/>
    <w:rsid w:val="3C883FD6"/>
    <w:rsid w:val="3C8E3C87"/>
    <w:rsid w:val="3C931EBE"/>
    <w:rsid w:val="3C9723CC"/>
    <w:rsid w:val="3C9928A1"/>
    <w:rsid w:val="3CA22F9C"/>
    <w:rsid w:val="3CA359C8"/>
    <w:rsid w:val="3CA71AA0"/>
    <w:rsid w:val="3CA74473"/>
    <w:rsid w:val="3CA82106"/>
    <w:rsid w:val="3CA849D7"/>
    <w:rsid w:val="3CA9139D"/>
    <w:rsid w:val="3CAB3574"/>
    <w:rsid w:val="3CAD6E9A"/>
    <w:rsid w:val="3CAE250B"/>
    <w:rsid w:val="3CAF541F"/>
    <w:rsid w:val="3CB13731"/>
    <w:rsid w:val="3CB13741"/>
    <w:rsid w:val="3CB2202B"/>
    <w:rsid w:val="3CB60B61"/>
    <w:rsid w:val="3CB827BB"/>
    <w:rsid w:val="3CBA30BC"/>
    <w:rsid w:val="3CBD045C"/>
    <w:rsid w:val="3CBE6029"/>
    <w:rsid w:val="3CBF4ACF"/>
    <w:rsid w:val="3CC33464"/>
    <w:rsid w:val="3CC34A55"/>
    <w:rsid w:val="3CC37D92"/>
    <w:rsid w:val="3CC44440"/>
    <w:rsid w:val="3CC650ED"/>
    <w:rsid w:val="3CC74704"/>
    <w:rsid w:val="3CD21B48"/>
    <w:rsid w:val="3CD87369"/>
    <w:rsid w:val="3CD94704"/>
    <w:rsid w:val="3CDA0E7C"/>
    <w:rsid w:val="3CE07B72"/>
    <w:rsid w:val="3CE358B4"/>
    <w:rsid w:val="3CEA2C84"/>
    <w:rsid w:val="3CF05ED1"/>
    <w:rsid w:val="3CF55EA6"/>
    <w:rsid w:val="3D001C7B"/>
    <w:rsid w:val="3D00492F"/>
    <w:rsid w:val="3D0710EE"/>
    <w:rsid w:val="3D094571"/>
    <w:rsid w:val="3D0C28D9"/>
    <w:rsid w:val="3D166D5D"/>
    <w:rsid w:val="3D1B57BF"/>
    <w:rsid w:val="3D1C3A6B"/>
    <w:rsid w:val="3D1D3208"/>
    <w:rsid w:val="3D1F5A3A"/>
    <w:rsid w:val="3D210C39"/>
    <w:rsid w:val="3D2204B4"/>
    <w:rsid w:val="3D231A2F"/>
    <w:rsid w:val="3D2515DA"/>
    <w:rsid w:val="3D265ACA"/>
    <w:rsid w:val="3D26739C"/>
    <w:rsid w:val="3D26766C"/>
    <w:rsid w:val="3D2A4D8E"/>
    <w:rsid w:val="3D2E4D81"/>
    <w:rsid w:val="3D304850"/>
    <w:rsid w:val="3D37175C"/>
    <w:rsid w:val="3D377C5A"/>
    <w:rsid w:val="3D3A19A2"/>
    <w:rsid w:val="3D3D35DF"/>
    <w:rsid w:val="3D3D6575"/>
    <w:rsid w:val="3D485717"/>
    <w:rsid w:val="3D4A4188"/>
    <w:rsid w:val="3D5574E9"/>
    <w:rsid w:val="3D57216D"/>
    <w:rsid w:val="3D5812DD"/>
    <w:rsid w:val="3D582960"/>
    <w:rsid w:val="3D584162"/>
    <w:rsid w:val="3D5D67EF"/>
    <w:rsid w:val="3D624F9B"/>
    <w:rsid w:val="3D625643"/>
    <w:rsid w:val="3D6478B5"/>
    <w:rsid w:val="3D686BE0"/>
    <w:rsid w:val="3D69077C"/>
    <w:rsid w:val="3D6A1B31"/>
    <w:rsid w:val="3D6D6EBE"/>
    <w:rsid w:val="3D6D72AC"/>
    <w:rsid w:val="3D716A96"/>
    <w:rsid w:val="3D721643"/>
    <w:rsid w:val="3D772745"/>
    <w:rsid w:val="3D7F7E99"/>
    <w:rsid w:val="3D8175A7"/>
    <w:rsid w:val="3D840E45"/>
    <w:rsid w:val="3D8507E0"/>
    <w:rsid w:val="3D865D6B"/>
    <w:rsid w:val="3D8741A5"/>
    <w:rsid w:val="3D88045B"/>
    <w:rsid w:val="3D8901B0"/>
    <w:rsid w:val="3D8B31BB"/>
    <w:rsid w:val="3D8D1F25"/>
    <w:rsid w:val="3D927F53"/>
    <w:rsid w:val="3D9324BB"/>
    <w:rsid w:val="3D932DBE"/>
    <w:rsid w:val="3D970183"/>
    <w:rsid w:val="3D98044D"/>
    <w:rsid w:val="3D9D087F"/>
    <w:rsid w:val="3D9D62A6"/>
    <w:rsid w:val="3D9E3BF2"/>
    <w:rsid w:val="3DA43D98"/>
    <w:rsid w:val="3DA90EF9"/>
    <w:rsid w:val="3DB728E0"/>
    <w:rsid w:val="3DC72AE0"/>
    <w:rsid w:val="3DD32FF5"/>
    <w:rsid w:val="3DDA481A"/>
    <w:rsid w:val="3DDD05AD"/>
    <w:rsid w:val="3DDF2CAD"/>
    <w:rsid w:val="3DE516E6"/>
    <w:rsid w:val="3DE9592A"/>
    <w:rsid w:val="3DEC3E0D"/>
    <w:rsid w:val="3DF064DB"/>
    <w:rsid w:val="3DF338B5"/>
    <w:rsid w:val="3DF5764D"/>
    <w:rsid w:val="3DF81CC3"/>
    <w:rsid w:val="3DF84D6D"/>
    <w:rsid w:val="3DFB6495"/>
    <w:rsid w:val="3E00614B"/>
    <w:rsid w:val="3E091C9C"/>
    <w:rsid w:val="3E094202"/>
    <w:rsid w:val="3E126451"/>
    <w:rsid w:val="3E197B99"/>
    <w:rsid w:val="3E1A35CA"/>
    <w:rsid w:val="3E1B5812"/>
    <w:rsid w:val="3E1C1163"/>
    <w:rsid w:val="3E1C48ED"/>
    <w:rsid w:val="3E1C6DFB"/>
    <w:rsid w:val="3E216694"/>
    <w:rsid w:val="3E24224E"/>
    <w:rsid w:val="3E2610B3"/>
    <w:rsid w:val="3E2727E0"/>
    <w:rsid w:val="3E30092B"/>
    <w:rsid w:val="3E3150C2"/>
    <w:rsid w:val="3E3A568E"/>
    <w:rsid w:val="3E3E26AF"/>
    <w:rsid w:val="3E3E657C"/>
    <w:rsid w:val="3E40589B"/>
    <w:rsid w:val="3E422A9B"/>
    <w:rsid w:val="3E42624E"/>
    <w:rsid w:val="3E546B8A"/>
    <w:rsid w:val="3E5527E2"/>
    <w:rsid w:val="3E5A7282"/>
    <w:rsid w:val="3E646581"/>
    <w:rsid w:val="3E6A78CC"/>
    <w:rsid w:val="3E6B5C79"/>
    <w:rsid w:val="3E6B6F11"/>
    <w:rsid w:val="3E6E40E8"/>
    <w:rsid w:val="3E732589"/>
    <w:rsid w:val="3E7D5380"/>
    <w:rsid w:val="3E7D7978"/>
    <w:rsid w:val="3E7E11C4"/>
    <w:rsid w:val="3E854E75"/>
    <w:rsid w:val="3E8C45AA"/>
    <w:rsid w:val="3E901CC4"/>
    <w:rsid w:val="3E954801"/>
    <w:rsid w:val="3E961BEE"/>
    <w:rsid w:val="3EA370A9"/>
    <w:rsid w:val="3EAC4C2C"/>
    <w:rsid w:val="3EAF4B85"/>
    <w:rsid w:val="3EB0633B"/>
    <w:rsid w:val="3EB60367"/>
    <w:rsid w:val="3EB62269"/>
    <w:rsid w:val="3EB945C6"/>
    <w:rsid w:val="3EBB2C95"/>
    <w:rsid w:val="3EBF3EF4"/>
    <w:rsid w:val="3EBF3F87"/>
    <w:rsid w:val="3EBF7030"/>
    <w:rsid w:val="3EC342C3"/>
    <w:rsid w:val="3EC80BF5"/>
    <w:rsid w:val="3ECB0D02"/>
    <w:rsid w:val="3ECB124E"/>
    <w:rsid w:val="3ED53D6D"/>
    <w:rsid w:val="3EE1621B"/>
    <w:rsid w:val="3EE17A0E"/>
    <w:rsid w:val="3EEF0540"/>
    <w:rsid w:val="3EF52FF8"/>
    <w:rsid w:val="3EFF386B"/>
    <w:rsid w:val="3F031E9B"/>
    <w:rsid w:val="3F0D5847"/>
    <w:rsid w:val="3F100B54"/>
    <w:rsid w:val="3F1210E4"/>
    <w:rsid w:val="3F12323C"/>
    <w:rsid w:val="3F1635AD"/>
    <w:rsid w:val="3F1C3AED"/>
    <w:rsid w:val="3F211635"/>
    <w:rsid w:val="3F213AC2"/>
    <w:rsid w:val="3F253F62"/>
    <w:rsid w:val="3F261173"/>
    <w:rsid w:val="3F291A23"/>
    <w:rsid w:val="3F2A51F0"/>
    <w:rsid w:val="3F2B565F"/>
    <w:rsid w:val="3F2C3F45"/>
    <w:rsid w:val="3F2E1F61"/>
    <w:rsid w:val="3F2E52A2"/>
    <w:rsid w:val="3F301383"/>
    <w:rsid w:val="3F30643C"/>
    <w:rsid w:val="3F31011D"/>
    <w:rsid w:val="3F31294C"/>
    <w:rsid w:val="3F32667F"/>
    <w:rsid w:val="3F36100B"/>
    <w:rsid w:val="3F3807AB"/>
    <w:rsid w:val="3F417410"/>
    <w:rsid w:val="3F43088C"/>
    <w:rsid w:val="3F4C5C20"/>
    <w:rsid w:val="3F4E17E9"/>
    <w:rsid w:val="3F547A3D"/>
    <w:rsid w:val="3F555C86"/>
    <w:rsid w:val="3F5B13BB"/>
    <w:rsid w:val="3F5C2ACF"/>
    <w:rsid w:val="3F5D7767"/>
    <w:rsid w:val="3F600E03"/>
    <w:rsid w:val="3F630686"/>
    <w:rsid w:val="3F6530F9"/>
    <w:rsid w:val="3F6A5E19"/>
    <w:rsid w:val="3F6C2ED8"/>
    <w:rsid w:val="3F6C7DE3"/>
    <w:rsid w:val="3F724CCD"/>
    <w:rsid w:val="3F846CBF"/>
    <w:rsid w:val="3F8809CF"/>
    <w:rsid w:val="3F8A4A04"/>
    <w:rsid w:val="3F8C0B17"/>
    <w:rsid w:val="3F8C4DE4"/>
    <w:rsid w:val="3F9178A4"/>
    <w:rsid w:val="3F935763"/>
    <w:rsid w:val="3F940570"/>
    <w:rsid w:val="3F964E60"/>
    <w:rsid w:val="3F987451"/>
    <w:rsid w:val="3F9B4224"/>
    <w:rsid w:val="3FA00415"/>
    <w:rsid w:val="3FA0271C"/>
    <w:rsid w:val="3FA1068C"/>
    <w:rsid w:val="3FA37CB4"/>
    <w:rsid w:val="3FA50BB0"/>
    <w:rsid w:val="3FA56E51"/>
    <w:rsid w:val="3FAB6FD1"/>
    <w:rsid w:val="3FB1678D"/>
    <w:rsid w:val="3FB23566"/>
    <w:rsid w:val="3FB26D04"/>
    <w:rsid w:val="3FBF7620"/>
    <w:rsid w:val="3FC25A78"/>
    <w:rsid w:val="3FC73196"/>
    <w:rsid w:val="3FCA2790"/>
    <w:rsid w:val="3FCD17B6"/>
    <w:rsid w:val="3FD37E62"/>
    <w:rsid w:val="3FD62BB9"/>
    <w:rsid w:val="3FDB1EE1"/>
    <w:rsid w:val="3FDE6C58"/>
    <w:rsid w:val="3FE4290A"/>
    <w:rsid w:val="3FE460B7"/>
    <w:rsid w:val="3FE627C5"/>
    <w:rsid w:val="3FE65C07"/>
    <w:rsid w:val="3FE732E4"/>
    <w:rsid w:val="3FEB39D0"/>
    <w:rsid w:val="3FF0764F"/>
    <w:rsid w:val="3FF45B99"/>
    <w:rsid w:val="3FF73B50"/>
    <w:rsid w:val="3FFD2AF9"/>
    <w:rsid w:val="400022D9"/>
    <w:rsid w:val="400144E2"/>
    <w:rsid w:val="400242A3"/>
    <w:rsid w:val="400748A9"/>
    <w:rsid w:val="400B2CF7"/>
    <w:rsid w:val="400C2AA0"/>
    <w:rsid w:val="400E35F6"/>
    <w:rsid w:val="40205AA6"/>
    <w:rsid w:val="402342C4"/>
    <w:rsid w:val="40270269"/>
    <w:rsid w:val="402B6345"/>
    <w:rsid w:val="403016C4"/>
    <w:rsid w:val="403308A5"/>
    <w:rsid w:val="403409AD"/>
    <w:rsid w:val="403B1563"/>
    <w:rsid w:val="403E177F"/>
    <w:rsid w:val="403E7BAC"/>
    <w:rsid w:val="404900CE"/>
    <w:rsid w:val="404928AB"/>
    <w:rsid w:val="40493C80"/>
    <w:rsid w:val="40525FCA"/>
    <w:rsid w:val="4054573D"/>
    <w:rsid w:val="405B64E6"/>
    <w:rsid w:val="405C7E57"/>
    <w:rsid w:val="405F34A4"/>
    <w:rsid w:val="40665B5C"/>
    <w:rsid w:val="40694322"/>
    <w:rsid w:val="406D73B1"/>
    <w:rsid w:val="40703903"/>
    <w:rsid w:val="40706ECF"/>
    <w:rsid w:val="40776A3F"/>
    <w:rsid w:val="407C4371"/>
    <w:rsid w:val="407E19E2"/>
    <w:rsid w:val="408A2BC1"/>
    <w:rsid w:val="408D4CF6"/>
    <w:rsid w:val="40905D53"/>
    <w:rsid w:val="40983330"/>
    <w:rsid w:val="409A035E"/>
    <w:rsid w:val="409A30BD"/>
    <w:rsid w:val="409D1F9F"/>
    <w:rsid w:val="409E05AF"/>
    <w:rsid w:val="40A13129"/>
    <w:rsid w:val="40A572A7"/>
    <w:rsid w:val="40AE1029"/>
    <w:rsid w:val="40B42196"/>
    <w:rsid w:val="40B62B46"/>
    <w:rsid w:val="40B90E06"/>
    <w:rsid w:val="40B959A7"/>
    <w:rsid w:val="40BF1951"/>
    <w:rsid w:val="40C155BF"/>
    <w:rsid w:val="40C80BC3"/>
    <w:rsid w:val="40C90B3F"/>
    <w:rsid w:val="40C93B11"/>
    <w:rsid w:val="40CB583F"/>
    <w:rsid w:val="40CD2F92"/>
    <w:rsid w:val="40CF009C"/>
    <w:rsid w:val="40D479EE"/>
    <w:rsid w:val="40D831ED"/>
    <w:rsid w:val="40E131FC"/>
    <w:rsid w:val="40ED3C67"/>
    <w:rsid w:val="40F122F9"/>
    <w:rsid w:val="40F54D89"/>
    <w:rsid w:val="40F808EE"/>
    <w:rsid w:val="40F86EBE"/>
    <w:rsid w:val="40FA0CA7"/>
    <w:rsid w:val="40FA5839"/>
    <w:rsid w:val="40FD7933"/>
    <w:rsid w:val="40FE6778"/>
    <w:rsid w:val="4101075B"/>
    <w:rsid w:val="41015F2A"/>
    <w:rsid w:val="41026F40"/>
    <w:rsid w:val="41036CB8"/>
    <w:rsid w:val="41083B3B"/>
    <w:rsid w:val="410B3167"/>
    <w:rsid w:val="410E40AB"/>
    <w:rsid w:val="41151935"/>
    <w:rsid w:val="41205A9B"/>
    <w:rsid w:val="41206956"/>
    <w:rsid w:val="41211C91"/>
    <w:rsid w:val="412252D5"/>
    <w:rsid w:val="4129455A"/>
    <w:rsid w:val="412A332D"/>
    <w:rsid w:val="412D224A"/>
    <w:rsid w:val="413138A2"/>
    <w:rsid w:val="41315BA7"/>
    <w:rsid w:val="41322966"/>
    <w:rsid w:val="41387922"/>
    <w:rsid w:val="413C4D93"/>
    <w:rsid w:val="413E74CF"/>
    <w:rsid w:val="41434B73"/>
    <w:rsid w:val="414519FC"/>
    <w:rsid w:val="41490465"/>
    <w:rsid w:val="4149333B"/>
    <w:rsid w:val="414C1C7A"/>
    <w:rsid w:val="414C60A1"/>
    <w:rsid w:val="414D26CE"/>
    <w:rsid w:val="414D5C28"/>
    <w:rsid w:val="414F176A"/>
    <w:rsid w:val="414F46DA"/>
    <w:rsid w:val="415475F9"/>
    <w:rsid w:val="41586871"/>
    <w:rsid w:val="415A0D4C"/>
    <w:rsid w:val="415E5789"/>
    <w:rsid w:val="415E7BFF"/>
    <w:rsid w:val="41600E1A"/>
    <w:rsid w:val="41621AF7"/>
    <w:rsid w:val="41641532"/>
    <w:rsid w:val="416940D0"/>
    <w:rsid w:val="416B6DAF"/>
    <w:rsid w:val="417317C9"/>
    <w:rsid w:val="417A024A"/>
    <w:rsid w:val="417B0213"/>
    <w:rsid w:val="417E3A13"/>
    <w:rsid w:val="418807D8"/>
    <w:rsid w:val="418A107C"/>
    <w:rsid w:val="418B5E7D"/>
    <w:rsid w:val="41910CAB"/>
    <w:rsid w:val="41921F99"/>
    <w:rsid w:val="41A067F4"/>
    <w:rsid w:val="41A575DC"/>
    <w:rsid w:val="41A621AE"/>
    <w:rsid w:val="41A970CC"/>
    <w:rsid w:val="41AD181B"/>
    <w:rsid w:val="41AE0470"/>
    <w:rsid w:val="41B220EF"/>
    <w:rsid w:val="41B36E01"/>
    <w:rsid w:val="41B663CA"/>
    <w:rsid w:val="41B72C8D"/>
    <w:rsid w:val="41CC668C"/>
    <w:rsid w:val="41CD7C19"/>
    <w:rsid w:val="41D35A71"/>
    <w:rsid w:val="41DE056A"/>
    <w:rsid w:val="41E248EF"/>
    <w:rsid w:val="41E33C60"/>
    <w:rsid w:val="41E47B1F"/>
    <w:rsid w:val="41E87043"/>
    <w:rsid w:val="41E916C7"/>
    <w:rsid w:val="41E979CF"/>
    <w:rsid w:val="41EB2513"/>
    <w:rsid w:val="41F4235D"/>
    <w:rsid w:val="41F47DE4"/>
    <w:rsid w:val="41F504EF"/>
    <w:rsid w:val="41F8328A"/>
    <w:rsid w:val="41FA52B4"/>
    <w:rsid w:val="41FC7C22"/>
    <w:rsid w:val="41FD0E53"/>
    <w:rsid w:val="41FF3B60"/>
    <w:rsid w:val="420716C0"/>
    <w:rsid w:val="42155ED0"/>
    <w:rsid w:val="42165DE4"/>
    <w:rsid w:val="421906CE"/>
    <w:rsid w:val="4219200F"/>
    <w:rsid w:val="421A1D78"/>
    <w:rsid w:val="421C2B20"/>
    <w:rsid w:val="42212FBB"/>
    <w:rsid w:val="422B08F1"/>
    <w:rsid w:val="422B57B4"/>
    <w:rsid w:val="42302394"/>
    <w:rsid w:val="42307489"/>
    <w:rsid w:val="42322CB0"/>
    <w:rsid w:val="42354BCC"/>
    <w:rsid w:val="42366B64"/>
    <w:rsid w:val="423B128D"/>
    <w:rsid w:val="423F7019"/>
    <w:rsid w:val="424550E3"/>
    <w:rsid w:val="424836BD"/>
    <w:rsid w:val="42500A1C"/>
    <w:rsid w:val="42513999"/>
    <w:rsid w:val="4251506E"/>
    <w:rsid w:val="42517CE6"/>
    <w:rsid w:val="42533619"/>
    <w:rsid w:val="42551178"/>
    <w:rsid w:val="42551F3D"/>
    <w:rsid w:val="42592293"/>
    <w:rsid w:val="425A2175"/>
    <w:rsid w:val="425C413F"/>
    <w:rsid w:val="425D1C65"/>
    <w:rsid w:val="425F2D4F"/>
    <w:rsid w:val="4263008D"/>
    <w:rsid w:val="426C6D1E"/>
    <w:rsid w:val="42707E35"/>
    <w:rsid w:val="42721EA8"/>
    <w:rsid w:val="427425C0"/>
    <w:rsid w:val="427C6278"/>
    <w:rsid w:val="427C6CBB"/>
    <w:rsid w:val="42852149"/>
    <w:rsid w:val="42880A40"/>
    <w:rsid w:val="42886A32"/>
    <w:rsid w:val="428A05BF"/>
    <w:rsid w:val="42942E80"/>
    <w:rsid w:val="42944153"/>
    <w:rsid w:val="429B6529"/>
    <w:rsid w:val="42A15FF5"/>
    <w:rsid w:val="42A63910"/>
    <w:rsid w:val="42AE290B"/>
    <w:rsid w:val="42AF36CF"/>
    <w:rsid w:val="42B00B95"/>
    <w:rsid w:val="42B13A29"/>
    <w:rsid w:val="42B871C2"/>
    <w:rsid w:val="42BC774D"/>
    <w:rsid w:val="42BD67E8"/>
    <w:rsid w:val="42BE31AA"/>
    <w:rsid w:val="42C615B8"/>
    <w:rsid w:val="42C64C0A"/>
    <w:rsid w:val="42CC54A8"/>
    <w:rsid w:val="42D00689"/>
    <w:rsid w:val="42D047DD"/>
    <w:rsid w:val="42D253CB"/>
    <w:rsid w:val="42D55551"/>
    <w:rsid w:val="42E04A13"/>
    <w:rsid w:val="42E67EAC"/>
    <w:rsid w:val="42E70532"/>
    <w:rsid w:val="42EE23E3"/>
    <w:rsid w:val="42FB6DBC"/>
    <w:rsid w:val="430758CF"/>
    <w:rsid w:val="430C7F46"/>
    <w:rsid w:val="43102C1B"/>
    <w:rsid w:val="431472C0"/>
    <w:rsid w:val="4317351F"/>
    <w:rsid w:val="43195B8C"/>
    <w:rsid w:val="431E7C4A"/>
    <w:rsid w:val="4322151F"/>
    <w:rsid w:val="43234E4F"/>
    <w:rsid w:val="43242688"/>
    <w:rsid w:val="4327387A"/>
    <w:rsid w:val="43282B8E"/>
    <w:rsid w:val="432C1D97"/>
    <w:rsid w:val="432D3AD7"/>
    <w:rsid w:val="432D5ADB"/>
    <w:rsid w:val="433504EC"/>
    <w:rsid w:val="43353C6D"/>
    <w:rsid w:val="43363D21"/>
    <w:rsid w:val="43366E12"/>
    <w:rsid w:val="434626F9"/>
    <w:rsid w:val="43477381"/>
    <w:rsid w:val="434B13E8"/>
    <w:rsid w:val="434B1DFE"/>
    <w:rsid w:val="434F50B3"/>
    <w:rsid w:val="435242DC"/>
    <w:rsid w:val="4355407A"/>
    <w:rsid w:val="435844C2"/>
    <w:rsid w:val="435D4A4B"/>
    <w:rsid w:val="435F34F6"/>
    <w:rsid w:val="43652C7B"/>
    <w:rsid w:val="43657023"/>
    <w:rsid w:val="43664B49"/>
    <w:rsid w:val="43680295"/>
    <w:rsid w:val="436C1C53"/>
    <w:rsid w:val="43712516"/>
    <w:rsid w:val="43723D16"/>
    <w:rsid w:val="43772E1F"/>
    <w:rsid w:val="4378324A"/>
    <w:rsid w:val="437E7AA2"/>
    <w:rsid w:val="43815CBD"/>
    <w:rsid w:val="43821D8D"/>
    <w:rsid w:val="4386371B"/>
    <w:rsid w:val="438D4651"/>
    <w:rsid w:val="438D471A"/>
    <w:rsid w:val="438F6099"/>
    <w:rsid w:val="43902BE7"/>
    <w:rsid w:val="4390679E"/>
    <w:rsid w:val="43914CBE"/>
    <w:rsid w:val="439679E0"/>
    <w:rsid w:val="43A12593"/>
    <w:rsid w:val="43A1330E"/>
    <w:rsid w:val="43A461F6"/>
    <w:rsid w:val="43BA6AE8"/>
    <w:rsid w:val="43BC2CF4"/>
    <w:rsid w:val="43BF4DF9"/>
    <w:rsid w:val="43C15E85"/>
    <w:rsid w:val="43C17CD3"/>
    <w:rsid w:val="43C3550B"/>
    <w:rsid w:val="43C56D34"/>
    <w:rsid w:val="43D031B2"/>
    <w:rsid w:val="43D1290A"/>
    <w:rsid w:val="43D16FFD"/>
    <w:rsid w:val="43D30430"/>
    <w:rsid w:val="43DE0B83"/>
    <w:rsid w:val="43E20674"/>
    <w:rsid w:val="43E2633E"/>
    <w:rsid w:val="43E37AA4"/>
    <w:rsid w:val="43E4263E"/>
    <w:rsid w:val="43E75C8A"/>
    <w:rsid w:val="43E85C0C"/>
    <w:rsid w:val="43E9208D"/>
    <w:rsid w:val="43EA577A"/>
    <w:rsid w:val="43EC23D4"/>
    <w:rsid w:val="43EC5798"/>
    <w:rsid w:val="43F103FF"/>
    <w:rsid w:val="43F12917"/>
    <w:rsid w:val="43F2552F"/>
    <w:rsid w:val="43FA2DE5"/>
    <w:rsid w:val="43FC0EA9"/>
    <w:rsid w:val="43FF7BF5"/>
    <w:rsid w:val="440E48F7"/>
    <w:rsid w:val="440E4C73"/>
    <w:rsid w:val="441101DB"/>
    <w:rsid w:val="44130CD4"/>
    <w:rsid w:val="44157AFA"/>
    <w:rsid w:val="4416778F"/>
    <w:rsid w:val="44242A3A"/>
    <w:rsid w:val="4427748B"/>
    <w:rsid w:val="442E0702"/>
    <w:rsid w:val="442E1BFA"/>
    <w:rsid w:val="442E5667"/>
    <w:rsid w:val="442F1269"/>
    <w:rsid w:val="44306CE6"/>
    <w:rsid w:val="443127E2"/>
    <w:rsid w:val="443F1622"/>
    <w:rsid w:val="44437C71"/>
    <w:rsid w:val="44452965"/>
    <w:rsid w:val="444943B9"/>
    <w:rsid w:val="44562A0B"/>
    <w:rsid w:val="445A023C"/>
    <w:rsid w:val="445A2523"/>
    <w:rsid w:val="445C5F1A"/>
    <w:rsid w:val="445C6678"/>
    <w:rsid w:val="445D2C2D"/>
    <w:rsid w:val="44633718"/>
    <w:rsid w:val="446612A5"/>
    <w:rsid w:val="446B6021"/>
    <w:rsid w:val="446C0C98"/>
    <w:rsid w:val="446F441B"/>
    <w:rsid w:val="447137A5"/>
    <w:rsid w:val="44742402"/>
    <w:rsid w:val="44744C31"/>
    <w:rsid w:val="44760EE6"/>
    <w:rsid w:val="447C53D0"/>
    <w:rsid w:val="447E261C"/>
    <w:rsid w:val="447E3108"/>
    <w:rsid w:val="44850225"/>
    <w:rsid w:val="448E25A9"/>
    <w:rsid w:val="449327D4"/>
    <w:rsid w:val="44960014"/>
    <w:rsid w:val="449C5475"/>
    <w:rsid w:val="44A042A4"/>
    <w:rsid w:val="44A666EE"/>
    <w:rsid w:val="44A8432E"/>
    <w:rsid w:val="44AA3362"/>
    <w:rsid w:val="44AB7B88"/>
    <w:rsid w:val="44AE1080"/>
    <w:rsid w:val="44B14502"/>
    <w:rsid w:val="44B56E6F"/>
    <w:rsid w:val="44C25341"/>
    <w:rsid w:val="44C45D51"/>
    <w:rsid w:val="44C6368A"/>
    <w:rsid w:val="44CE5426"/>
    <w:rsid w:val="44D44204"/>
    <w:rsid w:val="44D50997"/>
    <w:rsid w:val="44D7121D"/>
    <w:rsid w:val="44D87296"/>
    <w:rsid w:val="44DA759D"/>
    <w:rsid w:val="44DE3C00"/>
    <w:rsid w:val="44E07794"/>
    <w:rsid w:val="44E11E20"/>
    <w:rsid w:val="44E11E98"/>
    <w:rsid w:val="44E2379E"/>
    <w:rsid w:val="44EE5C61"/>
    <w:rsid w:val="44F43011"/>
    <w:rsid w:val="44F44409"/>
    <w:rsid w:val="44F806D5"/>
    <w:rsid w:val="44FB7320"/>
    <w:rsid w:val="44FC2F9D"/>
    <w:rsid w:val="44FC39B7"/>
    <w:rsid w:val="44FF34A7"/>
    <w:rsid w:val="45034D69"/>
    <w:rsid w:val="450876AE"/>
    <w:rsid w:val="4517041B"/>
    <w:rsid w:val="451A683F"/>
    <w:rsid w:val="451C7AF0"/>
    <w:rsid w:val="451F1690"/>
    <w:rsid w:val="452216D6"/>
    <w:rsid w:val="45243B88"/>
    <w:rsid w:val="45251C24"/>
    <w:rsid w:val="45274E6C"/>
    <w:rsid w:val="45276521"/>
    <w:rsid w:val="452879C1"/>
    <w:rsid w:val="452A1AEE"/>
    <w:rsid w:val="452B2AE3"/>
    <w:rsid w:val="452E6F5C"/>
    <w:rsid w:val="453D66F6"/>
    <w:rsid w:val="45400446"/>
    <w:rsid w:val="454B7A58"/>
    <w:rsid w:val="454B7BE4"/>
    <w:rsid w:val="455603E1"/>
    <w:rsid w:val="45596713"/>
    <w:rsid w:val="455A0A95"/>
    <w:rsid w:val="45637AC1"/>
    <w:rsid w:val="45680D97"/>
    <w:rsid w:val="45684BA8"/>
    <w:rsid w:val="456D7009"/>
    <w:rsid w:val="456E5EE2"/>
    <w:rsid w:val="456F3AC0"/>
    <w:rsid w:val="45743609"/>
    <w:rsid w:val="457640AD"/>
    <w:rsid w:val="457858E5"/>
    <w:rsid w:val="45895F99"/>
    <w:rsid w:val="458971BD"/>
    <w:rsid w:val="458F7D83"/>
    <w:rsid w:val="45905EAD"/>
    <w:rsid w:val="45957E0D"/>
    <w:rsid w:val="459636B9"/>
    <w:rsid w:val="459A39A3"/>
    <w:rsid w:val="459B7F70"/>
    <w:rsid w:val="459E0828"/>
    <w:rsid w:val="459F15E1"/>
    <w:rsid w:val="45A11584"/>
    <w:rsid w:val="45A5798A"/>
    <w:rsid w:val="45AC6914"/>
    <w:rsid w:val="45AD4CB1"/>
    <w:rsid w:val="45B13053"/>
    <w:rsid w:val="45B31A3F"/>
    <w:rsid w:val="45B43B5F"/>
    <w:rsid w:val="45B503C6"/>
    <w:rsid w:val="45B55AF9"/>
    <w:rsid w:val="45B64BFA"/>
    <w:rsid w:val="45B818DE"/>
    <w:rsid w:val="45B85B30"/>
    <w:rsid w:val="45B913BE"/>
    <w:rsid w:val="45BA0270"/>
    <w:rsid w:val="45BB4EFE"/>
    <w:rsid w:val="45BC61F3"/>
    <w:rsid w:val="45BF4F18"/>
    <w:rsid w:val="45C11531"/>
    <w:rsid w:val="45C177E0"/>
    <w:rsid w:val="45C442B3"/>
    <w:rsid w:val="45C44937"/>
    <w:rsid w:val="45C5343B"/>
    <w:rsid w:val="45C725EF"/>
    <w:rsid w:val="45C96EBD"/>
    <w:rsid w:val="45CB25B3"/>
    <w:rsid w:val="45CC461F"/>
    <w:rsid w:val="45CF1BC4"/>
    <w:rsid w:val="45CF65D1"/>
    <w:rsid w:val="45D11159"/>
    <w:rsid w:val="45D17D31"/>
    <w:rsid w:val="45D60C75"/>
    <w:rsid w:val="45D95167"/>
    <w:rsid w:val="45DA1E38"/>
    <w:rsid w:val="45DE4F11"/>
    <w:rsid w:val="45DF68AC"/>
    <w:rsid w:val="45E05087"/>
    <w:rsid w:val="45E12670"/>
    <w:rsid w:val="45E343F2"/>
    <w:rsid w:val="45E37EF4"/>
    <w:rsid w:val="45E83F3B"/>
    <w:rsid w:val="45EE36E4"/>
    <w:rsid w:val="45EF0BFF"/>
    <w:rsid w:val="45F73A83"/>
    <w:rsid w:val="45F744C2"/>
    <w:rsid w:val="45FB3C6E"/>
    <w:rsid w:val="45FC35D3"/>
    <w:rsid w:val="45FD1795"/>
    <w:rsid w:val="45FD4754"/>
    <w:rsid w:val="45FE60DA"/>
    <w:rsid w:val="46044BB3"/>
    <w:rsid w:val="46052D96"/>
    <w:rsid w:val="460C7C2A"/>
    <w:rsid w:val="460F14C8"/>
    <w:rsid w:val="461F4233"/>
    <w:rsid w:val="461F5BAF"/>
    <w:rsid w:val="461F727B"/>
    <w:rsid w:val="46206452"/>
    <w:rsid w:val="46250CEB"/>
    <w:rsid w:val="46256F3D"/>
    <w:rsid w:val="462F0C46"/>
    <w:rsid w:val="46360411"/>
    <w:rsid w:val="4642189D"/>
    <w:rsid w:val="46442F62"/>
    <w:rsid w:val="464759F3"/>
    <w:rsid w:val="464F16D8"/>
    <w:rsid w:val="464F63AD"/>
    <w:rsid w:val="46511569"/>
    <w:rsid w:val="46544EA3"/>
    <w:rsid w:val="465479E5"/>
    <w:rsid w:val="465544CE"/>
    <w:rsid w:val="465C1297"/>
    <w:rsid w:val="465F5AD7"/>
    <w:rsid w:val="466148AE"/>
    <w:rsid w:val="4661533A"/>
    <w:rsid w:val="4662784A"/>
    <w:rsid w:val="46637B41"/>
    <w:rsid w:val="46647E9E"/>
    <w:rsid w:val="466813A5"/>
    <w:rsid w:val="46686F37"/>
    <w:rsid w:val="466D066E"/>
    <w:rsid w:val="466E61EE"/>
    <w:rsid w:val="46722223"/>
    <w:rsid w:val="467250EA"/>
    <w:rsid w:val="46725648"/>
    <w:rsid w:val="4672690F"/>
    <w:rsid w:val="46737CA9"/>
    <w:rsid w:val="467632F5"/>
    <w:rsid w:val="46791483"/>
    <w:rsid w:val="467A5EC4"/>
    <w:rsid w:val="467B158E"/>
    <w:rsid w:val="4681203E"/>
    <w:rsid w:val="46A47A2A"/>
    <w:rsid w:val="46A77F98"/>
    <w:rsid w:val="46A938B5"/>
    <w:rsid w:val="46B25E25"/>
    <w:rsid w:val="46B30190"/>
    <w:rsid w:val="46B31443"/>
    <w:rsid w:val="46B45223"/>
    <w:rsid w:val="46B81B60"/>
    <w:rsid w:val="46B93706"/>
    <w:rsid w:val="46BA20A8"/>
    <w:rsid w:val="46BA58E4"/>
    <w:rsid w:val="46BB6449"/>
    <w:rsid w:val="46C12DCA"/>
    <w:rsid w:val="46C2478C"/>
    <w:rsid w:val="46C56CD4"/>
    <w:rsid w:val="46CB1893"/>
    <w:rsid w:val="46CC04FD"/>
    <w:rsid w:val="46D14909"/>
    <w:rsid w:val="46D85D5E"/>
    <w:rsid w:val="46DD15C6"/>
    <w:rsid w:val="46DD3374"/>
    <w:rsid w:val="46E074DE"/>
    <w:rsid w:val="46E15FEC"/>
    <w:rsid w:val="46EB550C"/>
    <w:rsid w:val="46EC34CC"/>
    <w:rsid w:val="46EE5723"/>
    <w:rsid w:val="46F012F9"/>
    <w:rsid w:val="46F6100C"/>
    <w:rsid w:val="46FD65C3"/>
    <w:rsid w:val="46FD7572"/>
    <w:rsid w:val="470F09DF"/>
    <w:rsid w:val="471E54E9"/>
    <w:rsid w:val="471F5817"/>
    <w:rsid w:val="47255DED"/>
    <w:rsid w:val="472E2E56"/>
    <w:rsid w:val="472E5A5B"/>
    <w:rsid w:val="473029D8"/>
    <w:rsid w:val="47314966"/>
    <w:rsid w:val="47394554"/>
    <w:rsid w:val="47436D81"/>
    <w:rsid w:val="474927B8"/>
    <w:rsid w:val="474D413E"/>
    <w:rsid w:val="474F15F0"/>
    <w:rsid w:val="47543121"/>
    <w:rsid w:val="47582402"/>
    <w:rsid w:val="47596E9F"/>
    <w:rsid w:val="475E382C"/>
    <w:rsid w:val="475F1532"/>
    <w:rsid w:val="4760504A"/>
    <w:rsid w:val="4761136A"/>
    <w:rsid w:val="476904AA"/>
    <w:rsid w:val="476E0865"/>
    <w:rsid w:val="476F2F46"/>
    <w:rsid w:val="476F44C6"/>
    <w:rsid w:val="47741EAB"/>
    <w:rsid w:val="477737C9"/>
    <w:rsid w:val="477F24B1"/>
    <w:rsid w:val="47816F97"/>
    <w:rsid w:val="478A3B31"/>
    <w:rsid w:val="478C3D3B"/>
    <w:rsid w:val="478D022A"/>
    <w:rsid w:val="478F41AD"/>
    <w:rsid w:val="479003E6"/>
    <w:rsid w:val="47921788"/>
    <w:rsid w:val="47970B72"/>
    <w:rsid w:val="479814DE"/>
    <w:rsid w:val="47A0687C"/>
    <w:rsid w:val="47A42307"/>
    <w:rsid w:val="47AC5E8D"/>
    <w:rsid w:val="47AE02F7"/>
    <w:rsid w:val="47AE6123"/>
    <w:rsid w:val="47B20DF1"/>
    <w:rsid w:val="47B4788F"/>
    <w:rsid w:val="47B7128B"/>
    <w:rsid w:val="47BB1133"/>
    <w:rsid w:val="47C308FB"/>
    <w:rsid w:val="47C7139C"/>
    <w:rsid w:val="47C77857"/>
    <w:rsid w:val="47CB464D"/>
    <w:rsid w:val="47CD3138"/>
    <w:rsid w:val="47D06EDC"/>
    <w:rsid w:val="47D16EAD"/>
    <w:rsid w:val="47D2004E"/>
    <w:rsid w:val="47D2311A"/>
    <w:rsid w:val="47D46A66"/>
    <w:rsid w:val="47D87530"/>
    <w:rsid w:val="47D97B0F"/>
    <w:rsid w:val="47EC1AC1"/>
    <w:rsid w:val="47ED0903"/>
    <w:rsid w:val="47F46723"/>
    <w:rsid w:val="47F80F37"/>
    <w:rsid w:val="47FB1288"/>
    <w:rsid w:val="47FE4C56"/>
    <w:rsid w:val="480C4544"/>
    <w:rsid w:val="480D4709"/>
    <w:rsid w:val="480E6E00"/>
    <w:rsid w:val="4812529F"/>
    <w:rsid w:val="4819662E"/>
    <w:rsid w:val="48257438"/>
    <w:rsid w:val="48270D4B"/>
    <w:rsid w:val="48296143"/>
    <w:rsid w:val="482A1A30"/>
    <w:rsid w:val="482F63CB"/>
    <w:rsid w:val="483202E1"/>
    <w:rsid w:val="483205A6"/>
    <w:rsid w:val="483240A0"/>
    <w:rsid w:val="483C1A85"/>
    <w:rsid w:val="48427CD5"/>
    <w:rsid w:val="4844139B"/>
    <w:rsid w:val="4844479A"/>
    <w:rsid w:val="484B1AB6"/>
    <w:rsid w:val="485A00BE"/>
    <w:rsid w:val="485E134D"/>
    <w:rsid w:val="48600E39"/>
    <w:rsid w:val="48604585"/>
    <w:rsid w:val="48620BC0"/>
    <w:rsid w:val="486320B5"/>
    <w:rsid w:val="48635489"/>
    <w:rsid w:val="486366EE"/>
    <w:rsid w:val="486420A2"/>
    <w:rsid w:val="48650C1B"/>
    <w:rsid w:val="48664A0A"/>
    <w:rsid w:val="48665B7A"/>
    <w:rsid w:val="48687997"/>
    <w:rsid w:val="486975FA"/>
    <w:rsid w:val="486F11F8"/>
    <w:rsid w:val="487108F9"/>
    <w:rsid w:val="48740441"/>
    <w:rsid w:val="48757D08"/>
    <w:rsid w:val="487845B1"/>
    <w:rsid w:val="48797DC5"/>
    <w:rsid w:val="487A3570"/>
    <w:rsid w:val="48836454"/>
    <w:rsid w:val="48840C29"/>
    <w:rsid w:val="4885037A"/>
    <w:rsid w:val="48857FFB"/>
    <w:rsid w:val="48874B75"/>
    <w:rsid w:val="488838FF"/>
    <w:rsid w:val="48895562"/>
    <w:rsid w:val="488B5971"/>
    <w:rsid w:val="488C12D9"/>
    <w:rsid w:val="488E7082"/>
    <w:rsid w:val="48903EB6"/>
    <w:rsid w:val="489104B8"/>
    <w:rsid w:val="4891519D"/>
    <w:rsid w:val="489D2DBB"/>
    <w:rsid w:val="48B01349"/>
    <w:rsid w:val="48B25926"/>
    <w:rsid w:val="48B41B3C"/>
    <w:rsid w:val="48B5337A"/>
    <w:rsid w:val="48B85156"/>
    <w:rsid w:val="48BB4D12"/>
    <w:rsid w:val="48BE1539"/>
    <w:rsid w:val="48BE1E84"/>
    <w:rsid w:val="48C22229"/>
    <w:rsid w:val="48C30541"/>
    <w:rsid w:val="48C555CE"/>
    <w:rsid w:val="48C83770"/>
    <w:rsid w:val="48C8759A"/>
    <w:rsid w:val="48C95DB0"/>
    <w:rsid w:val="48CB1523"/>
    <w:rsid w:val="48CB5F05"/>
    <w:rsid w:val="48D541DF"/>
    <w:rsid w:val="48D76884"/>
    <w:rsid w:val="48D83DF3"/>
    <w:rsid w:val="48D9376E"/>
    <w:rsid w:val="48DD3AFF"/>
    <w:rsid w:val="48E5188F"/>
    <w:rsid w:val="48E7009F"/>
    <w:rsid w:val="48EA0BA3"/>
    <w:rsid w:val="48EB60C2"/>
    <w:rsid w:val="48EC237B"/>
    <w:rsid w:val="48EE027B"/>
    <w:rsid w:val="48F05D27"/>
    <w:rsid w:val="48F275B7"/>
    <w:rsid w:val="48F90730"/>
    <w:rsid w:val="48FB30B1"/>
    <w:rsid w:val="48FD5A51"/>
    <w:rsid w:val="48FE1864"/>
    <w:rsid w:val="49075444"/>
    <w:rsid w:val="490A2935"/>
    <w:rsid w:val="49101D70"/>
    <w:rsid w:val="491611E1"/>
    <w:rsid w:val="491632AA"/>
    <w:rsid w:val="49177729"/>
    <w:rsid w:val="491C1BF1"/>
    <w:rsid w:val="491C61DA"/>
    <w:rsid w:val="491D214E"/>
    <w:rsid w:val="492574F1"/>
    <w:rsid w:val="49276B29"/>
    <w:rsid w:val="493051FC"/>
    <w:rsid w:val="49316283"/>
    <w:rsid w:val="49433378"/>
    <w:rsid w:val="4943372C"/>
    <w:rsid w:val="49476478"/>
    <w:rsid w:val="495001DC"/>
    <w:rsid w:val="49514E5E"/>
    <w:rsid w:val="4957740E"/>
    <w:rsid w:val="495931D3"/>
    <w:rsid w:val="495A73EF"/>
    <w:rsid w:val="495E3F7D"/>
    <w:rsid w:val="4961542A"/>
    <w:rsid w:val="4961758A"/>
    <w:rsid w:val="496679E4"/>
    <w:rsid w:val="496C487C"/>
    <w:rsid w:val="49716DF0"/>
    <w:rsid w:val="4972249A"/>
    <w:rsid w:val="49756D29"/>
    <w:rsid w:val="49804BB7"/>
    <w:rsid w:val="498128C0"/>
    <w:rsid w:val="4981631A"/>
    <w:rsid w:val="49856A1E"/>
    <w:rsid w:val="49862D1B"/>
    <w:rsid w:val="49877E0E"/>
    <w:rsid w:val="499130CB"/>
    <w:rsid w:val="499262E9"/>
    <w:rsid w:val="49957F36"/>
    <w:rsid w:val="499B1E09"/>
    <w:rsid w:val="49A341EC"/>
    <w:rsid w:val="49A349F1"/>
    <w:rsid w:val="49B049CC"/>
    <w:rsid w:val="49B900C8"/>
    <w:rsid w:val="49C03205"/>
    <w:rsid w:val="49C16F7D"/>
    <w:rsid w:val="49C51D29"/>
    <w:rsid w:val="49C74EC9"/>
    <w:rsid w:val="49C77533"/>
    <w:rsid w:val="49CA63F8"/>
    <w:rsid w:val="49CB7942"/>
    <w:rsid w:val="49CC281B"/>
    <w:rsid w:val="49CC2D15"/>
    <w:rsid w:val="49CC613D"/>
    <w:rsid w:val="49CF269D"/>
    <w:rsid w:val="49D4699A"/>
    <w:rsid w:val="49D56585"/>
    <w:rsid w:val="49D7054F"/>
    <w:rsid w:val="49D92519"/>
    <w:rsid w:val="49DB3BF8"/>
    <w:rsid w:val="49DC5873"/>
    <w:rsid w:val="49E172D7"/>
    <w:rsid w:val="49E72F9E"/>
    <w:rsid w:val="49E947AF"/>
    <w:rsid w:val="49EC05BC"/>
    <w:rsid w:val="49F103B5"/>
    <w:rsid w:val="49F25A77"/>
    <w:rsid w:val="49F478C1"/>
    <w:rsid w:val="49FB449D"/>
    <w:rsid w:val="49FB5926"/>
    <w:rsid w:val="4A002E57"/>
    <w:rsid w:val="4A013EF7"/>
    <w:rsid w:val="4A0519EB"/>
    <w:rsid w:val="4A10769C"/>
    <w:rsid w:val="4A11732D"/>
    <w:rsid w:val="4A2008F2"/>
    <w:rsid w:val="4A2A7770"/>
    <w:rsid w:val="4A2B5812"/>
    <w:rsid w:val="4A3A422C"/>
    <w:rsid w:val="4A3D4AEB"/>
    <w:rsid w:val="4A427319"/>
    <w:rsid w:val="4A433563"/>
    <w:rsid w:val="4A467A4E"/>
    <w:rsid w:val="4A4A2908"/>
    <w:rsid w:val="4A555FA4"/>
    <w:rsid w:val="4A5566CE"/>
    <w:rsid w:val="4A564B14"/>
    <w:rsid w:val="4A684734"/>
    <w:rsid w:val="4A6D23BA"/>
    <w:rsid w:val="4A6E22A2"/>
    <w:rsid w:val="4A7453FF"/>
    <w:rsid w:val="4A7578B3"/>
    <w:rsid w:val="4A7B73FB"/>
    <w:rsid w:val="4A7D5C70"/>
    <w:rsid w:val="4A7E2934"/>
    <w:rsid w:val="4A850274"/>
    <w:rsid w:val="4A8901A5"/>
    <w:rsid w:val="4A8A5EEE"/>
    <w:rsid w:val="4A8D00A4"/>
    <w:rsid w:val="4A8D17BF"/>
    <w:rsid w:val="4A8F20E9"/>
    <w:rsid w:val="4A906BB1"/>
    <w:rsid w:val="4A9406D4"/>
    <w:rsid w:val="4A946C91"/>
    <w:rsid w:val="4A96626C"/>
    <w:rsid w:val="4A993ECF"/>
    <w:rsid w:val="4A9E0FC2"/>
    <w:rsid w:val="4AA04A43"/>
    <w:rsid w:val="4AA427AC"/>
    <w:rsid w:val="4AA5064D"/>
    <w:rsid w:val="4AA712AC"/>
    <w:rsid w:val="4AA95536"/>
    <w:rsid w:val="4AAC3532"/>
    <w:rsid w:val="4AAE4E69"/>
    <w:rsid w:val="4AB16546"/>
    <w:rsid w:val="4AB52131"/>
    <w:rsid w:val="4AB82E60"/>
    <w:rsid w:val="4ABA153E"/>
    <w:rsid w:val="4ABB64BE"/>
    <w:rsid w:val="4ABE0C89"/>
    <w:rsid w:val="4AC26498"/>
    <w:rsid w:val="4AC318EC"/>
    <w:rsid w:val="4AC41DA8"/>
    <w:rsid w:val="4AC453EB"/>
    <w:rsid w:val="4AC72C8D"/>
    <w:rsid w:val="4AC7411F"/>
    <w:rsid w:val="4ACC3E2B"/>
    <w:rsid w:val="4ACC74AE"/>
    <w:rsid w:val="4ACD1E5F"/>
    <w:rsid w:val="4AD32CE6"/>
    <w:rsid w:val="4AD428FE"/>
    <w:rsid w:val="4ADD05DC"/>
    <w:rsid w:val="4ADD4861"/>
    <w:rsid w:val="4AE149A8"/>
    <w:rsid w:val="4AE47DA5"/>
    <w:rsid w:val="4AE57A04"/>
    <w:rsid w:val="4AE66C9B"/>
    <w:rsid w:val="4AEA25E9"/>
    <w:rsid w:val="4AF46F7D"/>
    <w:rsid w:val="4AFC64BF"/>
    <w:rsid w:val="4AFD1890"/>
    <w:rsid w:val="4B0074A9"/>
    <w:rsid w:val="4B04236F"/>
    <w:rsid w:val="4B0430A9"/>
    <w:rsid w:val="4B0715CA"/>
    <w:rsid w:val="4B0D663F"/>
    <w:rsid w:val="4B0F6485"/>
    <w:rsid w:val="4B1013DB"/>
    <w:rsid w:val="4B111877"/>
    <w:rsid w:val="4B1B5B43"/>
    <w:rsid w:val="4B222FE2"/>
    <w:rsid w:val="4B225EDD"/>
    <w:rsid w:val="4B2676F4"/>
    <w:rsid w:val="4B284252"/>
    <w:rsid w:val="4B284830"/>
    <w:rsid w:val="4B2D2916"/>
    <w:rsid w:val="4B3A3768"/>
    <w:rsid w:val="4B3A711B"/>
    <w:rsid w:val="4B3D0C93"/>
    <w:rsid w:val="4B4466BC"/>
    <w:rsid w:val="4B56360F"/>
    <w:rsid w:val="4B5D1ADB"/>
    <w:rsid w:val="4B616FB6"/>
    <w:rsid w:val="4B62607F"/>
    <w:rsid w:val="4B6849C6"/>
    <w:rsid w:val="4B717CEC"/>
    <w:rsid w:val="4B723A7B"/>
    <w:rsid w:val="4B726B22"/>
    <w:rsid w:val="4B741453"/>
    <w:rsid w:val="4B7C6C5E"/>
    <w:rsid w:val="4B7F49FA"/>
    <w:rsid w:val="4B81619D"/>
    <w:rsid w:val="4B822083"/>
    <w:rsid w:val="4B8251EA"/>
    <w:rsid w:val="4B882B88"/>
    <w:rsid w:val="4B8D63E5"/>
    <w:rsid w:val="4B8E65EF"/>
    <w:rsid w:val="4B902123"/>
    <w:rsid w:val="4B934A37"/>
    <w:rsid w:val="4B9A118F"/>
    <w:rsid w:val="4B9F6E4A"/>
    <w:rsid w:val="4BA05ECC"/>
    <w:rsid w:val="4BAB1B2B"/>
    <w:rsid w:val="4BAB1CD2"/>
    <w:rsid w:val="4BBA52F0"/>
    <w:rsid w:val="4BC01262"/>
    <w:rsid w:val="4BC012FC"/>
    <w:rsid w:val="4BC0220E"/>
    <w:rsid w:val="4BC247A8"/>
    <w:rsid w:val="4BC31CD6"/>
    <w:rsid w:val="4BC71363"/>
    <w:rsid w:val="4BC93EC7"/>
    <w:rsid w:val="4BCA0873"/>
    <w:rsid w:val="4BCD1B01"/>
    <w:rsid w:val="4BDC5610"/>
    <w:rsid w:val="4BE37302"/>
    <w:rsid w:val="4BE57180"/>
    <w:rsid w:val="4BE620F7"/>
    <w:rsid w:val="4BE84077"/>
    <w:rsid w:val="4BEA7C7E"/>
    <w:rsid w:val="4BED22AB"/>
    <w:rsid w:val="4BED4059"/>
    <w:rsid w:val="4BED786C"/>
    <w:rsid w:val="4BEF229D"/>
    <w:rsid w:val="4BF049F2"/>
    <w:rsid w:val="4BFB5C0C"/>
    <w:rsid w:val="4C00057A"/>
    <w:rsid w:val="4C01249A"/>
    <w:rsid w:val="4C017B05"/>
    <w:rsid w:val="4C043151"/>
    <w:rsid w:val="4C0521F5"/>
    <w:rsid w:val="4C1416B9"/>
    <w:rsid w:val="4C18651C"/>
    <w:rsid w:val="4C2047A1"/>
    <w:rsid w:val="4C250628"/>
    <w:rsid w:val="4C2779EF"/>
    <w:rsid w:val="4C2A4EA6"/>
    <w:rsid w:val="4C2D078B"/>
    <w:rsid w:val="4C2E5D0E"/>
    <w:rsid w:val="4C320FBD"/>
    <w:rsid w:val="4C3D6D8F"/>
    <w:rsid w:val="4C52192A"/>
    <w:rsid w:val="4C5440D8"/>
    <w:rsid w:val="4C56001A"/>
    <w:rsid w:val="4C5C2F8D"/>
    <w:rsid w:val="4C5F185D"/>
    <w:rsid w:val="4C622155"/>
    <w:rsid w:val="4C6938F9"/>
    <w:rsid w:val="4C6A633F"/>
    <w:rsid w:val="4C6D519A"/>
    <w:rsid w:val="4C72455F"/>
    <w:rsid w:val="4C744704"/>
    <w:rsid w:val="4C7A6896"/>
    <w:rsid w:val="4C7B3DFC"/>
    <w:rsid w:val="4C7C2598"/>
    <w:rsid w:val="4C7D57F0"/>
    <w:rsid w:val="4C872336"/>
    <w:rsid w:val="4C8B67C8"/>
    <w:rsid w:val="4C92091C"/>
    <w:rsid w:val="4C923ADF"/>
    <w:rsid w:val="4C9B3AB5"/>
    <w:rsid w:val="4C9F7544"/>
    <w:rsid w:val="4CA36F8E"/>
    <w:rsid w:val="4CA83552"/>
    <w:rsid w:val="4CAB1CBB"/>
    <w:rsid w:val="4CB1450C"/>
    <w:rsid w:val="4CB45011"/>
    <w:rsid w:val="4CB701C3"/>
    <w:rsid w:val="4CB84FBD"/>
    <w:rsid w:val="4CB9383D"/>
    <w:rsid w:val="4CC45091"/>
    <w:rsid w:val="4CC97AA7"/>
    <w:rsid w:val="4CCF21F2"/>
    <w:rsid w:val="4CD01989"/>
    <w:rsid w:val="4CD754F1"/>
    <w:rsid w:val="4CD9638C"/>
    <w:rsid w:val="4CDA498C"/>
    <w:rsid w:val="4CDB2824"/>
    <w:rsid w:val="4CE1055B"/>
    <w:rsid w:val="4CE2515B"/>
    <w:rsid w:val="4CEC60BF"/>
    <w:rsid w:val="4CEE0CC9"/>
    <w:rsid w:val="4CEF3ACF"/>
    <w:rsid w:val="4CF0116B"/>
    <w:rsid w:val="4CF020FC"/>
    <w:rsid w:val="4CF57C81"/>
    <w:rsid w:val="4CFC07E8"/>
    <w:rsid w:val="4CFC2073"/>
    <w:rsid w:val="4CFC7663"/>
    <w:rsid w:val="4CFD6003"/>
    <w:rsid w:val="4D04017C"/>
    <w:rsid w:val="4D051D61"/>
    <w:rsid w:val="4D116D0D"/>
    <w:rsid w:val="4D183358"/>
    <w:rsid w:val="4D1A70D0"/>
    <w:rsid w:val="4D1C53E4"/>
    <w:rsid w:val="4D1D3F8D"/>
    <w:rsid w:val="4D1E65B3"/>
    <w:rsid w:val="4D2146C6"/>
    <w:rsid w:val="4D233F18"/>
    <w:rsid w:val="4D2B228A"/>
    <w:rsid w:val="4D2F15D1"/>
    <w:rsid w:val="4D355F0D"/>
    <w:rsid w:val="4D3D6E37"/>
    <w:rsid w:val="4D4070C4"/>
    <w:rsid w:val="4D4116DD"/>
    <w:rsid w:val="4D4203D5"/>
    <w:rsid w:val="4D4419A1"/>
    <w:rsid w:val="4D4C33CB"/>
    <w:rsid w:val="4D4D41F4"/>
    <w:rsid w:val="4D534898"/>
    <w:rsid w:val="4D562E7E"/>
    <w:rsid w:val="4D575BB8"/>
    <w:rsid w:val="4D5B3023"/>
    <w:rsid w:val="4D5D484D"/>
    <w:rsid w:val="4D601F04"/>
    <w:rsid w:val="4D6770F6"/>
    <w:rsid w:val="4D6B3C9A"/>
    <w:rsid w:val="4D6D5069"/>
    <w:rsid w:val="4D6D6D97"/>
    <w:rsid w:val="4D743FB2"/>
    <w:rsid w:val="4D747CD7"/>
    <w:rsid w:val="4D747FF1"/>
    <w:rsid w:val="4D772832"/>
    <w:rsid w:val="4D77777E"/>
    <w:rsid w:val="4D7E78FB"/>
    <w:rsid w:val="4D7F0CE1"/>
    <w:rsid w:val="4D8210C1"/>
    <w:rsid w:val="4D896004"/>
    <w:rsid w:val="4D8F4C99"/>
    <w:rsid w:val="4D904686"/>
    <w:rsid w:val="4D9B42F5"/>
    <w:rsid w:val="4D9E0F3F"/>
    <w:rsid w:val="4DA11149"/>
    <w:rsid w:val="4DA43411"/>
    <w:rsid w:val="4DB1189F"/>
    <w:rsid w:val="4DB24313"/>
    <w:rsid w:val="4DB52239"/>
    <w:rsid w:val="4DBF713A"/>
    <w:rsid w:val="4DC3638F"/>
    <w:rsid w:val="4DC62DB4"/>
    <w:rsid w:val="4DC66CFE"/>
    <w:rsid w:val="4DC70853"/>
    <w:rsid w:val="4DC77DB3"/>
    <w:rsid w:val="4DC80F8E"/>
    <w:rsid w:val="4DCA5E0F"/>
    <w:rsid w:val="4DCC5336"/>
    <w:rsid w:val="4DCE3A17"/>
    <w:rsid w:val="4DCF7998"/>
    <w:rsid w:val="4DD06FA1"/>
    <w:rsid w:val="4DD3102D"/>
    <w:rsid w:val="4DD65CDB"/>
    <w:rsid w:val="4DD80FDB"/>
    <w:rsid w:val="4DDC79FF"/>
    <w:rsid w:val="4DE37F97"/>
    <w:rsid w:val="4DE77668"/>
    <w:rsid w:val="4DE81F80"/>
    <w:rsid w:val="4DE834D2"/>
    <w:rsid w:val="4DEB696F"/>
    <w:rsid w:val="4DED3B4E"/>
    <w:rsid w:val="4DEF230B"/>
    <w:rsid w:val="4DF0617A"/>
    <w:rsid w:val="4DFA0CB0"/>
    <w:rsid w:val="4DFB2FD2"/>
    <w:rsid w:val="4DFD5434"/>
    <w:rsid w:val="4E0039F5"/>
    <w:rsid w:val="4E021B56"/>
    <w:rsid w:val="4E035DB6"/>
    <w:rsid w:val="4E036DC6"/>
    <w:rsid w:val="4E046CB4"/>
    <w:rsid w:val="4E0F1D3D"/>
    <w:rsid w:val="4E10402F"/>
    <w:rsid w:val="4E112610"/>
    <w:rsid w:val="4E127DA7"/>
    <w:rsid w:val="4E191359"/>
    <w:rsid w:val="4E235B10"/>
    <w:rsid w:val="4E272E8D"/>
    <w:rsid w:val="4E2E3285"/>
    <w:rsid w:val="4E2F4764"/>
    <w:rsid w:val="4E331BE4"/>
    <w:rsid w:val="4E361CE8"/>
    <w:rsid w:val="4E487C6D"/>
    <w:rsid w:val="4E4B104D"/>
    <w:rsid w:val="4E4C13F3"/>
    <w:rsid w:val="4E5054D7"/>
    <w:rsid w:val="4E555EE6"/>
    <w:rsid w:val="4E556FE9"/>
    <w:rsid w:val="4E5F7551"/>
    <w:rsid w:val="4E6012F3"/>
    <w:rsid w:val="4E6C5709"/>
    <w:rsid w:val="4E722F95"/>
    <w:rsid w:val="4E786C8C"/>
    <w:rsid w:val="4E7A435D"/>
    <w:rsid w:val="4E7A5E8A"/>
    <w:rsid w:val="4E7E3E7C"/>
    <w:rsid w:val="4E833686"/>
    <w:rsid w:val="4E87484E"/>
    <w:rsid w:val="4E8C3214"/>
    <w:rsid w:val="4E8D0FB8"/>
    <w:rsid w:val="4E8D492C"/>
    <w:rsid w:val="4EA60C58"/>
    <w:rsid w:val="4EA84268"/>
    <w:rsid w:val="4EA93518"/>
    <w:rsid w:val="4EAA4484"/>
    <w:rsid w:val="4EAB0F3E"/>
    <w:rsid w:val="4EAC3D58"/>
    <w:rsid w:val="4EAD187E"/>
    <w:rsid w:val="4EB4357E"/>
    <w:rsid w:val="4EB960E9"/>
    <w:rsid w:val="4EBA7A7A"/>
    <w:rsid w:val="4EC65BB5"/>
    <w:rsid w:val="4ECD1F20"/>
    <w:rsid w:val="4ED52497"/>
    <w:rsid w:val="4ED55D6D"/>
    <w:rsid w:val="4ED601BA"/>
    <w:rsid w:val="4ED82D9F"/>
    <w:rsid w:val="4EDB3BC5"/>
    <w:rsid w:val="4EDD6607"/>
    <w:rsid w:val="4EDE412D"/>
    <w:rsid w:val="4EDF3E71"/>
    <w:rsid w:val="4EE13725"/>
    <w:rsid w:val="4EE940AA"/>
    <w:rsid w:val="4EF35513"/>
    <w:rsid w:val="4EF63187"/>
    <w:rsid w:val="4EFA4DFD"/>
    <w:rsid w:val="4EFD267A"/>
    <w:rsid w:val="4F047FD8"/>
    <w:rsid w:val="4F0B0532"/>
    <w:rsid w:val="4F0D6FCA"/>
    <w:rsid w:val="4F102BE2"/>
    <w:rsid w:val="4F106DFF"/>
    <w:rsid w:val="4F131546"/>
    <w:rsid w:val="4F146F0E"/>
    <w:rsid w:val="4F165675"/>
    <w:rsid w:val="4F165EC1"/>
    <w:rsid w:val="4F16637C"/>
    <w:rsid w:val="4F175D59"/>
    <w:rsid w:val="4F1B3F37"/>
    <w:rsid w:val="4F223243"/>
    <w:rsid w:val="4F265146"/>
    <w:rsid w:val="4F29209D"/>
    <w:rsid w:val="4F2D7C3E"/>
    <w:rsid w:val="4F351F9F"/>
    <w:rsid w:val="4F3D7BC5"/>
    <w:rsid w:val="4F3F3493"/>
    <w:rsid w:val="4F425E0B"/>
    <w:rsid w:val="4F4641AC"/>
    <w:rsid w:val="4F4723C4"/>
    <w:rsid w:val="4F4F5E50"/>
    <w:rsid w:val="4F55619D"/>
    <w:rsid w:val="4F5936F7"/>
    <w:rsid w:val="4F5C48FD"/>
    <w:rsid w:val="4F6130DF"/>
    <w:rsid w:val="4F771787"/>
    <w:rsid w:val="4F796AF3"/>
    <w:rsid w:val="4F7C7BCE"/>
    <w:rsid w:val="4F7D7D05"/>
    <w:rsid w:val="4F8035F5"/>
    <w:rsid w:val="4F807E4C"/>
    <w:rsid w:val="4F8137B2"/>
    <w:rsid w:val="4F8646AF"/>
    <w:rsid w:val="4F8839DB"/>
    <w:rsid w:val="4F8E6D74"/>
    <w:rsid w:val="4F8F77A2"/>
    <w:rsid w:val="4F975341"/>
    <w:rsid w:val="4F981459"/>
    <w:rsid w:val="4F9D6DAE"/>
    <w:rsid w:val="4FA03489"/>
    <w:rsid w:val="4FA233AD"/>
    <w:rsid w:val="4FA24759"/>
    <w:rsid w:val="4FA26F09"/>
    <w:rsid w:val="4FAC51BF"/>
    <w:rsid w:val="4FAC53D7"/>
    <w:rsid w:val="4FAE17A8"/>
    <w:rsid w:val="4FB058DE"/>
    <w:rsid w:val="4FB15255"/>
    <w:rsid w:val="4FB15843"/>
    <w:rsid w:val="4FB52ABC"/>
    <w:rsid w:val="4FB71B0B"/>
    <w:rsid w:val="4FC03DFB"/>
    <w:rsid w:val="4FC40DE4"/>
    <w:rsid w:val="4FC450D1"/>
    <w:rsid w:val="4FC51EE9"/>
    <w:rsid w:val="4FC74BC1"/>
    <w:rsid w:val="4FC95799"/>
    <w:rsid w:val="4FCA1C5F"/>
    <w:rsid w:val="4FCD57A4"/>
    <w:rsid w:val="4FD334A3"/>
    <w:rsid w:val="4FD36521"/>
    <w:rsid w:val="4FD6167C"/>
    <w:rsid w:val="4FD7214B"/>
    <w:rsid w:val="4FD77F76"/>
    <w:rsid w:val="4FD96D4A"/>
    <w:rsid w:val="4FDB7500"/>
    <w:rsid w:val="4FE563DD"/>
    <w:rsid w:val="4FE608BF"/>
    <w:rsid w:val="4FE71651"/>
    <w:rsid w:val="4FE85264"/>
    <w:rsid w:val="4FF42E59"/>
    <w:rsid w:val="4FF825C9"/>
    <w:rsid w:val="500621E1"/>
    <w:rsid w:val="500656EA"/>
    <w:rsid w:val="500A5C63"/>
    <w:rsid w:val="500B71A4"/>
    <w:rsid w:val="50103E95"/>
    <w:rsid w:val="501222E0"/>
    <w:rsid w:val="5017440E"/>
    <w:rsid w:val="501871CB"/>
    <w:rsid w:val="501E2A33"/>
    <w:rsid w:val="5029278A"/>
    <w:rsid w:val="502D5D2E"/>
    <w:rsid w:val="502E16DF"/>
    <w:rsid w:val="50384D63"/>
    <w:rsid w:val="503A4330"/>
    <w:rsid w:val="503D63C9"/>
    <w:rsid w:val="50454500"/>
    <w:rsid w:val="5048766B"/>
    <w:rsid w:val="504B0DD2"/>
    <w:rsid w:val="50512CDB"/>
    <w:rsid w:val="50515D2F"/>
    <w:rsid w:val="50551BA4"/>
    <w:rsid w:val="50596486"/>
    <w:rsid w:val="505A2995"/>
    <w:rsid w:val="505B0B0E"/>
    <w:rsid w:val="505D4BF7"/>
    <w:rsid w:val="505F4A1B"/>
    <w:rsid w:val="50613A80"/>
    <w:rsid w:val="506471C1"/>
    <w:rsid w:val="506F56D3"/>
    <w:rsid w:val="50796183"/>
    <w:rsid w:val="507A60A2"/>
    <w:rsid w:val="507E1BB5"/>
    <w:rsid w:val="507F4BCE"/>
    <w:rsid w:val="50800768"/>
    <w:rsid w:val="50804860"/>
    <w:rsid w:val="50812378"/>
    <w:rsid w:val="508347F7"/>
    <w:rsid w:val="508608C5"/>
    <w:rsid w:val="50866E12"/>
    <w:rsid w:val="508B1CFC"/>
    <w:rsid w:val="508C2DBF"/>
    <w:rsid w:val="508D4B74"/>
    <w:rsid w:val="508F56DF"/>
    <w:rsid w:val="50904A67"/>
    <w:rsid w:val="509B4EE0"/>
    <w:rsid w:val="50A115AF"/>
    <w:rsid w:val="50A428F1"/>
    <w:rsid w:val="50A45F2B"/>
    <w:rsid w:val="50A772D7"/>
    <w:rsid w:val="50A8118F"/>
    <w:rsid w:val="50AF39EB"/>
    <w:rsid w:val="50B04FEE"/>
    <w:rsid w:val="50B95FCA"/>
    <w:rsid w:val="50C140A7"/>
    <w:rsid w:val="50C7612E"/>
    <w:rsid w:val="50CA3217"/>
    <w:rsid w:val="50D37171"/>
    <w:rsid w:val="50D60044"/>
    <w:rsid w:val="50DB5BB3"/>
    <w:rsid w:val="50DE1442"/>
    <w:rsid w:val="50E35CAE"/>
    <w:rsid w:val="50E648E0"/>
    <w:rsid w:val="50EC47F7"/>
    <w:rsid w:val="50ED1830"/>
    <w:rsid w:val="50ED74DA"/>
    <w:rsid w:val="50F0051D"/>
    <w:rsid w:val="50F303AF"/>
    <w:rsid w:val="50F67F87"/>
    <w:rsid w:val="50FD1790"/>
    <w:rsid w:val="51041A36"/>
    <w:rsid w:val="5105602C"/>
    <w:rsid w:val="510B76CF"/>
    <w:rsid w:val="510D65B9"/>
    <w:rsid w:val="51144C07"/>
    <w:rsid w:val="5118541E"/>
    <w:rsid w:val="511A1959"/>
    <w:rsid w:val="511E1E12"/>
    <w:rsid w:val="511F7613"/>
    <w:rsid w:val="512B0469"/>
    <w:rsid w:val="512C5C16"/>
    <w:rsid w:val="51302B55"/>
    <w:rsid w:val="513314DF"/>
    <w:rsid w:val="513836E9"/>
    <w:rsid w:val="51455A41"/>
    <w:rsid w:val="514E10F6"/>
    <w:rsid w:val="514E42FE"/>
    <w:rsid w:val="515645FA"/>
    <w:rsid w:val="515801EE"/>
    <w:rsid w:val="51584C13"/>
    <w:rsid w:val="515B0C0A"/>
    <w:rsid w:val="515E4AFF"/>
    <w:rsid w:val="51624BA2"/>
    <w:rsid w:val="516A6C95"/>
    <w:rsid w:val="516C30E8"/>
    <w:rsid w:val="51705511"/>
    <w:rsid w:val="51776642"/>
    <w:rsid w:val="51776770"/>
    <w:rsid w:val="517A013D"/>
    <w:rsid w:val="517B0A28"/>
    <w:rsid w:val="517B1FAE"/>
    <w:rsid w:val="517F464A"/>
    <w:rsid w:val="51801CCD"/>
    <w:rsid w:val="51831941"/>
    <w:rsid w:val="51840C91"/>
    <w:rsid w:val="518527EB"/>
    <w:rsid w:val="51854724"/>
    <w:rsid w:val="51882867"/>
    <w:rsid w:val="518A156E"/>
    <w:rsid w:val="518C15B3"/>
    <w:rsid w:val="518C604A"/>
    <w:rsid w:val="518E5D75"/>
    <w:rsid w:val="518F414A"/>
    <w:rsid w:val="51900D41"/>
    <w:rsid w:val="51967B24"/>
    <w:rsid w:val="51994537"/>
    <w:rsid w:val="519D1737"/>
    <w:rsid w:val="51A03B3E"/>
    <w:rsid w:val="51A400B4"/>
    <w:rsid w:val="51A65DA9"/>
    <w:rsid w:val="51AC3DF2"/>
    <w:rsid w:val="51B358E2"/>
    <w:rsid w:val="51BD10BB"/>
    <w:rsid w:val="51BD2A5D"/>
    <w:rsid w:val="51BD3621"/>
    <w:rsid w:val="51C04B61"/>
    <w:rsid w:val="51C40B94"/>
    <w:rsid w:val="51C76531"/>
    <w:rsid w:val="51D108C4"/>
    <w:rsid w:val="51D31F67"/>
    <w:rsid w:val="51D44FE5"/>
    <w:rsid w:val="51D8777E"/>
    <w:rsid w:val="51DC0DF8"/>
    <w:rsid w:val="51DC2A01"/>
    <w:rsid w:val="51DD018C"/>
    <w:rsid w:val="51DD1C9E"/>
    <w:rsid w:val="51DD6056"/>
    <w:rsid w:val="51E24A36"/>
    <w:rsid w:val="51E25F77"/>
    <w:rsid w:val="51E443CF"/>
    <w:rsid w:val="51EF6B63"/>
    <w:rsid w:val="51F85FAA"/>
    <w:rsid w:val="52000723"/>
    <w:rsid w:val="52033878"/>
    <w:rsid w:val="5204544E"/>
    <w:rsid w:val="520454EE"/>
    <w:rsid w:val="520527EC"/>
    <w:rsid w:val="520A1C4C"/>
    <w:rsid w:val="520A392E"/>
    <w:rsid w:val="520E6AD8"/>
    <w:rsid w:val="520F6922"/>
    <w:rsid w:val="52156D12"/>
    <w:rsid w:val="52223F36"/>
    <w:rsid w:val="52262073"/>
    <w:rsid w:val="52284A8B"/>
    <w:rsid w:val="523222BB"/>
    <w:rsid w:val="52347C66"/>
    <w:rsid w:val="52376968"/>
    <w:rsid w:val="524336D4"/>
    <w:rsid w:val="52466FD1"/>
    <w:rsid w:val="52476244"/>
    <w:rsid w:val="5248225D"/>
    <w:rsid w:val="5249494D"/>
    <w:rsid w:val="524C1B5E"/>
    <w:rsid w:val="524D2351"/>
    <w:rsid w:val="525E6975"/>
    <w:rsid w:val="52636C40"/>
    <w:rsid w:val="52674259"/>
    <w:rsid w:val="526B2E05"/>
    <w:rsid w:val="52700E59"/>
    <w:rsid w:val="52740582"/>
    <w:rsid w:val="52770C36"/>
    <w:rsid w:val="5278236D"/>
    <w:rsid w:val="527C6137"/>
    <w:rsid w:val="527F188D"/>
    <w:rsid w:val="52846D9A"/>
    <w:rsid w:val="52893FC6"/>
    <w:rsid w:val="528A121C"/>
    <w:rsid w:val="52946FDD"/>
    <w:rsid w:val="52950DA4"/>
    <w:rsid w:val="52973485"/>
    <w:rsid w:val="529E040B"/>
    <w:rsid w:val="52B61406"/>
    <w:rsid w:val="52B71525"/>
    <w:rsid w:val="52B96A43"/>
    <w:rsid w:val="52BA5266"/>
    <w:rsid w:val="52BA6F43"/>
    <w:rsid w:val="52BC4786"/>
    <w:rsid w:val="52BE2A36"/>
    <w:rsid w:val="52C119AC"/>
    <w:rsid w:val="52C11B7E"/>
    <w:rsid w:val="52C237DC"/>
    <w:rsid w:val="52C36173"/>
    <w:rsid w:val="52C673B2"/>
    <w:rsid w:val="52CF7E91"/>
    <w:rsid w:val="52D41ACF"/>
    <w:rsid w:val="52DA180A"/>
    <w:rsid w:val="52DC5653"/>
    <w:rsid w:val="52DE0CAB"/>
    <w:rsid w:val="52EE325A"/>
    <w:rsid w:val="52F43869"/>
    <w:rsid w:val="52FE71B7"/>
    <w:rsid w:val="52FF57CC"/>
    <w:rsid w:val="53057EDB"/>
    <w:rsid w:val="530C197F"/>
    <w:rsid w:val="530E2AD2"/>
    <w:rsid w:val="530F6FAB"/>
    <w:rsid w:val="531277CC"/>
    <w:rsid w:val="5313422F"/>
    <w:rsid w:val="531445C2"/>
    <w:rsid w:val="53144CAE"/>
    <w:rsid w:val="531F6ABE"/>
    <w:rsid w:val="53210759"/>
    <w:rsid w:val="532156F2"/>
    <w:rsid w:val="53221601"/>
    <w:rsid w:val="53223085"/>
    <w:rsid w:val="5327381A"/>
    <w:rsid w:val="532742F5"/>
    <w:rsid w:val="532A57F7"/>
    <w:rsid w:val="532A7977"/>
    <w:rsid w:val="532C338A"/>
    <w:rsid w:val="53312A7E"/>
    <w:rsid w:val="53323E3F"/>
    <w:rsid w:val="533266A5"/>
    <w:rsid w:val="533C08E1"/>
    <w:rsid w:val="533D72E7"/>
    <w:rsid w:val="534948D9"/>
    <w:rsid w:val="535421C9"/>
    <w:rsid w:val="5354541B"/>
    <w:rsid w:val="53564361"/>
    <w:rsid w:val="5358625C"/>
    <w:rsid w:val="535950BD"/>
    <w:rsid w:val="535C6CD7"/>
    <w:rsid w:val="535E75EB"/>
    <w:rsid w:val="535F18E4"/>
    <w:rsid w:val="53670B95"/>
    <w:rsid w:val="53684572"/>
    <w:rsid w:val="53696A26"/>
    <w:rsid w:val="536D1F1D"/>
    <w:rsid w:val="536D76F3"/>
    <w:rsid w:val="53715E0F"/>
    <w:rsid w:val="53791E13"/>
    <w:rsid w:val="537A7078"/>
    <w:rsid w:val="537D1536"/>
    <w:rsid w:val="53812A53"/>
    <w:rsid w:val="538C6936"/>
    <w:rsid w:val="538D08BC"/>
    <w:rsid w:val="538E6787"/>
    <w:rsid w:val="539A738B"/>
    <w:rsid w:val="539D7969"/>
    <w:rsid w:val="539E655A"/>
    <w:rsid w:val="539F3195"/>
    <w:rsid w:val="53A15D76"/>
    <w:rsid w:val="53A16AA4"/>
    <w:rsid w:val="53A22F56"/>
    <w:rsid w:val="53A27D55"/>
    <w:rsid w:val="53A40390"/>
    <w:rsid w:val="53A43DE0"/>
    <w:rsid w:val="53A7187F"/>
    <w:rsid w:val="53AD1DDF"/>
    <w:rsid w:val="53B215A7"/>
    <w:rsid w:val="53B8504A"/>
    <w:rsid w:val="53BA6DDC"/>
    <w:rsid w:val="53BF15BE"/>
    <w:rsid w:val="53C03079"/>
    <w:rsid w:val="53C25DCC"/>
    <w:rsid w:val="53D31091"/>
    <w:rsid w:val="53D54E63"/>
    <w:rsid w:val="53D80EDC"/>
    <w:rsid w:val="53D92FA2"/>
    <w:rsid w:val="53E421E6"/>
    <w:rsid w:val="53E8473E"/>
    <w:rsid w:val="53EE3084"/>
    <w:rsid w:val="53EE65F4"/>
    <w:rsid w:val="53F02939"/>
    <w:rsid w:val="53F25D40"/>
    <w:rsid w:val="53F43192"/>
    <w:rsid w:val="53FB4C0A"/>
    <w:rsid w:val="53FC2F5D"/>
    <w:rsid w:val="53FC62D0"/>
    <w:rsid w:val="5402205C"/>
    <w:rsid w:val="5402441A"/>
    <w:rsid w:val="54027CE7"/>
    <w:rsid w:val="5403627B"/>
    <w:rsid w:val="5405307B"/>
    <w:rsid w:val="540A3818"/>
    <w:rsid w:val="540B46A6"/>
    <w:rsid w:val="54187EE0"/>
    <w:rsid w:val="541A7659"/>
    <w:rsid w:val="5420577E"/>
    <w:rsid w:val="54294D20"/>
    <w:rsid w:val="54324CFF"/>
    <w:rsid w:val="5439151A"/>
    <w:rsid w:val="54392148"/>
    <w:rsid w:val="543C1BD2"/>
    <w:rsid w:val="543C5B7E"/>
    <w:rsid w:val="54426489"/>
    <w:rsid w:val="54432B73"/>
    <w:rsid w:val="54447014"/>
    <w:rsid w:val="54531D4B"/>
    <w:rsid w:val="54534C76"/>
    <w:rsid w:val="5454111A"/>
    <w:rsid w:val="54561403"/>
    <w:rsid w:val="545E4887"/>
    <w:rsid w:val="54605CB0"/>
    <w:rsid w:val="54606BC7"/>
    <w:rsid w:val="54694499"/>
    <w:rsid w:val="546A0F21"/>
    <w:rsid w:val="546B5E47"/>
    <w:rsid w:val="546D0D6E"/>
    <w:rsid w:val="546E0F57"/>
    <w:rsid w:val="54752048"/>
    <w:rsid w:val="5477630D"/>
    <w:rsid w:val="547A5721"/>
    <w:rsid w:val="5481776E"/>
    <w:rsid w:val="54825F22"/>
    <w:rsid w:val="548432FF"/>
    <w:rsid w:val="548843BE"/>
    <w:rsid w:val="548B08C3"/>
    <w:rsid w:val="548C60A9"/>
    <w:rsid w:val="548E2DA2"/>
    <w:rsid w:val="54912C6B"/>
    <w:rsid w:val="549257CF"/>
    <w:rsid w:val="54980710"/>
    <w:rsid w:val="549A49DB"/>
    <w:rsid w:val="549F78AB"/>
    <w:rsid w:val="54A11688"/>
    <w:rsid w:val="54A51975"/>
    <w:rsid w:val="54A66623"/>
    <w:rsid w:val="54A77032"/>
    <w:rsid w:val="54AB4954"/>
    <w:rsid w:val="54B72435"/>
    <w:rsid w:val="54B8286D"/>
    <w:rsid w:val="54BA3F9A"/>
    <w:rsid w:val="54BC0829"/>
    <w:rsid w:val="54C33BA9"/>
    <w:rsid w:val="54C55B73"/>
    <w:rsid w:val="54CD2A11"/>
    <w:rsid w:val="54CE3E93"/>
    <w:rsid w:val="54D33D97"/>
    <w:rsid w:val="54D778CF"/>
    <w:rsid w:val="54D9517B"/>
    <w:rsid w:val="54DA5642"/>
    <w:rsid w:val="54DC5175"/>
    <w:rsid w:val="54E57FC4"/>
    <w:rsid w:val="54EF660E"/>
    <w:rsid w:val="54F32863"/>
    <w:rsid w:val="54F46459"/>
    <w:rsid w:val="54F66E17"/>
    <w:rsid w:val="54FB222D"/>
    <w:rsid w:val="54FC7C53"/>
    <w:rsid w:val="54FE0535"/>
    <w:rsid w:val="55000C8A"/>
    <w:rsid w:val="550173C1"/>
    <w:rsid w:val="55020B76"/>
    <w:rsid w:val="5506128A"/>
    <w:rsid w:val="55061DF6"/>
    <w:rsid w:val="55062102"/>
    <w:rsid w:val="5507651E"/>
    <w:rsid w:val="55091648"/>
    <w:rsid w:val="550E27A6"/>
    <w:rsid w:val="55120CE8"/>
    <w:rsid w:val="55195ED1"/>
    <w:rsid w:val="551B099A"/>
    <w:rsid w:val="55212D39"/>
    <w:rsid w:val="55226DFA"/>
    <w:rsid w:val="552621F1"/>
    <w:rsid w:val="5534356E"/>
    <w:rsid w:val="55374F83"/>
    <w:rsid w:val="553A542C"/>
    <w:rsid w:val="55403CC4"/>
    <w:rsid w:val="55405549"/>
    <w:rsid w:val="554441C0"/>
    <w:rsid w:val="55464922"/>
    <w:rsid w:val="554A2E29"/>
    <w:rsid w:val="55502683"/>
    <w:rsid w:val="5552317F"/>
    <w:rsid w:val="55526F07"/>
    <w:rsid w:val="55574003"/>
    <w:rsid w:val="55574CCF"/>
    <w:rsid w:val="5559450E"/>
    <w:rsid w:val="556042A3"/>
    <w:rsid w:val="55676C2B"/>
    <w:rsid w:val="556C4354"/>
    <w:rsid w:val="557B26D6"/>
    <w:rsid w:val="55804B04"/>
    <w:rsid w:val="55841D1A"/>
    <w:rsid w:val="55853555"/>
    <w:rsid w:val="55873642"/>
    <w:rsid w:val="558E065B"/>
    <w:rsid w:val="558F4322"/>
    <w:rsid w:val="5595553E"/>
    <w:rsid w:val="559706B6"/>
    <w:rsid w:val="559E5BF4"/>
    <w:rsid w:val="55AA2FBB"/>
    <w:rsid w:val="55AF0E23"/>
    <w:rsid w:val="55B02428"/>
    <w:rsid w:val="55B57620"/>
    <w:rsid w:val="55B86E15"/>
    <w:rsid w:val="55B93A0B"/>
    <w:rsid w:val="55BC1703"/>
    <w:rsid w:val="55BC7071"/>
    <w:rsid w:val="55BE3FBA"/>
    <w:rsid w:val="55C0121A"/>
    <w:rsid w:val="55C755DE"/>
    <w:rsid w:val="55CC25C0"/>
    <w:rsid w:val="55CC2FD9"/>
    <w:rsid w:val="55CC4CE0"/>
    <w:rsid w:val="55CF4A91"/>
    <w:rsid w:val="55D45119"/>
    <w:rsid w:val="55D45164"/>
    <w:rsid w:val="55D8098E"/>
    <w:rsid w:val="55DC7C3B"/>
    <w:rsid w:val="55DF4A23"/>
    <w:rsid w:val="55E71B19"/>
    <w:rsid w:val="55E920B7"/>
    <w:rsid w:val="55EF1B08"/>
    <w:rsid w:val="55F07CB2"/>
    <w:rsid w:val="55F53732"/>
    <w:rsid w:val="55F61D5C"/>
    <w:rsid w:val="55FA5CB4"/>
    <w:rsid w:val="55FA5E2E"/>
    <w:rsid w:val="55FB5029"/>
    <w:rsid w:val="55FD7740"/>
    <w:rsid w:val="56013B18"/>
    <w:rsid w:val="560177A3"/>
    <w:rsid w:val="56065E04"/>
    <w:rsid w:val="560737E9"/>
    <w:rsid w:val="56095F34"/>
    <w:rsid w:val="560B67E4"/>
    <w:rsid w:val="560F1D67"/>
    <w:rsid w:val="560F5B75"/>
    <w:rsid w:val="56103767"/>
    <w:rsid w:val="5619170D"/>
    <w:rsid w:val="561C385C"/>
    <w:rsid w:val="561D375B"/>
    <w:rsid w:val="56263FE8"/>
    <w:rsid w:val="563057B9"/>
    <w:rsid w:val="56310FE7"/>
    <w:rsid w:val="56331EF7"/>
    <w:rsid w:val="5633209D"/>
    <w:rsid w:val="56390C5B"/>
    <w:rsid w:val="563D3AE4"/>
    <w:rsid w:val="563E4684"/>
    <w:rsid w:val="563E5751"/>
    <w:rsid w:val="56424FA2"/>
    <w:rsid w:val="564725B8"/>
    <w:rsid w:val="564B3E56"/>
    <w:rsid w:val="564E1B99"/>
    <w:rsid w:val="564E5BD6"/>
    <w:rsid w:val="564E7DEA"/>
    <w:rsid w:val="564F772E"/>
    <w:rsid w:val="56513437"/>
    <w:rsid w:val="56514B7E"/>
    <w:rsid w:val="5653131C"/>
    <w:rsid w:val="56556A24"/>
    <w:rsid w:val="56583BEB"/>
    <w:rsid w:val="565E4A50"/>
    <w:rsid w:val="56615D30"/>
    <w:rsid w:val="56622754"/>
    <w:rsid w:val="56633A3A"/>
    <w:rsid w:val="56635C16"/>
    <w:rsid w:val="566418BF"/>
    <w:rsid w:val="56677FEB"/>
    <w:rsid w:val="566E64D7"/>
    <w:rsid w:val="56742890"/>
    <w:rsid w:val="567535C9"/>
    <w:rsid w:val="56766AE6"/>
    <w:rsid w:val="567726CC"/>
    <w:rsid w:val="56781CB8"/>
    <w:rsid w:val="567B6153"/>
    <w:rsid w:val="567E289B"/>
    <w:rsid w:val="567E6B2D"/>
    <w:rsid w:val="567F6ECF"/>
    <w:rsid w:val="568315EE"/>
    <w:rsid w:val="56832EFD"/>
    <w:rsid w:val="56861332"/>
    <w:rsid w:val="56882A73"/>
    <w:rsid w:val="56910E3F"/>
    <w:rsid w:val="56937B33"/>
    <w:rsid w:val="56941CA1"/>
    <w:rsid w:val="569A6378"/>
    <w:rsid w:val="56A27009"/>
    <w:rsid w:val="56A417B8"/>
    <w:rsid w:val="56A63070"/>
    <w:rsid w:val="56AA2DAB"/>
    <w:rsid w:val="56AE2525"/>
    <w:rsid w:val="56AE2D12"/>
    <w:rsid w:val="56AF5946"/>
    <w:rsid w:val="56B34DB1"/>
    <w:rsid w:val="56B40884"/>
    <w:rsid w:val="56B85646"/>
    <w:rsid w:val="56BC15F7"/>
    <w:rsid w:val="56BF77A3"/>
    <w:rsid w:val="56C24040"/>
    <w:rsid w:val="56C52862"/>
    <w:rsid w:val="56C56654"/>
    <w:rsid w:val="56CB25DC"/>
    <w:rsid w:val="56D23EF0"/>
    <w:rsid w:val="56D57BAD"/>
    <w:rsid w:val="56D80CC3"/>
    <w:rsid w:val="56DC1391"/>
    <w:rsid w:val="56E27EF7"/>
    <w:rsid w:val="56E350CE"/>
    <w:rsid w:val="56E60023"/>
    <w:rsid w:val="56E7758A"/>
    <w:rsid w:val="56ED5DDE"/>
    <w:rsid w:val="56ED69E9"/>
    <w:rsid w:val="56EF3F1A"/>
    <w:rsid w:val="56F02C50"/>
    <w:rsid w:val="56F20776"/>
    <w:rsid w:val="56F52421"/>
    <w:rsid w:val="56F95FA8"/>
    <w:rsid w:val="56FC33A3"/>
    <w:rsid w:val="56FE7A28"/>
    <w:rsid w:val="570215FE"/>
    <w:rsid w:val="57030BD5"/>
    <w:rsid w:val="57032577"/>
    <w:rsid w:val="570B7A8A"/>
    <w:rsid w:val="5712448C"/>
    <w:rsid w:val="57261C02"/>
    <w:rsid w:val="57265FC1"/>
    <w:rsid w:val="57283533"/>
    <w:rsid w:val="573174F0"/>
    <w:rsid w:val="57323268"/>
    <w:rsid w:val="57367296"/>
    <w:rsid w:val="573963C2"/>
    <w:rsid w:val="573D6AD0"/>
    <w:rsid w:val="57410317"/>
    <w:rsid w:val="57411EE0"/>
    <w:rsid w:val="57462870"/>
    <w:rsid w:val="57476D14"/>
    <w:rsid w:val="574907C6"/>
    <w:rsid w:val="574D0A86"/>
    <w:rsid w:val="575A4D1F"/>
    <w:rsid w:val="575B0FEC"/>
    <w:rsid w:val="575C2F02"/>
    <w:rsid w:val="576C5AD9"/>
    <w:rsid w:val="5773785B"/>
    <w:rsid w:val="57737F7C"/>
    <w:rsid w:val="57763155"/>
    <w:rsid w:val="577C38A0"/>
    <w:rsid w:val="577D0E35"/>
    <w:rsid w:val="577F554D"/>
    <w:rsid w:val="57805606"/>
    <w:rsid w:val="578B4778"/>
    <w:rsid w:val="578B79AF"/>
    <w:rsid w:val="578C6E1C"/>
    <w:rsid w:val="578D049F"/>
    <w:rsid w:val="57907E3E"/>
    <w:rsid w:val="579A4D3B"/>
    <w:rsid w:val="57A04676"/>
    <w:rsid w:val="57A368BA"/>
    <w:rsid w:val="57A557E8"/>
    <w:rsid w:val="57A675E9"/>
    <w:rsid w:val="57A93777"/>
    <w:rsid w:val="57AD4DFB"/>
    <w:rsid w:val="57B1159C"/>
    <w:rsid w:val="57B819BF"/>
    <w:rsid w:val="57BA25C0"/>
    <w:rsid w:val="57BB090E"/>
    <w:rsid w:val="57BB16AD"/>
    <w:rsid w:val="57BD34AD"/>
    <w:rsid w:val="57C22791"/>
    <w:rsid w:val="57C324E2"/>
    <w:rsid w:val="57C476E6"/>
    <w:rsid w:val="57CA1919"/>
    <w:rsid w:val="57CA524F"/>
    <w:rsid w:val="57CF1031"/>
    <w:rsid w:val="57D02916"/>
    <w:rsid w:val="57D4431F"/>
    <w:rsid w:val="57D600E0"/>
    <w:rsid w:val="57D63295"/>
    <w:rsid w:val="57D9587E"/>
    <w:rsid w:val="57DB1E81"/>
    <w:rsid w:val="57DB68EE"/>
    <w:rsid w:val="57E070BA"/>
    <w:rsid w:val="57E40440"/>
    <w:rsid w:val="57E56325"/>
    <w:rsid w:val="57E9601D"/>
    <w:rsid w:val="57F40242"/>
    <w:rsid w:val="57F71ADE"/>
    <w:rsid w:val="57FA0B74"/>
    <w:rsid w:val="57FA6744"/>
    <w:rsid w:val="57FC464F"/>
    <w:rsid w:val="57FF6141"/>
    <w:rsid w:val="58003366"/>
    <w:rsid w:val="58044C05"/>
    <w:rsid w:val="580A7A11"/>
    <w:rsid w:val="580E128F"/>
    <w:rsid w:val="580E15DF"/>
    <w:rsid w:val="58156E12"/>
    <w:rsid w:val="58166AC0"/>
    <w:rsid w:val="5818247E"/>
    <w:rsid w:val="58235398"/>
    <w:rsid w:val="58241D08"/>
    <w:rsid w:val="582B597E"/>
    <w:rsid w:val="582D7032"/>
    <w:rsid w:val="582D7895"/>
    <w:rsid w:val="583739B5"/>
    <w:rsid w:val="5838686A"/>
    <w:rsid w:val="58387BD0"/>
    <w:rsid w:val="5847689F"/>
    <w:rsid w:val="584A4847"/>
    <w:rsid w:val="585103FF"/>
    <w:rsid w:val="5853426A"/>
    <w:rsid w:val="585A59D2"/>
    <w:rsid w:val="585F15F3"/>
    <w:rsid w:val="585F5B34"/>
    <w:rsid w:val="5860595E"/>
    <w:rsid w:val="58631D69"/>
    <w:rsid w:val="58670CBD"/>
    <w:rsid w:val="58697B56"/>
    <w:rsid w:val="586D2C11"/>
    <w:rsid w:val="586D4973"/>
    <w:rsid w:val="58702C0E"/>
    <w:rsid w:val="58744A0E"/>
    <w:rsid w:val="5875165E"/>
    <w:rsid w:val="5876278B"/>
    <w:rsid w:val="587826BC"/>
    <w:rsid w:val="58782B1F"/>
    <w:rsid w:val="587F665A"/>
    <w:rsid w:val="58805EFE"/>
    <w:rsid w:val="588339DF"/>
    <w:rsid w:val="58836DD9"/>
    <w:rsid w:val="58853B81"/>
    <w:rsid w:val="588673C8"/>
    <w:rsid w:val="58894087"/>
    <w:rsid w:val="588B00E9"/>
    <w:rsid w:val="588E1C22"/>
    <w:rsid w:val="589478CB"/>
    <w:rsid w:val="5898534D"/>
    <w:rsid w:val="589F3C84"/>
    <w:rsid w:val="58AA0600"/>
    <w:rsid w:val="58AB4D86"/>
    <w:rsid w:val="58AE2DC2"/>
    <w:rsid w:val="58B06791"/>
    <w:rsid w:val="58B637D8"/>
    <w:rsid w:val="58B63D67"/>
    <w:rsid w:val="58BB2652"/>
    <w:rsid w:val="58BE6386"/>
    <w:rsid w:val="58C23A6A"/>
    <w:rsid w:val="58C86222"/>
    <w:rsid w:val="58C919AA"/>
    <w:rsid w:val="58CD74BB"/>
    <w:rsid w:val="58CE568E"/>
    <w:rsid w:val="58D24AEB"/>
    <w:rsid w:val="58D26653"/>
    <w:rsid w:val="58D34D55"/>
    <w:rsid w:val="58D36385"/>
    <w:rsid w:val="58D452F6"/>
    <w:rsid w:val="58E223C6"/>
    <w:rsid w:val="58EB1921"/>
    <w:rsid w:val="58ED4252"/>
    <w:rsid w:val="58F212C5"/>
    <w:rsid w:val="58F307D5"/>
    <w:rsid w:val="58F76517"/>
    <w:rsid w:val="58FB38CF"/>
    <w:rsid w:val="58FF5E4F"/>
    <w:rsid w:val="59023463"/>
    <w:rsid w:val="590346FC"/>
    <w:rsid w:val="5909619A"/>
    <w:rsid w:val="590A6953"/>
    <w:rsid w:val="590F5BCC"/>
    <w:rsid w:val="59115B8C"/>
    <w:rsid w:val="59125D2F"/>
    <w:rsid w:val="59155255"/>
    <w:rsid w:val="5917205A"/>
    <w:rsid w:val="59254E33"/>
    <w:rsid w:val="59280156"/>
    <w:rsid w:val="592E6F15"/>
    <w:rsid w:val="59314CE0"/>
    <w:rsid w:val="59337F05"/>
    <w:rsid w:val="593E7CA2"/>
    <w:rsid w:val="59416474"/>
    <w:rsid w:val="594322F7"/>
    <w:rsid w:val="59441B39"/>
    <w:rsid w:val="594C6533"/>
    <w:rsid w:val="59540A82"/>
    <w:rsid w:val="595C3776"/>
    <w:rsid w:val="595E4311"/>
    <w:rsid w:val="595F3012"/>
    <w:rsid w:val="596036DE"/>
    <w:rsid w:val="59604B07"/>
    <w:rsid w:val="5968037D"/>
    <w:rsid w:val="596A6FBA"/>
    <w:rsid w:val="596E0913"/>
    <w:rsid w:val="59722A1A"/>
    <w:rsid w:val="59773778"/>
    <w:rsid w:val="597C4DF1"/>
    <w:rsid w:val="597F4775"/>
    <w:rsid w:val="59831D13"/>
    <w:rsid w:val="59851E84"/>
    <w:rsid w:val="599058AA"/>
    <w:rsid w:val="5991155F"/>
    <w:rsid w:val="59934492"/>
    <w:rsid w:val="599C7441"/>
    <w:rsid w:val="59A267E6"/>
    <w:rsid w:val="59A33FA9"/>
    <w:rsid w:val="59A64B68"/>
    <w:rsid w:val="59AC2452"/>
    <w:rsid w:val="59AC35A8"/>
    <w:rsid w:val="59AE47FC"/>
    <w:rsid w:val="59AF0BA0"/>
    <w:rsid w:val="59B04CD4"/>
    <w:rsid w:val="59B1487E"/>
    <w:rsid w:val="59B23BE9"/>
    <w:rsid w:val="59B35767"/>
    <w:rsid w:val="59B61673"/>
    <w:rsid w:val="59B917C8"/>
    <w:rsid w:val="59BE0422"/>
    <w:rsid w:val="59CB7368"/>
    <w:rsid w:val="59D2663D"/>
    <w:rsid w:val="59D41764"/>
    <w:rsid w:val="59D46859"/>
    <w:rsid w:val="59D6688E"/>
    <w:rsid w:val="59DA0B5B"/>
    <w:rsid w:val="59DD1E96"/>
    <w:rsid w:val="59DE58BA"/>
    <w:rsid w:val="59DE7D34"/>
    <w:rsid w:val="59DF4858"/>
    <w:rsid w:val="59E0732E"/>
    <w:rsid w:val="59E34A31"/>
    <w:rsid w:val="59E3559C"/>
    <w:rsid w:val="59E43DD7"/>
    <w:rsid w:val="59EA1BD8"/>
    <w:rsid w:val="59EA46A2"/>
    <w:rsid w:val="59EF5441"/>
    <w:rsid w:val="59F11185"/>
    <w:rsid w:val="59F33DAE"/>
    <w:rsid w:val="59F42A57"/>
    <w:rsid w:val="59F835EF"/>
    <w:rsid w:val="59F853D4"/>
    <w:rsid w:val="5A046FEF"/>
    <w:rsid w:val="5A0636D9"/>
    <w:rsid w:val="5A14472D"/>
    <w:rsid w:val="5A25573D"/>
    <w:rsid w:val="5A2A3494"/>
    <w:rsid w:val="5A3217BE"/>
    <w:rsid w:val="5A355A42"/>
    <w:rsid w:val="5A371141"/>
    <w:rsid w:val="5A3E4B50"/>
    <w:rsid w:val="5A405C9C"/>
    <w:rsid w:val="5A442A19"/>
    <w:rsid w:val="5A4849C4"/>
    <w:rsid w:val="5A4A4842"/>
    <w:rsid w:val="5A5309E7"/>
    <w:rsid w:val="5A567361"/>
    <w:rsid w:val="5A581238"/>
    <w:rsid w:val="5A596830"/>
    <w:rsid w:val="5A5E5F1C"/>
    <w:rsid w:val="5A5F23B8"/>
    <w:rsid w:val="5A66760C"/>
    <w:rsid w:val="5A6848BA"/>
    <w:rsid w:val="5A6E09AD"/>
    <w:rsid w:val="5A6E67D2"/>
    <w:rsid w:val="5A723A6C"/>
    <w:rsid w:val="5A725981"/>
    <w:rsid w:val="5A7616BE"/>
    <w:rsid w:val="5A773681"/>
    <w:rsid w:val="5A7867C4"/>
    <w:rsid w:val="5A7A4896"/>
    <w:rsid w:val="5A7A4BBD"/>
    <w:rsid w:val="5A813B97"/>
    <w:rsid w:val="5A8261CF"/>
    <w:rsid w:val="5A87708F"/>
    <w:rsid w:val="5A916676"/>
    <w:rsid w:val="5A9B1291"/>
    <w:rsid w:val="5A9F1534"/>
    <w:rsid w:val="5AA25BD7"/>
    <w:rsid w:val="5AAB1367"/>
    <w:rsid w:val="5ABC17C7"/>
    <w:rsid w:val="5AC35F42"/>
    <w:rsid w:val="5ACC43D8"/>
    <w:rsid w:val="5ACC6A69"/>
    <w:rsid w:val="5AD0629E"/>
    <w:rsid w:val="5AD07755"/>
    <w:rsid w:val="5AD22D98"/>
    <w:rsid w:val="5AD43F27"/>
    <w:rsid w:val="5ADB47F1"/>
    <w:rsid w:val="5AE16C96"/>
    <w:rsid w:val="5AE32557"/>
    <w:rsid w:val="5AE36FCC"/>
    <w:rsid w:val="5AE626AB"/>
    <w:rsid w:val="5AEC4976"/>
    <w:rsid w:val="5AEE74A6"/>
    <w:rsid w:val="5AF02FC1"/>
    <w:rsid w:val="5AF74604"/>
    <w:rsid w:val="5AF820D3"/>
    <w:rsid w:val="5AFA22EF"/>
    <w:rsid w:val="5AFA409D"/>
    <w:rsid w:val="5AFB59AC"/>
    <w:rsid w:val="5AFD6DE7"/>
    <w:rsid w:val="5B01367D"/>
    <w:rsid w:val="5B053207"/>
    <w:rsid w:val="5B053F13"/>
    <w:rsid w:val="5B065A13"/>
    <w:rsid w:val="5B0E659F"/>
    <w:rsid w:val="5B1556C1"/>
    <w:rsid w:val="5B155C32"/>
    <w:rsid w:val="5B2566CB"/>
    <w:rsid w:val="5B277C2F"/>
    <w:rsid w:val="5B281508"/>
    <w:rsid w:val="5B2C249B"/>
    <w:rsid w:val="5B303F63"/>
    <w:rsid w:val="5B317840"/>
    <w:rsid w:val="5B394BC5"/>
    <w:rsid w:val="5B395011"/>
    <w:rsid w:val="5B3B5668"/>
    <w:rsid w:val="5B3C46B5"/>
    <w:rsid w:val="5B435A44"/>
    <w:rsid w:val="5B445318"/>
    <w:rsid w:val="5B465608"/>
    <w:rsid w:val="5B4D68C3"/>
    <w:rsid w:val="5B4D6AD9"/>
    <w:rsid w:val="5B4E4355"/>
    <w:rsid w:val="5B52777B"/>
    <w:rsid w:val="5B543D56"/>
    <w:rsid w:val="5B581BEA"/>
    <w:rsid w:val="5B6217B2"/>
    <w:rsid w:val="5B637E94"/>
    <w:rsid w:val="5B65278E"/>
    <w:rsid w:val="5B653C0C"/>
    <w:rsid w:val="5B654A77"/>
    <w:rsid w:val="5B67660B"/>
    <w:rsid w:val="5B696682"/>
    <w:rsid w:val="5B78073D"/>
    <w:rsid w:val="5B7F739B"/>
    <w:rsid w:val="5B8C0181"/>
    <w:rsid w:val="5B8F2A37"/>
    <w:rsid w:val="5B94004E"/>
    <w:rsid w:val="5B95797E"/>
    <w:rsid w:val="5B96526E"/>
    <w:rsid w:val="5B9A3887"/>
    <w:rsid w:val="5B9C40ED"/>
    <w:rsid w:val="5BA26C0E"/>
    <w:rsid w:val="5BA3311D"/>
    <w:rsid w:val="5BA37293"/>
    <w:rsid w:val="5BA40E6C"/>
    <w:rsid w:val="5BA571BE"/>
    <w:rsid w:val="5BAA3B4F"/>
    <w:rsid w:val="5BAA7871"/>
    <w:rsid w:val="5BAB7B51"/>
    <w:rsid w:val="5BAC159B"/>
    <w:rsid w:val="5BBB7333"/>
    <w:rsid w:val="5BBC41F3"/>
    <w:rsid w:val="5BBD0F2F"/>
    <w:rsid w:val="5BBE5005"/>
    <w:rsid w:val="5BC31E1A"/>
    <w:rsid w:val="5BC53DAB"/>
    <w:rsid w:val="5BC629D9"/>
    <w:rsid w:val="5BCE3498"/>
    <w:rsid w:val="5BCF3A86"/>
    <w:rsid w:val="5BD3328F"/>
    <w:rsid w:val="5BD70181"/>
    <w:rsid w:val="5BD7618C"/>
    <w:rsid w:val="5BDA7922"/>
    <w:rsid w:val="5BDB69CD"/>
    <w:rsid w:val="5BE87C97"/>
    <w:rsid w:val="5BED1520"/>
    <w:rsid w:val="5BF07D28"/>
    <w:rsid w:val="5BF316E9"/>
    <w:rsid w:val="5BF5681F"/>
    <w:rsid w:val="5BF64864"/>
    <w:rsid w:val="5BF86239"/>
    <w:rsid w:val="5BFB7401"/>
    <w:rsid w:val="5BFF057F"/>
    <w:rsid w:val="5C0E2FD3"/>
    <w:rsid w:val="5C0E4B6E"/>
    <w:rsid w:val="5C124D28"/>
    <w:rsid w:val="5C1679CD"/>
    <w:rsid w:val="5C177E5B"/>
    <w:rsid w:val="5C1B1B94"/>
    <w:rsid w:val="5C1F3527"/>
    <w:rsid w:val="5C2018E1"/>
    <w:rsid w:val="5C2C37DA"/>
    <w:rsid w:val="5C32279D"/>
    <w:rsid w:val="5C3358B2"/>
    <w:rsid w:val="5C3B29E3"/>
    <w:rsid w:val="5C3D06E5"/>
    <w:rsid w:val="5C3E2097"/>
    <w:rsid w:val="5C444E7B"/>
    <w:rsid w:val="5C444FF2"/>
    <w:rsid w:val="5C463B15"/>
    <w:rsid w:val="5C4966FE"/>
    <w:rsid w:val="5C4F5070"/>
    <w:rsid w:val="5C513ACA"/>
    <w:rsid w:val="5C521C6E"/>
    <w:rsid w:val="5C607531"/>
    <w:rsid w:val="5C623483"/>
    <w:rsid w:val="5C652343"/>
    <w:rsid w:val="5C6735EF"/>
    <w:rsid w:val="5C690683"/>
    <w:rsid w:val="5C694B82"/>
    <w:rsid w:val="5C6A0DAE"/>
    <w:rsid w:val="5C6A2AA7"/>
    <w:rsid w:val="5C6E3644"/>
    <w:rsid w:val="5C717607"/>
    <w:rsid w:val="5C782948"/>
    <w:rsid w:val="5C7A5495"/>
    <w:rsid w:val="5C7D1B80"/>
    <w:rsid w:val="5C807676"/>
    <w:rsid w:val="5C810CC2"/>
    <w:rsid w:val="5C8747D9"/>
    <w:rsid w:val="5C882036"/>
    <w:rsid w:val="5C894B1F"/>
    <w:rsid w:val="5C8978B5"/>
    <w:rsid w:val="5C8A6E98"/>
    <w:rsid w:val="5C8C6F77"/>
    <w:rsid w:val="5C8E01AF"/>
    <w:rsid w:val="5C910F58"/>
    <w:rsid w:val="5C9415AB"/>
    <w:rsid w:val="5C985D94"/>
    <w:rsid w:val="5C9B029A"/>
    <w:rsid w:val="5C9F4BDD"/>
    <w:rsid w:val="5CA26790"/>
    <w:rsid w:val="5CA97CEB"/>
    <w:rsid w:val="5CA97FAE"/>
    <w:rsid w:val="5CAD7F25"/>
    <w:rsid w:val="5CAE1BCF"/>
    <w:rsid w:val="5CAF70CA"/>
    <w:rsid w:val="5CB33902"/>
    <w:rsid w:val="5CB94EF7"/>
    <w:rsid w:val="5CBB414F"/>
    <w:rsid w:val="5CC27D03"/>
    <w:rsid w:val="5CC81957"/>
    <w:rsid w:val="5CCA2FF6"/>
    <w:rsid w:val="5CD252D1"/>
    <w:rsid w:val="5CD352E2"/>
    <w:rsid w:val="5CD54DC2"/>
    <w:rsid w:val="5CD7626E"/>
    <w:rsid w:val="5CD83CBB"/>
    <w:rsid w:val="5CDA5F34"/>
    <w:rsid w:val="5CDF0065"/>
    <w:rsid w:val="5CE62B2B"/>
    <w:rsid w:val="5CE768A3"/>
    <w:rsid w:val="5CED1574"/>
    <w:rsid w:val="5CED23FB"/>
    <w:rsid w:val="5CF01BC1"/>
    <w:rsid w:val="5CF43966"/>
    <w:rsid w:val="5CF50FC0"/>
    <w:rsid w:val="5CF512F3"/>
    <w:rsid w:val="5CF6439C"/>
    <w:rsid w:val="5CFE50D3"/>
    <w:rsid w:val="5CFF1469"/>
    <w:rsid w:val="5D011590"/>
    <w:rsid w:val="5D0D7894"/>
    <w:rsid w:val="5D0E019D"/>
    <w:rsid w:val="5D0E7F5F"/>
    <w:rsid w:val="5D166EEF"/>
    <w:rsid w:val="5D181567"/>
    <w:rsid w:val="5D1D16E7"/>
    <w:rsid w:val="5D1D37D0"/>
    <w:rsid w:val="5D1D7145"/>
    <w:rsid w:val="5D1E5F6D"/>
    <w:rsid w:val="5D1F35C7"/>
    <w:rsid w:val="5D210F2B"/>
    <w:rsid w:val="5D24449D"/>
    <w:rsid w:val="5D2B0B74"/>
    <w:rsid w:val="5D2B666E"/>
    <w:rsid w:val="5D2C60D6"/>
    <w:rsid w:val="5D2E313B"/>
    <w:rsid w:val="5D326D06"/>
    <w:rsid w:val="5D341939"/>
    <w:rsid w:val="5D3A45DC"/>
    <w:rsid w:val="5D3F09B0"/>
    <w:rsid w:val="5D437F7D"/>
    <w:rsid w:val="5D473910"/>
    <w:rsid w:val="5D4923AC"/>
    <w:rsid w:val="5D4A130C"/>
    <w:rsid w:val="5D4D2BAA"/>
    <w:rsid w:val="5D525A97"/>
    <w:rsid w:val="5D5332D4"/>
    <w:rsid w:val="5D561157"/>
    <w:rsid w:val="5D5615B0"/>
    <w:rsid w:val="5D58725D"/>
    <w:rsid w:val="5D592B4B"/>
    <w:rsid w:val="5D5B27E9"/>
    <w:rsid w:val="5D5B2F38"/>
    <w:rsid w:val="5D61701D"/>
    <w:rsid w:val="5D6240A1"/>
    <w:rsid w:val="5D63484D"/>
    <w:rsid w:val="5D6C0F42"/>
    <w:rsid w:val="5D6D77A8"/>
    <w:rsid w:val="5D6F06E0"/>
    <w:rsid w:val="5D7243BE"/>
    <w:rsid w:val="5D7347BD"/>
    <w:rsid w:val="5D755C5D"/>
    <w:rsid w:val="5D783EF0"/>
    <w:rsid w:val="5D793361"/>
    <w:rsid w:val="5D7D43A1"/>
    <w:rsid w:val="5D7E281F"/>
    <w:rsid w:val="5D7F510E"/>
    <w:rsid w:val="5D893F27"/>
    <w:rsid w:val="5D8D3FF2"/>
    <w:rsid w:val="5D91598A"/>
    <w:rsid w:val="5D9163F4"/>
    <w:rsid w:val="5D9F61DE"/>
    <w:rsid w:val="5DA008B7"/>
    <w:rsid w:val="5DA6050C"/>
    <w:rsid w:val="5DA75E4A"/>
    <w:rsid w:val="5DB547BE"/>
    <w:rsid w:val="5DB9478D"/>
    <w:rsid w:val="5DBA671E"/>
    <w:rsid w:val="5DBC065C"/>
    <w:rsid w:val="5DBD1FBA"/>
    <w:rsid w:val="5DBD5728"/>
    <w:rsid w:val="5DBE4122"/>
    <w:rsid w:val="5DC01181"/>
    <w:rsid w:val="5DC750CC"/>
    <w:rsid w:val="5DC9342B"/>
    <w:rsid w:val="5DD45079"/>
    <w:rsid w:val="5DD81DE2"/>
    <w:rsid w:val="5DD9443E"/>
    <w:rsid w:val="5DDB5CDA"/>
    <w:rsid w:val="5DDE6600"/>
    <w:rsid w:val="5DE22614"/>
    <w:rsid w:val="5DE22675"/>
    <w:rsid w:val="5DE75D83"/>
    <w:rsid w:val="5DE864D6"/>
    <w:rsid w:val="5DF157B8"/>
    <w:rsid w:val="5DF250F6"/>
    <w:rsid w:val="5DF422DA"/>
    <w:rsid w:val="5DF47470"/>
    <w:rsid w:val="5E021711"/>
    <w:rsid w:val="5E034920"/>
    <w:rsid w:val="5E050FFF"/>
    <w:rsid w:val="5E0769F9"/>
    <w:rsid w:val="5E0F0C87"/>
    <w:rsid w:val="5E1249F9"/>
    <w:rsid w:val="5E145476"/>
    <w:rsid w:val="5E203130"/>
    <w:rsid w:val="5E2155A8"/>
    <w:rsid w:val="5E22740B"/>
    <w:rsid w:val="5E267051"/>
    <w:rsid w:val="5E2A4465"/>
    <w:rsid w:val="5E2B7E24"/>
    <w:rsid w:val="5E3E2C11"/>
    <w:rsid w:val="5E406CFA"/>
    <w:rsid w:val="5E42491D"/>
    <w:rsid w:val="5E426D35"/>
    <w:rsid w:val="5E44620D"/>
    <w:rsid w:val="5E4C2E6C"/>
    <w:rsid w:val="5E4C4C10"/>
    <w:rsid w:val="5E507B79"/>
    <w:rsid w:val="5E546451"/>
    <w:rsid w:val="5E547F68"/>
    <w:rsid w:val="5E5A50B5"/>
    <w:rsid w:val="5E5A7849"/>
    <w:rsid w:val="5E5B5A4D"/>
    <w:rsid w:val="5E5D4DC9"/>
    <w:rsid w:val="5E5E1AD7"/>
    <w:rsid w:val="5E5F08ED"/>
    <w:rsid w:val="5E6368D5"/>
    <w:rsid w:val="5E660789"/>
    <w:rsid w:val="5E666DE6"/>
    <w:rsid w:val="5E6A1EB9"/>
    <w:rsid w:val="5E6B5C0B"/>
    <w:rsid w:val="5E6B5E80"/>
    <w:rsid w:val="5E6C2B97"/>
    <w:rsid w:val="5E7303BB"/>
    <w:rsid w:val="5E745F14"/>
    <w:rsid w:val="5E7561A4"/>
    <w:rsid w:val="5E7E0913"/>
    <w:rsid w:val="5E7E3BD3"/>
    <w:rsid w:val="5E816A86"/>
    <w:rsid w:val="5E846730"/>
    <w:rsid w:val="5E8545C5"/>
    <w:rsid w:val="5E912F6A"/>
    <w:rsid w:val="5E924316"/>
    <w:rsid w:val="5E9D5A01"/>
    <w:rsid w:val="5E9E7B51"/>
    <w:rsid w:val="5EA1457D"/>
    <w:rsid w:val="5EA22A81"/>
    <w:rsid w:val="5EA40C85"/>
    <w:rsid w:val="5EA42418"/>
    <w:rsid w:val="5EA6166B"/>
    <w:rsid w:val="5EA73138"/>
    <w:rsid w:val="5EA92062"/>
    <w:rsid w:val="5EAC0C27"/>
    <w:rsid w:val="5EB0358B"/>
    <w:rsid w:val="5EB153BA"/>
    <w:rsid w:val="5EB6428B"/>
    <w:rsid w:val="5EB81E46"/>
    <w:rsid w:val="5EBC49F9"/>
    <w:rsid w:val="5EBE04A4"/>
    <w:rsid w:val="5EC058ED"/>
    <w:rsid w:val="5EC151DD"/>
    <w:rsid w:val="5EC753A7"/>
    <w:rsid w:val="5EC944B2"/>
    <w:rsid w:val="5ECA144F"/>
    <w:rsid w:val="5ECA3A49"/>
    <w:rsid w:val="5ECE0F26"/>
    <w:rsid w:val="5ED31B50"/>
    <w:rsid w:val="5ED35331"/>
    <w:rsid w:val="5ED54C05"/>
    <w:rsid w:val="5EDD7115"/>
    <w:rsid w:val="5EDD776D"/>
    <w:rsid w:val="5EEB362E"/>
    <w:rsid w:val="5EEE5745"/>
    <w:rsid w:val="5EEE785E"/>
    <w:rsid w:val="5EEE7AFA"/>
    <w:rsid w:val="5EF013ED"/>
    <w:rsid w:val="5EF30C3D"/>
    <w:rsid w:val="5EF354AE"/>
    <w:rsid w:val="5EFC1A9B"/>
    <w:rsid w:val="5EFD4639"/>
    <w:rsid w:val="5EFE2F94"/>
    <w:rsid w:val="5EFE4565"/>
    <w:rsid w:val="5EFF4C2C"/>
    <w:rsid w:val="5F0254B9"/>
    <w:rsid w:val="5F096FA4"/>
    <w:rsid w:val="5F13323D"/>
    <w:rsid w:val="5F162EF3"/>
    <w:rsid w:val="5F1C780C"/>
    <w:rsid w:val="5F200D28"/>
    <w:rsid w:val="5F221238"/>
    <w:rsid w:val="5F2233F2"/>
    <w:rsid w:val="5F2D173A"/>
    <w:rsid w:val="5F30221B"/>
    <w:rsid w:val="5F325AE8"/>
    <w:rsid w:val="5F3902FF"/>
    <w:rsid w:val="5F3C4422"/>
    <w:rsid w:val="5F405D84"/>
    <w:rsid w:val="5F4104EC"/>
    <w:rsid w:val="5F43419A"/>
    <w:rsid w:val="5F486929"/>
    <w:rsid w:val="5F49114F"/>
    <w:rsid w:val="5F4E65AA"/>
    <w:rsid w:val="5F503D12"/>
    <w:rsid w:val="5F556624"/>
    <w:rsid w:val="5F584C79"/>
    <w:rsid w:val="5F597EB6"/>
    <w:rsid w:val="5F5C06A3"/>
    <w:rsid w:val="5F626EAC"/>
    <w:rsid w:val="5F645F89"/>
    <w:rsid w:val="5F696909"/>
    <w:rsid w:val="5F6A546E"/>
    <w:rsid w:val="5F6C4260"/>
    <w:rsid w:val="5F6E0BB6"/>
    <w:rsid w:val="5F72222B"/>
    <w:rsid w:val="5F755425"/>
    <w:rsid w:val="5F7B7639"/>
    <w:rsid w:val="5F7C7776"/>
    <w:rsid w:val="5F7F4F76"/>
    <w:rsid w:val="5F81668A"/>
    <w:rsid w:val="5F893412"/>
    <w:rsid w:val="5F8A07A5"/>
    <w:rsid w:val="5F8B5C0B"/>
    <w:rsid w:val="5F9477A7"/>
    <w:rsid w:val="5F964866"/>
    <w:rsid w:val="5F9E76ED"/>
    <w:rsid w:val="5FA40A7B"/>
    <w:rsid w:val="5FA53A88"/>
    <w:rsid w:val="5FA647F3"/>
    <w:rsid w:val="5FA7072F"/>
    <w:rsid w:val="5FA727A4"/>
    <w:rsid w:val="5FA72C14"/>
    <w:rsid w:val="5FA9302E"/>
    <w:rsid w:val="5FAB528E"/>
    <w:rsid w:val="5FAD0E56"/>
    <w:rsid w:val="5FAD4663"/>
    <w:rsid w:val="5FB13D93"/>
    <w:rsid w:val="5FB65039"/>
    <w:rsid w:val="5FBB4148"/>
    <w:rsid w:val="5FBB77A7"/>
    <w:rsid w:val="5FC01AAC"/>
    <w:rsid w:val="5FC133DB"/>
    <w:rsid w:val="5FC25337"/>
    <w:rsid w:val="5FC35307"/>
    <w:rsid w:val="5FC37153"/>
    <w:rsid w:val="5FC761B3"/>
    <w:rsid w:val="5FC83B63"/>
    <w:rsid w:val="5FD23FBB"/>
    <w:rsid w:val="5FD3249B"/>
    <w:rsid w:val="5FD86045"/>
    <w:rsid w:val="5FD921A5"/>
    <w:rsid w:val="5FDB542E"/>
    <w:rsid w:val="5FDD1A0A"/>
    <w:rsid w:val="5FE75BC2"/>
    <w:rsid w:val="5FED5F7E"/>
    <w:rsid w:val="5FEF4956"/>
    <w:rsid w:val="5FF1273C"/>
    <w:rsid w:val="5FF732A1"/>
    <w:rsid w:val="5FFC2452"/>
    <w:rsid w:val="600450C8"/>
    <w:rsid w:val="600E24AE"/>
    <w:rsid w:val="60105A02"/>
    <w:rsid w:val="60152280"/>
    <w:rsid w:val="601949E3"/>
    <w:rsid w:val="601E438A"/>
    <w:rsid w:val="60242390"/>
    <w:rsid w:val="60243E89"/>
    <w:rsid w:val="60244AC9"/>
    <w:rsid w:val="602500D5"/>
    <w:rsid w:val="6028628C"/>
    <w:rsid w:val="602D7489"/>
    <w:rsid w:val="603E7292"/>
    <w:rsid w:val="60506232"/>
    <w:rsid w:val="605678E9"/>
    <w:rsid w:val="605715EC"/>
    <w:rsid w:val="605B55DE"/>
    <w:rsid w:val="60681AA9"/>
    <w:rsid w:val="606850CE"/>
    <w:rsid w:val="606A79B9"/>
    <w:rsid w:val="606F50F7"/>
    <w:rsid w:val="607040E2"/>
    <w:rsid w:val="60713940"/>
    <w:rsid w:val="607623A2"/>
    <w:rsid w:val="607943C7"/>
    <w:rsid w:val="607B7DBE"/>
    <w:rsid w:val="607E6205"/>
    <w:rsid w:val="60822B6A"/>
    <w:rsid w:val="608D09A3"/>
    <w:rsid w:val="608E59B3"/>
    <w:rsid w:val="608F04AC"/>
    <w:rsid w:val="609554F2"/>
    <w:rsid w:val="6097480E"/>
    <w:rsid w:val="609801BD"/>
    <w:rsid w:val="60A25A93"/>
    <w:rsid w:val="60A916AA"/>
    <w:rsid w:val="60A97045"/>
    <w:rsid w:val="60AE5B69"/>
    <w:rsid w:val="60AF2EFF"/>
    <w:rsid w:val="60B46A9C"/>
    <w:rsid w:val="60BD3FEA"/>
    <w:rsid w:val="60C07B37"/>
    <w:rsid w:val="60C1363A"/>
    <w:rsid w:val="60C751E9"/>
    <w:rsid w:val="60CA6D42"/>
    <w:rsid w:val="60CC34DD"/>
    <w:rsid w:val="60CF5C87"/>
    <w:rsid w:val="60DB4B09"/>
    <w:rsid w:val="60DE03D8"/>
    <w:rsid w:val="60E05AE3"/>
    <w:rsid w:val="60E23B25"/>
    <w:rsid w:val="60E843F6"/>
    <w:rsid w:val="60E9351C"/>
    <w:rsid w:val="60EA5C04"/>
    <w:rsid w:val="60ED1036"/>
    <w:rsid w:val="60EE022C"/>
    <w:rsid w:val="60EE56F0"/>
    <w:rsid w:val="60F56E6E"/>
    <w:rsid w:val="60F877A4"/>
    <w:rsid w:val="60F9493A"/>
    <w:rsid w:val="60FD531F"/>
    <w:rsid w:val="610943C1"/>
    <w:rsid w:val="610E2EFC"/>
    <w:rsid w:val="610F2C71"/>
    <w:rsid w:val="61137C66"/>
    <w:rsid w:val="611B081C"/>
    <w:rsid w:val="611C05BC"/>
    <w:rsid w:val="611F485D"/>
    <w:rsid w:val="61232416"/>
    <w:rsid w:val="61254457"/>
    <w:rsid w:val="61283067"/>
    <w:rsid w:val="612E72BF"/>
    <w:rsid w:val="61306CAF"/>
    <w:rsid w:val="61327C83"/>
    <w:rsid w:val="61333C79"/>
    <w:rsid w:val="613B3244"/>
    <w:rsid w:val="614216C3"/>
    <w:rsid w:val="61463FF8"/>
    <w:rsid w:val="614672BB"/>
    <w:rsid w:val="61474489"/>
    <w:rsid w:val="61492E57"/>
    <w:rsid w:val="615338C8"/>
    <w:rsid w:val="61546AE3"/>
    <w:rsid w:val="61585AAB"/>
    <w:rsid w:val="615973C6"/>
    <w:rsid w:val="615A76D5"/>
    <w:rsid w:val="615D30CB"/>
    <w:rsid w:val="615E28CA"/>
    <w:rsid w:val="61691F7C"/>
    <w:rsid w:val="61823CF1"/>
    <w:rsid w:val="6183720C"/>
    <w:rsid w:val="61842AF1"/>
    <w:rsid w:val="618460F4"/>
    <w:rsid w:val="618741B1"/>
    <w:rsid w:val="6190184F"/>
    <w:rsid w:val="619204BD"/>
    <w:rsid w:val="61921D36"/>
    <w:rsid w:val="619265F3"/>
    <w:rsid w:val="619441B7"/>
    <w:rsid w:val="6194688D"/>
    <w:rsid w:val="619855C7"/>
    <w:rsid w:val="619D3B5B"/>
    <w:rsid w:val="619E1E39"/>
    <w:rsid w:val="61A20DF7"/>
    <w:rsid w:val="61A905CB"/>
    <w:rsid w:val="61AB4343"/>
    <w:rsid w:val="61B72E10"/>
    <w:rsid w:val="61BA1B17"/>
    <w:rsid w:val="61BA646B"/>
    <w:rsid w:val="61C30537"/>
    <w:rsid w:val="61C30877"/>
    <w:rsid w:val="61C65355"/>
    <w:rsid w:val="61C948A9"/>
    <w:rsid w:val="61CA2D41"/>
    <w:rsid w:val="61CE1800"/>
    <w:rsid w:val="61D63A87"/>
    <w:rsid w:val="61D770F3"/>
    <w:rsid w:val="61DC5404"/>
    <w:rsid w:val="61E712D3"/>
    <w:rsid w:val="61E745D1"/>
    <w:rsid w:val="61E82EA1"/>
    <w:rsid w:val="61E9406D"/>
    <w:rsid w:val="61E9651E"/>
    <w:rsid w:val="61EA7A30"/>
    <w:rsid w:val="61EF11AF"/>
    <w:rsid w:val="61F01A6F"/>
    <w:rsid w:val="61F17615"/>
    <w:rsid w:val="61F32A70"/>
    <w:rsid w:val="61F96BD2"/>
    <w:rsid w:val="61FB5C81"/>
    <w:rsid w:val="61FB7145"/>
    <w:rsid w:val="61FC6CBF"/>
    <w:rsid w:val="61FC7DC5"/>
    <w:rsid w:val="61FF41E7"/>
    <w:rsid w:val="620018B8"/>
    <w:rsid w:val="620677DC"/>
    <w:rsid w:val="6208467B"/>
    <w:rsid w:val="620F18A6"/>
    <w:rsid w:val="62105943"/>
    <w:rsid w:val="6214436F"/>
    <w:rsid w:val="62144B77"/>
    <w:rsid w:val="62154CB9"/>
    <w:rsid w:val="621A5C97"/>
    <w:rsid w:val="621F197A"/>
    <w:rsid w:val="621F6553"/>
    <w:rsid w:val="622163B3"/>
    <w:rsid w:val="62243F97"/>
    <w:rsid w:val="622521CD"/>
    <w:rsid w:val="62255EA3"/>
    <w:rsid w:val="622E1497"/>
    <w:rsid w:val="62347E94"/>
    <w:rsid w:val="62375ACB"/>
    <w:rsid w:val="624349F1"/>
    <w:rsid w:val="624502F4"/>
    <w:rsid w:val="62491EB6"/>
    <w:rsid w:val="625123D0"/>
    <w:rsid w:val="62540537"/>
    <w:rsid w:val="625B5AE3"/>
    <w:rsid w:val="625B5BA7"/>
    <w:rsid w:val="625B7000"/>
    <w:rsid w:val="625D0D0E"/>
    <w:rsid w:val="626159C8"/>
    <w:rsid w:val="62626625"/>
    <w:rsid w:val="62696A2F"/>
    <w:rsid w:val="626C33F2"/>
    <w:rsid w:val="626D33A6"/>
    <w:rsid w:val="62764951"/>
    <w:rsid w:val="627D7BB6"/>
    <w:rsid w:val="627E27CB"/>
    <w:rsid w:val="62833ABD"/>
    <w:rsid w:val="628B4A24"/>
    <w:rsid w:val="628E3F1C"/>
    <w:rsid w:val="62971C4C"/>
    <w:rsid w:val="629A2158"/>
    <w:rsid w:val="629E221F"/>
    <w:rsid w:val="629E60C1"/>
    <w:rsid w:val="62A0552A"/>
    <w:rsid w:val="62A3514D"/>
    <w:rsid w:val="62A53D68"/>
    <w:rsid w:val="62A7387F"/>
    <w:rsid w:val="62AD6936"/>
    <w:rsid w:val="62B504CB"/>
    <w:rsid w:val="62B81781"/>
    <w:rsid w:val="62B82A90"/>
    <w:rsid w:val="62B871CC"/>
    <w:rsid w:val="62B93698"/>
    <w:rsid w:val="62BA526A"/>
    <w:rsid w:val="62BF1C6A"/>
    <w:rsid w:val="62C31218"/>
    <w:rsid w:val="62C977D5"/>
    <w:rsid w:val="62CD30ED"/>
    <w:rsid w:val="62D43425"/>
    <w:rsid w:val="62D91B46"/>
    <w:rsid w:val="62DA19D3"/>
    <w:rsid w:val="62DD0CFA"/>
    <w:rsid w:val="62DE3973"/>
    <w:rsid w:val="62E01DCA"/>
    <w:rsid w:val="62E30E6B"/>
    <w:rsid w:val="62E36FF2"/>
    <w:rsid w:val="62E41AC7"/>
    <w:rsid w:val="62E464F8"/>
    <w:rsid w:val="62F12229"/>
    <w:rsid w:val="62F77FEB"/>
    <w:rsid w:val="62F87A82"/>
    <w:rsid w:val="62F91E11"/>
    <w:rsid w:val="62FC2D9D"/>
    <w:rsid w:val="62FE7B4D"/>
    <w:rsid w:val="62FF538B"/>
    <w:rsid w:val="62FF7219"/>
    <w:rsid w:val="6302785C"/>
    <w:rsid w:val="63086EDE"/>
    <w:rsid w:val="630B1766"/>
    <w:rsid w:val="630C03AE"/>
    <w:rsid w:val="630C0BB2"/>
    <w:rsid w:val="630E2DDB"/>
    <w:rsid w:val="630E707F"/>
    <w:rsid w:val="63127637"/>
    <w:rsid w:val="63135FF9"/>
    <w:rsid w:val="631416F0"/>
    <w:rsid w:val="63160A8F"/>
    <w:rsid w:val="63177F61"/>
    <w:rsid w:val="6318293D"/>
    <w:rsid w:val="63253C81"/>
    <w:rsid w:val="63283739"/>
    <w:rsid w:val="63292866"/>
    <w:rsid w:val="63297034"/>
    <w:rsid w:val="632A3014"/>
    <w:rsid w:val="632D01D9"/>
    <w:rsid w:val="63300C0A"/>
    <w:rsid w:val="633109AD"/>
    <w:rsid w:val="6336714A"/>
    <w:rsid w:val="63422A85"/>
    <w:rsid w:val="63424C72"/>
    <w:rsid w:val="634265E1"/>
    <w:rsid w:val="6343533F"/>
    <w:rsid w:val="63451FBB"/>
    <w:rsid w:val="63452323"/>
    <w:rsid w:val="6345793A"/>
    <w:rsid w:val="63495BC1"/>
    <w:rsid w:val="634A2F00"/>
    <w:rsid w:val="634C3A18"/>
    <w:rsid w:val="63504EA2"/>
    <w:rsid w:val="63514A76"/>
    <w:rsid w:val="635476C0"/>
    <w:rsid w:val="635A00CE"/>
    <w:rsid w:val="63604CA7"/>
    <w:rsid w:val="63696264"/>
    <w:rsid w:val="63716A0B"/>
    <w:rsid w:val="63725A05"/>
    <w:rsid w:val="63750765"/>
    <w:rsid w:val="6377272F"/>
    <w:rsid w:val="637743A6"/>
    <w:rsid w:val="637D464D"/>
    <w:rsid w:val="637F05EA"/>
    <w:rsid w:val="63836F3A"/>
    <w:rsid w:val="638757A3"/>
    <w:rsid w:val="63877428"/>
    <w:rsid w:val="638921B0"/>
    <w:rsid w:val="63896195"/>
    <w:rsid w:val="638C3D00"/>
    <w:rsid w:val="638D2208"/>
    <w:rsid w:val="63901A42"/>
    <w:rsid w:val="639B3465"/>
    <w:rsid w:val="639B6C44"/>
    <w:rsid w:val="639C03E7"/>
    <w:rsid w:val="639C65CF"/>
    <w:rsid w:val="63A150AE"/>
    <w:rsid w:val="63A24D68"/>
    <w:rsid w:val="63AA777A"/>
    <w:rsid w:val="63AF4C6E"/>
    <w:rsid w:val="63B2005C"/>
    <w:rsid w:val="63B2498A"/>
    <w:rsid w:val="63B514A9"/>
    <w:rsid w:val="63B84C5E"/>
    <w:rsid w:val="63BB261C"/>
    <w:rsid w:val="63C1675F"/>
    <w:rsid w:val="63C235CC"/>
    <w:rsid w:val="63C81A6A"/>
    <w:rsid w:val="63CD333C"/>
    <w:rsid w:val="63CF2868"/>
    <w:rsid w:val="63D04A2A"/>
    <w:rsid w:val="63DA1AB9"/>
    <w:rsid w:val="63DD3261"/>
    <w:rsid w:val="63FA5506"/>
    <w:rsid w:val="63FC6D10"/>
    <w:rsid w:val="63FD7CB9"/>
    <w:rsid w:val="63FE54BF"/>
    <w:rsid w:val="640023A2"/>
    <w:rsid w:val="64045CD0"/>
    <w:rsid w:val="6408600D"/>
    <w:rsid w:val="640F70F9"/>
    <w:rsid w:val="641225D5"/>
    <w:rsid w:val="64124345"/>
    <w:rsid w:val="64131D55"/>
    <w:rsid w:val="641C0514"/>
    <w:rsid w:val="64206D62"/>
    <w:rsid w:val="64250941"/>
    <w:rsid w:val="642A3EBC"/>
    <w:rsid w:val="642D247D"/>
    <w:rsid w:val="64346A29"/>
    <w:rsid w:val="64354398"/>
    <w:rsid w:val="643763DF"/>
    <w:rsid w:val="643A375C"/>
    <w:rsid w:val="643B721E"/>
    <w:rsid w:val="64450794"/>
    <w:rsid w:val="644A4E58"/>
    <w:rsid w:val="644A7800"/>
    <w:rsid w:val="644A7E43"/>
    <w:rsid w:val="644B3221"/>
    <w:rsid w:val="644D348F"/>
    <w:rsid w:val="645E1831"/>
    <w:rsid w:val="64607A8E"/>
    <w:rsid w:val="64630F05"/>
    <w:rsid w:val="64654C7D"/>
    <w:rsid w:val="6472739A"/>
    <w:rsid w:val="64742C9B"/>
    <w:rsid w:val="647C3D75"/>
    <w:rsid w:val="647E7AED"/>
    <w:rsid w:val="64837FF4"/>
    <w:rsid w:val="64850E7B"/>
    <w:rsid w:val="648556EE"/>
    <w:rsid w:val="64882E14"/>
    <w:rsid w:val="64895975"/>
    <w:rsid w:val="649117D4"/>
    <w:rsid w:val="64911C73"/>
    <w:rsid w:val="64920D39"/>
    <w:rsid w:val="64921A25"/>
    <w:rsid w:val="64954FDC"/>
    <w:rsid w:val="64A3242D"/>
    <w:rsid w:val="64AD5C27"/>
    <w:rsid w:val="64BD5616"/>
    <w:rsid w:val="64C342E0"/>
    <w:rsid w:val="64C36D30"/>
    <w:rsid w:val="64C42DE2"/>
    <w:rsid w:val="64C532AC"/>
    <w:rsid w:val="64D30E2A"/>
    <w:rsid w:val="64D32382"/>
    <w:rsid w:val="64D340F2"/>
    <w:rsid w:val="64D36A1F"/>
    <w:rsid w:val="64D61089"/>
    <w:rsid w:val="64D73E5B"/>
    <w:rsid w:val="64DC3F47"/>
    <w:rsid w:val="64DE67DD"/>
    <w:rsid w:val="64DF50DF"/>
    <w:rsid w:val="64E04304"/>
    <w:rsid w:val="64E06589"/>
    <w:rsid w:val="64E4603C"/>
    <w:rsid w:val="64EA6F30"/>
    <w:rsid w:val="64ED21AF"/>
    <w:rsid w:val="64F04E39"/>
    <w:rsid w:val="64F6502D"/>
    <w:rsid w:val="64F824FD"/>
    <w:rsid w:val="64F92C6C"/>
    <w:rsid w:val="64FB4160"/>
    <w:rsid w:val="64FB4DDB"/>
    <w:rsid w:val="64FF2F25"/>
    <w:rsid w:val="650224CC"/>
    <w:rsid w:val="6502427A"/>
    <w:rsid w:val="65067046"/>
    <w:rsid w:val="650975F2"/>
    <w:rsid w:val="650D494C"/>
    <w:rsid w:val="650D5163"/>
    <w:rsid w:val="651144BD"/>
    <w:rsid w:val="65177C6A"/>
    <w:rsid w:val="65190A9D"/>
    <w:rsid w:val="651D7306"/>
    <w:rsid w:val="652A0E2D"/>
    <w:rsid w:val="652A7FF1"/>
    <w:rsid w:val="652F1234"/>
    <w:rsid w:val="652F2B95"/>
    <w:rsid w:val="653B153A"/>
    <w:rsid w:val="653D1DC6"/>
    <w:rsid w:val="653E09D7"/>
    <w:rsid w:val="65400FD9"/>
    <w:rsid w:val="654632C0"/>
    <w:rsid w:val="65472660"/>
    <w:rsid w:val="65556AA0"/>
    <w:rsid w:val="65585A0E"/>
    <w:rsid w:val="6562740E"/>
    <w:rsid w:val="657106DD"/>
    <w:rsid w:val="657131AE"/>
    <w:rsid w:val="65753905"/>
    <w:rsid w:val="65817895"/>
    <w:rsid w:val="658365C8"/>
    <w:rsid w:val="658604F8"/>
    <w:rsid w:val="658A45DF"/>
    <w:rsid w:val="658B65CF"/>
    <w:rsid w:val="658D448B"/>
    <w:rsid w:val="658E37A1"/>
    <w:rsid w:val="658F012B"/>
    <w:rsid w:val="65910B92"/>
    <w:rsid w:val="65945137"/>
    <w:rsid w:val="65976041"/>
    <w:rsid w:val="65992351"/>
    <w:rsid w:val="659A0956"/>
    <w:rsid w:val="659A3F93"/>
    <w:rsid w:val="659B68A3"/>
    <w:rsid w:val="65A82571"/>
    <w:rsid w:val="65A97DA2"/>
    <w:rsid w:val="65AC471B"/>
    <w:rsid w:val="65AD585B"/>
    <w:rsid w:val="65B01F28"/>
    <w:rsid w:val="65B16171"/>
    <w:rsid w:val="65B71172"/>
    <w:rsid w:val="65BA13EB"/>
    <w:rsid w:val="65BB1179"/>
    <w:rsid w:val="65C441FB"/>
    <w:rsid w:val="65C6174B"/>
    <w:rsid w:val="65C63B99"/>
    <w:rsid w:val="65CA2497"/>
    <w:rsid w:val="65D106B3"/>
    <w:rsid w:val="65D558B3"/>
    <w:rsid w:val="65D71009"/>
    <w:rsid w:val="65D844E6"/>
    <w:rsid w:val="65DA0D53"/>
    <w:rsid w:val="65DB20BD"/>
    <w:rsid w:val="65DB5BD1"/>
    <w:rsid w:val="65E30A33"/>
    <w:rsid w:val="65E7182B"/>
    <w:rsid w:val="65EB155A"/>
    <w:rsid w:val="65EC6687"/>
    <w:rsid w:val="65EF127F"/>
    <w:rsid w:val="65F11247"/>
    <w:rsid w:val="65F17205"/>
    <w:rsid w:val="65F22719"/>
    <w:rsid w:val="65F54FE3"/>
    <w:rsid w:val="65F833D4"/>
    <w:rsid w:val="66044022"/>
    <w:rsid w:val="66063C86"/>
    <w:rsid w:val="6608613C"/>
    <w:rsid w:val="660877C3"/>
    <w:rsid w:val="66097669"/>
    <w:rsid w:val="660A5ADC"/>
    <w:rsid w:val="660B6F7F"/>
    <w:rsid w:val="660D6D30"/>
    <w:rsid w:val="66116587"/>
    <w:rsid w:val="66236012"/>
    <w:rsid w:val="66256C7A"/>
    <w:rsid w:val="662969B8"/>
    <w:rsid w:val="662D2531"/>
    <w:rsid w:val="663445AC"/>
    <w:rsid w:val="663A7F30"/>
    <w:rsid w:val="663F1C29"/>
    <w:rsid w:val="66421BC2"/>
    <w:rsid w:val="664671E5"/>
    <w:rsid w:val="66480C1F"/>
    <w:rsid w:val="664B1836"/>
    <w:rsid w:val="664B6026"/>
    <w:rsid w:val="664D05E5"/>
    <w:rsid w:val="66582DEB"/>
    <w:rsid w:val="665B20F8"/>
    <w:rsid w:val="665C1A85"/>
    <w:rsid w:val="66643A26"/>
    <w:rsid w:val="66695BD0"/>
    <w:rsid w:val="66696AA0"/>
    <w:rsid w:val="666A2C5B"/>
    <w:rsid w:val="666E7AD5"/>
    <w:rsid w:val="667137B5"/>
    <w:rsid w:val="667945A1"/>
    <w:rsid w:val="66800934"/>
    <w:rsid w:val="66814B52"/>
    <w:rsid w:val="668316DC"/>
    <w:rsid w:val="66836230"/>
    <w:rsid w:val="668575F9"/>
    <w:rsid w:val="66872329"/>
    <w:rsid w:val="66874FD3"/>
    <w:rsid w:val="66877CD2"/>
    <w:rsid w:val="66890B2B"/>
    <w:rsid w:val="66896C33"/>
    <w:rsid w:val="668B43D9"/>
    <w:rsid w:val="668C3BF6"/>
    <w:rsid w:val="668F5BDC"/>
    <w:rsid w:val="668F5FE1"/>
    <w:rsid w:val="66923982"/>
    <w:rsid w:val="669A42A0"/>
    <w:rsid w:val="669A5F10"/>
    <w:rsid w:val="669B7A9B"/>
    <w:rsid w:val="669E764C"/>
    <w:rsid w:val="66A15D14"/>
    <w:rsid w:val="66A329D9"/>
    <w:rsid w:val="66AA276D"/>
    <w:rsid w:val="66AD46B9"/>
    <w:rsid w:val="66B5531C"/>
    <w:rsid w:val="66B7750D"/>
    <w:rsid w:val="66BB7D89"/>
    <w:rsid w:val="66C2220F"/>
    <w:rsid w:val="66C34C46"/>
    <w:rsid w:val="66C518FC"/>
    <w:rsid w:val="66CE571C"/>
    <w:rsid w:val="66CF4B4D"/>
    <w:rsid w:val="66CF7B59"/>
    <w:rsid w:val="66D41C46"/>
    <w:rsid w:val="66D76560"/>
    <w:rsid w:val="66D954AE"/>
    <w:rsid w:val="66DF46D5"/>
    <w:rsid w:val="66E57795"/>
    <w:rsid w:val="66E94582"/>
    <w:rsid w:val="66EC269E"/>
    <w:rsid w:val="66EE2D5E"/>
    <w:rsid w:val="66EF19E1"/>
    <w:rsid w:val="67010EDD"/>
    <w:rsid w:val="67036157"/>
    <w:rsid w:val="670A6088"/>
    <w:rsid w:val="670E0626"/>
    <w:rsid w:val="671013B3"/>
    <w:rsid w:val="67115D77"/>
    <w:rsid w:val="671B5AC7"/>
    <w:rsid w:val="672062A8"/>
    <w:rsid w:val="672229B1"/>
    <w:rsid w:val="67226359"/>
    <w:rsid w:val="67236729"/>
    <w:rsid w:val="67305C19"/>
    <w:rsid w:val="67315A6F"/>
    <w:rsid w:val="673446E7"/>
    <w:rsid w:val="67530BDC"/>
    <w:rsid w:val="67570CC0"/>
    <w:rsid w:val="67572ED6"/>
    <w:rsid w:val="67583441"/>
    <w:rsid w:val="675F1167"/>
    <w:rsid w:val="67684773"/>
    <w:rsid w:val="676C3C36"/>
    <w:rsid w:val="676D1835"/>
    <w:rsid w:val="67721AAE"/>
    <w:rsid w:val="677C0A0A"/>
    <w:rsid w:val="677E780A"/>
    <w:rsid w:val="677F6056"/>
    <w:rsid w:val="677F6491"/>
    <w:rsid w:val="6780592A"/>
    <w:rsid w:val="678150E8"/>
    <w:rsid w:val="67852189"/>
    <w:rsid w:val="67870ED6"/>
    <w:rsid w:val="678C0558"/>
    <w:rsid w:val="679715F1"/>
    <w:rsid w:val="67974298"/>
    <w:rsid w:val="679846E2"/>
    <w:rsid w:val="679D472E"/>
    <w:rsid w:val="67A11868"/>
    <w:rsid w:val="67A660B8"/>
    <w:rsid w:val="67A930D3"/>
    <w:rsid w:val="67AC4971"/>
    <w:rsid w:val="67AE644E"/>
    <w:rsid w:val="67AE693B"/>
    <w:rsid w:val="67AF24CF"/>
    <w:rsid w:val="67AF577C"/>
    <w:rsid w:val="67B32029"/>
    <w:rsid w:val="67B6653E"/>
    <w:rsid w:val="67B7301F"/>
    <w:rsid w:val="67B97443"/>
    <w:rsid w:val="67BC0504"/>
    <w:rsid w:val="67BD6B7E"/>
    <w:rsid w:val="67C1041C"/>
    <w:rsid w:val="67C30704"/>
    <w:rsid w:val="67C50C16"/>
    <w:rsid w:val="67C726B1"/>
    <w:rsid w:val="67CA2EA5"/>
    <w:rsid w:val="67CB3049"/>
    <w:rsid w:val="67CC35C6"/>
    <w:rsid w:val="67D11DF3"/>
    <w:rsid w:val="67D3642B"/>
    <w:rsid w:val="67D545CE"/>
    <w:rsid w:val="67DC55A7"/>
    <w:rsid w:val="67DD5A11"/>
    <w:rsid w:val="67E360A2"/>
    <w:rsid w:val="67E64F62"/>
    <w:rsid w:val="67E6674C"/>
    <w:rsid w:val="67E86E40"/>
    <w:rsid w:val="67F31A96"/>
    <w:rsid w:val="67F365D5"/>
    <w:rsid w:val="68034734"/>
    <w:rsid w:val="68067BF4"/>
    <w:rsid w:val="68072366"/>
    <w:rsid w:val="680742E2"/>
    <w:rsid w:val="680875AF"/>
    <w:rsid w:val="680A45D9"/>
    <w:rsid w:val="680D1544"/>
    <w:rsid w:val="68134643"/>
    <w:rsid w:val="68157FE3"/>
    <w:rsid w:val="681D1400"/>
    <w:rsid w:val="681F64E4"/>
    <w:rsid w:val="68231685"/>
    <w:rsid w:val="6828449B"/>
    <w:rsid w:val="682B2E02"/>
    <w:rsid w:val="682B33FB"/>
    <w:rsid w:val="682E6FCB"/>
    <w:rsid w:val="68336E40"/>
    <w:rsid w:val="683577E4"/>
    <w:rsid w:val="6837536D"/>
    <w:rsid w:val="683944C5"/>
    <w:rsid w:val="683F4D79"/>
    <w:rsid w:val="68423572"/>
    <w:rsid w:val="68523197"/>
    <w:rsid w:val="68534455"/>
    <w:rsid w:val="685B44DE"/>
    <w:rsid w:val="686236C1"/>
    <w:rsid w:val="68632AD8"/>
    <w:rsid w:val="6867161D"/>
    <w:rsid w:val="68692862"/>
    <w:rsid w:val="687A05E0"/>
    <w:rsid w:val="687A0F54"/>
    <w:rsid w:val="687A681D"/>
    <w:rsid w:val="68830B2C"/>
    <w:rsid w:val="68857508"/>
    <w:rsid w:val="688601F0"/>
    <w:rsid w:val="688663CC"/>
    <w:rsid w:val="68867F48"/>
    <w:rsid w:val="68925E85"/>
    <w:rsid w:val="689773CF"/>
    <w:rsid w:val="689D73CB"/>
    <w:rsid w:val="68A74F49"/>
    <w:rsid w:val="68AC6EAC"/>
    <w:rsid w:val="68B67474"/>
    <w:rsid w:val="68B7212D"/>
    <w:rsid w:val="68B735CD"/>
    <w:rsid w:val="68B7445D"/>
    <w:rsid w:val="68B775AA"/>
    <w:rsid w:val="68BA2AB7"/>
    <w:rsid w:val="68BB456E"/>
    <w:rsid w:val="68C17EF5"/>
    <w:rsid w:val="68C87588"/>
    <w:rsid w:val="68CD2DF1"/>
    <w:rsid w:val="68D3474A"/>
    <w:rsid w:val="68D864DD"/>
    <w:rsid w:val="68E419EA"/>
    <w:rsid w:val="68E478C2"/>
    <w:rsid w:val="68E54068"/>
    <w:rsid w:val="68E85E7D"/>
    <w:rsid w:val="68EF720B"/>
    <w:rsid w:val="68F22857"/>
    <w:rsid w:val="68F2364A"/>
    <w:rsid w:val="68F30F5F"/>
    <w:rsid w:val="68F62348"/>
    <w:rsid w:val="68F81453"/>
    <w:rsid w:val="68FA3E68"/>
    <w:rsid w:val="68FD5824"/>
    <w:rsid w:val="6901434E"/>
    <w:rsid w:val="69034A64"/>
    <w:rsid w:val="69053CD7"/>
    <w:rsid w:val="69054140"/>
    <w:rsid w:val="690A0689"/>
    <w:rsid w:val="690C74DA"/>
    <w:rsid w:val="690D7691"/>
    <w:rsid w:val="691042E5"/>
    <w:rsid w:val="69105B1C"/>
    <w:rsid w:val="69114669"/>
    <w:rsid w:val="691570C6"/>
    <w:rsid w:val="69160A83"/>
    <w:rsid w:val="6916109F"/>
    <w:rsid w:val="6918206D"/>
    <w:rsid w:val="691F747A"/>
    <w:rsid w:val="692064DD"/>
    <w:rsid w:val="692322D5"/>
    <w:rsid w:val="692953F3"/>
    <w:rsid w:val="69295D34"/>
    <w:rsid w:val="692E4657"/>
    <w:rsid w:val="6939386F"/>
    <w:rsid w:val="693B0709"/>
    <w:rsid w:val="693B1DEE"/>
    <w:rsid w:val="693B4980"/>
    <w:rsid w:val="69410D7A"/>
    <w:rsid w:val="69421C6B"/>
    <w:rsid w:val="694310E6"/>
    <w:rsid w:val="69453D1D"/>
    <w:rsid w:val="6949336F"/>
    <w:rsid w:val="694F0D1F"/>
    <w:rsid w:val="69510527"/>
    <w:rsid w:val="69513CA6"/>
    <w:rsid w:val="6955725C"/>
    <w:rsid w:val="69557F8C"/>
    <w:rsid w:val="695E6C46"/>
    <w:rsid w:val="696372B1"/>
    <w:rsid w:val="69650D50"/>
    <w:rsid w:val="69655D69"/>
    <w:rsid w:val="69661160"/>
    <w:rsid w:val="696A0DCB"/>
    <w:rsid w:val="696E791B"/>
    <w:rsid w:val="697464E7"/>
    <w:rsid w:val="6975387E"/>
    <w:rsid w:val="697B2551"/>
    <w:rsid w:val="697C03BA"/>
    <w:rsid w:val="697F4146"/>
    <w:rsid w:val="698111A4"/>
    <w:rsid w:val="69871B39"/>
    <w:rsid w:val="69882D82"/>
    <w:rsid w:val="698B53B6"/>
    <w:rsid w:val="698C7FCC"/>
    <w:rsid w:val="698E07D2"/>
    <w:rsid w:val="69902817"/>
    <w:rsid w:val="699351CC"/>
    <w:rsid w:val="69964EA3"/>
    <w:rsid w:val="699C3EFB"/>
    <w:rsid w:val="699D168F"/>
    <w:rsid w:val="69A11633"/>
    <w:rsid w:val="69A51678"/>
    <w:rsid w:val="69AC7382"/>
    <w:rsid w:val="69AF0748"/>
    <w:rsid w:val="69B45D85"/>
    <w:rsid w:val="69B95063"/>
    <w:rsid w:val="69BF5D9F"/>
    <w:rsid w:val="69C62E77"/>
    <w:rsid w:val="69C82D4F"/>
    <w:rsid w:val="69CB2EBB"/>
    <w:rsid w:val="69D0644D"/>
    <w:rsid w:val="69D27B37"/>
    <w:rsid w:val="69D361E5"/>
    <w:rsid w:val="69D97050"/>
    <w:rsid w:val="69DB10A9"/>
    <w:rsid w:val="69E17A1B"/>
    <w:rsid w:val="69E32665"/>
    <w:rsid w:val="69E678D6"/>
    <w:rsid w:val="69E7787C"/>
    <w:rsid w:val="69EA4F04"/>
    <w:rsid w:val="69EB31E9"/>
    <w:rsid w:val="69EB5F51"/>
    <w:rsid w:val="69EE1271"/>
    <w:rsid w:val="69EE452C"/>
    <w:rsid w:val="69F13FB7"/>
    <w:rsid w:val="69F74EDF"/>
    <w:rsid w:val="69F8383E"/>
    <w:rsid w:val="69FA0146"/>
    <w:rsid w:val="69FD0158"/>
    <w:rsid w:val="69FD3A6D"/>
    <w:rsid w:val="6A00492C"/>
    <w:rsid w:val="6A026090"/>
    <w:rsid w:val="6A050AF0"/>
    <w:rsid w:val="6A0803CD"/>
    <w:rsid w:val="6A0A38ED"/>
    <w:rsid w:val="6A0F4CCA"/>
    <w:rsid w:val="6A102F95"/>
    <w:rsid w:val="6A164270"/>
    <w:rsid w:val="6A18009C"/>
    <w:rsid w:val="6A1C407C"/>
    <w:rsid w:val="6A1C568B"/>
    <w:rsid w:val="6A235C8E"/>
    <w:rsid w:val="6A245309"/>
    <w:rsid w:val="6A2607F8"/>
    <w:rsid w:val="6A2671A4"/>
    <w:rsid w:val="6A281BE4"/>
    <w:rsid w:val="6A294057"/>
    <w:rsid w:val="6A2C7D31"/>
    <w:rsid w:val="6A2E78BF"/>
    <w:rsid w:val="6A325019"/>
    <w:rsid w:val="6A330664"/>
    <w:rsid w:val="6A3363EC"/>
    <w:rsid w:val="6A355AC5"/>
    <w:rsid w:val="6A366774"/>
    <w:rsid w:val="6A3749C6"/>
    <w:rsid w:val="6A38730C"/>
    <w:rsid w:val="6A391D37"/>
    <w:rsid w:val="6A403EE8"/>
    <w:rsid w:val="6A460D74"/>
    <w:rsid w:val="6A4B001B"/>
    <w:rsid w:val="6A4E6446"/>
    <w:rsid w:val="6A527E04"/>
    <w:rsid w:val="6A5B0927"/>
    <w:rsid w:val="6A5B1793"/>
    <w:rsid w:val="6A5C54B4"/>
    <w:rsid w:val="6A5D1F52"/>
    <w:rsid w:val="6A6F3730"/>
    <w:rsid w:val="6A714044"/>
    <w:rsid w:val="6A7161E3"/>
    <w:rsid w:val="6A7363E7"/>
    <w:rsid w:val="6A736FCA"/>
    <w:rsid w:val="6A786D98"/>
    <w:rsid w:val="6A7F496F"/>
    <w:rsid w:val="6A825B38"/>
    <w:rsid w:val="6A841BD5"/>
    <w:rsid w:val="6A895AE7"/>
    <w:rsid w:val="6A8A5866"/>
    <w:rsid w:val="6A8A7CA1"/>
    <w:rsid w:val="6A933BC6"/>
    <w:rsid w:val="6A942611"/>
    <w:rsid w:val="6A9669CD"/>
    <w:rsid w:val="6A966C20"/>
    <w:rsid w:val="6A987060"/>
    <w:rsid w:val="6A9E23A6"/>
    <w:rsid w:val="6AA4271C"/>
    <w:rsid w:val="6AA61B4B"/>
    <w:rsid w:val="6AA70BA4"/>
    <w:rsid w:val="6AA92291"/>
    <w:rsid w:val="6AB45418"/>
    <w:rsid w:val="6AB91AB1"/>
    <w:rsid w:val="6ABA600F"/>
    <w:rsid w:val="6AC124DF"/>
    <w:rsid w:val="6AC208FC"/>
    <w:rsid w:val="6AC20C0F"/>
    <w:rsid w:val="6AC303E0"/>
    <w:rsid w:val="6AC3179C"/>
    <w:rsid w:val="6AC67AF8"/>
    <w:rsid w:val="6ACE1620"/>
    <w:rsid w:val="6ACF6B36"/>
    <w:rsid w:val="6AD84FF5"/>
    <w:rsid w:val="6AD93334"/>
    <w:rsid w:val="6ADF63EA"/>
    <w:rsid w:val="6AE47C1D"/>
    <w:rsid w:val="6AEC1F70"/>
    <w:rsid w:val="6AEE6A90"/>
    <w:rsid w:val="6AF07804"/>
    <w:rsid w:val="6AF63F81"/>
    <w:rsid w:val="6AF84039"/>
    <w:rsid w:val="6AFA2377"/>
    <w:rsid w:val="6B080382"/>
    <w:rsid w:val="6B083A7A"/>
    <w:rsid w:val="6B097561"/>
    <w:rsid w:val="6B0A032C"/>
    <w:rsid w:val="6B0C6B34"/>
    <w:rsid w:val="6B120791"/>
    <w:rsid w:val="6B157256"/>
    <w:rsid w:val="6B195978"/>
    <w:rsid w:val="6B2249C3"/>
    <w:rsid w:val="6B232B8B"/>
    <w:rsid w:val="6B233199"/>
    <w:rsid w:val="6B233844"/>
    <w:rsid w:val="6B257FFF"/>
    <w:rsid w:val="6B2C766D"/>
    <w:rsid w:val="6B2F48D1"/>
    <w:rsid w:val="6B301415"/>
    <w:rsid w:val="6B31164E"/>
    <w:rsid w:val="6B3E3B32"/>
    <w:rsid w:val="6B424E0E"/>
    <w:rsid w:val="6B4A23C3"/>
    <w:rsid w:val="6B4B1A84"/>
    <w:rsid w:val="6B5266C5"/>
    <w:rsid w:val="6B5739FE"/>
    <w:rsid w:val="6B5B1045"/>
    <w:rsid w:val="6B604ED1"/>
    <w:rsid w:val="6B62131E"/>
    <w:rsid w:val="6B664CA0"/>
    <w:rsid w:val="6B690855"/>
    <w:rsid w:val="6B6B6FA3"/>
    <w:rsid w:val="6B6C069F"/>
    <w:rsid w:val="6B6E4702"/>
    <w:rsid w:val="6B722E86"/>
    <w:rsid w:val="6B75543F"/>
    <w:rsid w:val="6B7706D6"/>
    <w:rsid w:val="6B7730A4"/>
    <w:rsid w:val="6B78561A"/>
    <w:rsid w:val="6B7E60FC"/>
    <w:rsid w:val="6B8974A3"/>
    <w:rsid w:val="6B8A1616"/>
    <w:rsid w:val="6B9251A7"/>
    <w:rsid w:val="6B934EBA"/>
    <w:rsid w:val="6B9A6CE9"/>
    <w:rsid w:val="6B9F3DBA"/>
    <w:rsid w:val="6BA23FCB"/>
    <w:rsid w:val="6BB50B7E"/>
    <w:rsid w:val="6BB8647B"/>
    <w:rsid w:val="6BBA2F0D"/>
    <w:rsid w:val="6BBB568E"/>
    <w:rsid w:val="6BBB6E60"/>
    <w:rsid w:val="6BBD714D"/>
    <w:rsid w:val="6BBF2CB3"/>
    <w:rsid w:val="6BBF4026"/>
    <w:rsid w:val="6BC129BA"/>
    <w:rsid w:val="6BC15EBA"/>
    <w:rsid w:val="6BC47005"/>
    <w:rsid w:val="6BC5217C"/>
    <w:rsid w:val="6BC54253"/>
    <w:rsid w:val="6BC73B27"/>
    <w:rsid w:val="6BCA3017"/>
    <w:rsid w:val="6BD454A5"/>
    <w:rsid w:val="6BD75B61"/>
    <w:rsid w:val="6BD80588"/>
    <w:rsid w:val="6BDC461F"/>
    <w:rsid w:val="6BE2513C"/>
    <w:rsid w:val="6BE6558D"/>
    <w:rsid w:val="6BEB0B4D"/>
    <w:rsid w:val="6BEC358E"/>
    <w:rsid w:val="6BF029B4"/>
    <w:rsid w:val="6BF7181E"/>
    <w:rsid w:val="6BFE3E3E"/>
    <w:rsid w:val="6BFF6466"/>
    <w:rsid w:val="6C0528A2"/>
    <w:rsid w:val="6C06041D"/>
    <w:rsid w:val="6C061C4F"/>
    <w:rsid w:val="6C0943FA"/>
    <w:rsid w:val="6C0A4A08"/>
    <w:rsid w:val="6C0A7EB8"/>
    <w:rsid w:val="6C0E0220"/>
    <w:rsid w:val="6C121E0E"/>
    <w:rsid w:val="6C164B1E"/>
    <w:rsid w:val="6C171B87"/>
    <w:rsid w:val="6C1804FE"/>
    <w:rsid w:val="6C1A39A6"/>
    <w:rsid w:val="6C1A42F4"/>
    <w:rsid w:val="6C1E35FA"/>
    <w:rsid w:val="6C1F78E3"/>
    <w:rsid w:val="6C2705CB"/>
    <w:rsid w:val="6C2D691A"/>
    <w:rsid w:val="6C3573C7"/>
    <w:rsid w:val="6C3B1BAF"/>
    <w:rsid w:val="6C3C0FDC"/>
    <w:rsid w:val="6C3F0A8A"/>
    <w:rsid w:val="6C3F5D67"/>
    <w:rsid w:val="6C403B04"/>
    <w:rsid w:val="6C420406"/>
    <w:rsid w:val="6C450EA8"/>
    <w:rsid w:val="6C475812"/>
    <w:rsid w:val="6C4A0D46"/>
    <w:rsid w:val="6C4D5638"/>
    <w:rsid w:val="6C563A97"/>
    <w:rsid w:val="6C586E75"/>
    <w:rsid w:val="6C6252BF"/>
    <w:rsid w:val="6C656A94"/>
    <w:rsid w:val="6C666956"/>
    <w:rsid w:val="6C6A2BC9"/>
    <w:rsid w:val="6C727119"/>
    <w:rsid w:val="6C733FFE"/>
    <w:rsid w:val="6C744BD0"/>
    <w:rsid w:val="6C7527B6"/>
    <w:rsid w:val="6C762F92"/>
    <w:rsid w:val="6C7F2B18"/>
    <w:rsid w:val="6C823EF2"/>
    <w:rsid w:val="6C833443"/>
    <w:rsid w:val="6C834E1F"/>
    <w:rsid w:val="6C8729C8"/>
    <w:rsid w:val="6C880625"/>
    <w:rsid w:val="6C891725"/>
    <w:rsid w:val="6C8C237C"/>
    <w:rsid w:val="6C8C6B1F"/>
    <w:rsid w:val="6C927016"/>
    <w:rsid w:val="6C986E0E"/>
    <w:rsid w:val="6C9C6D62"/>
    <w:rsid w:val="6C9D39A2"/>
    <w:rsid w:val="6C9F655D"/>
    <w:rsid w:val="6CA10E42"/>
    <w:rsid w:val="6CA1547A"/>
    <w:rsid w:val="6CA4030D"/>
    <w:rsid w:val="6CB322FE"/>
    <w:rsid w:val="6CB5251A"/>
    <w:rsid w:val="6CB6261C"/>
    <w:rsid w:val="6CBA1BC6"/>
    <w:rsid w:val="6CBF0DF2"/>
    <w:rsid w:val="6CC03AE7"/>
    <w:rsid w:val="6CC123F2"/>
    <w:rsid w:val="6CCA79FB"/>
    <w:rsid w:val="6CD635FE"/>
    <w:rsid w:val="6CD87AF0"/>
    <w:rsid w:val="6CD95C70"/>
    <w:rsid w:val="6CD960AA"/>
    <w:rsid w:val="6CE10C19"/>
    <w:rsid w:val="6CE22F87"/>
    <w:rsid w:val="6CE32D94"/>
    <w:rsid w:val="6CE32F71"/>
    <w:rsid w:val="6CF20681"/>
    <w:rsid w:val="6CF21DB9"/>
    <w:rsid w:val="6CF30226"/>
    <w:rsid w:val="6CF50386"/>
    <w:rsid w:val="6CF87392"/>
    <w:rsid w:val="6CF97448"/>
    <w:rsid w:val="6CFF39B4"/>
    <w:rsid w:val="6D013BAC"/>
    <w:rsid w:val="6D0255CE"/>
    <w:rsid w:val="6D090F3B"/>
    <w:rsid w:val="6D0B7134"/>
    <w:rsid w:val="6D0E0A8F"/>
    <w:rsid w:val="6D1A135E"/>
    <w:rsid w:val="6D21370B"/>
    <w:rsid w:val="6D245A58"/>
    <w:rsid w:val="6D2B3E12"/>
    <w:rsid w:val="6D2B617E"/>
    <w:rsid w:val="6D2C4E06"/>
    <w:rsid w:val="6D2D5FFF"/>
    <w:rsid w:val="6D325947"/>
    <w:rsid w:val="6D3307AB"/>
    <w:rsid w:val="6D366E01"/>
    <w:rsid w:val="6D472F99"/>
    <w:rsid w:val="6D4A0948"/>
    <w:rsid w:val="6D4E6D7B"/>
    <w:rsid w:val="6D501002"/>
    <w:rsid w:val="6D516544"/>
    <w:rsid w:val="6D5253BD"/>
    <w:rsid w:val="6D5A6FFE"/>
    <w:rsid w:val="6D5C4DDC"/>
    <w:rsid w:val="6D5D6831"/>
    <w:rsid w:val="6D613333"/>
    <w:rsid w:val="6D64712A"/>
    <w:rsid w:val="6D6C2BC0"/>
    <w:rsid w:val="6D764863"/>
    <w:rsid w:val="6D782707"/>
    <w:rsid w:val="6D7E6D29"/>
    <w:rsid w:val="6D7F6087"/>
    <w:rsid w:val="6D834EFE"/>
    <w:rsid w:val="6D8617C0"/>
    <w:rsid w:val="6D861856"/>
    <w:rsid w:val="6D876FCE"/>
    <w:rsid w:val="6D887BC3"/>
    <w:rsid w:val="6D8E2216"/>
    <w:rsid w:val="6D965E42"/>
    <w:rsid w:val="6DA25965"/>
    <w:rsid w:val="6DA31352"/>
    <w:rsid w:val="6DA41FE6"/>
    <w:rsid w:val="6DA547E4"/>
    <w:rsid w:val="6DA54D31"/>
    <w:rsid w:val="6DA57FAB"/>
    <w:rsid w:val="6DA60BFE"/>
    <w:rsid w:val="6DA633DE"/>
    <w:rsid w:val="6DA700B4"/>
    <w:rsid w:val="6DA92377"/>
    <w:rsid w:val="6DAA4D41"/>
    <w:rsid w:val="6DAB0F2A"/>
    <w:rsid w:val="6DAC56CB"/>
    <w:rsid w:val="6DB371CF"/>
    <w:rsid w:val="6DB56CBE"/>
    <w:rsid w:val="6DBB590E"/>
    <w:rsid w:val="6DBD1686"/>
    <w:rsid w:val="6DBD67C7"/>
    <w:rsid w:val="6DBE0F5A"/>
    <w:rsid w:val="6DC35B49"/>
    <w:rsid w:val="6DCA450C"/>
    <w:rsid w:val="6DCE2FA4"/>
    <w:rsid w:val="6DCF4F15"/>
    <w:rsid w:val="6DD01F0A"/>
    <w:rsid w:val="6DD54198"/>
    <w:rsid w:val="6DD64324"/>
    <w:rsid w:val="6DD65A79"/>
    <w:rsid w:val="6DD72710"/>
    <w:rsid w:val="6DD9496A"/>
    <w:rsid w:val="6DDB2A3A"/>
    <w:rsid w:val="6DDB331C"/>
    <w:rsid w:val="6DDF0B43"/>
    <w:rsid w:val="6DE65EF4"/>
    <w:rsid w:val="6DE8487B"/>
    <w:rsid w:val="6DE867F5"/>
    <w:rsid w:val="6DFC2F1B"/>
    <w:rsid w:val="6DFF0FAF"/>
    <w:rsid w:val="6E035ACE"/>
    <w:rsid w:val="6E0537A7"/>
    <w:rsid w:val="6E0748EE"/>
    <w:rsid w:val="6E086DEA"/>
    <w:rsid w:val="6E0B27E6"/>
    <w:rsid w:val="6E0B6E0E"/>
    <w:rsid w:val="6E0B7225"/>
    <w:rsid w:val="6E0E39E0"/>
    <w:rsid w:val="6E13536D"/>
    <w:rsid w:val="6E1641D4"/>
    <w:rsid w:val="6E170CA6"/>
    <w:rsid w:val="6E180F43"/>
    <w:rsid w:val="6E197AE1"/>
    <w:rsid w:val="6E1F4DC9"/>
    <w:rsid w:val="6E2205E8"/>
    <w:rsid w:val="6E241705"/>
    <w:rsid w:val="6E296B67"/>
    <w:rsid w:val="6E2B7D74"/>
    <w:rsid w:val="6E315608"/>
    <w:rsid w:val="6E35354A"/>
    <w:rsid w:val="6E3C3466"/>
    <w:rsid w:val="6E415DE5"/>
    <w:rsid w:val="6E4C2DC7"/>
    <w:rsid w:val="6E4C7686"/>
    <w:rsid w:val="6E4D5DEF"/>
    <w:rsid w:val="6E4E692A"/>
    <w:rsid w:val="6E4F18D4"/>
    <w:rsid w:val="6E506E30"/>
    <w:rsid w:val="6E5343B3"/>
    <w:rsid w:val="6E541087"/>
    <w:rsid w:val="6E597819"/>
    <w:rsid w:val="6E5B0FB0"/>
    <w:rsid w:val="6E5C02B7"/>
    <w:rsid w:val="6E5D0773"/>
    <w:rsid w:val="6E6103C2"/>
    <w:rsid w:val="6E640903"/>
    <w:rsid w:val="6E686AB6"/>
    <w:rsid w:val="6E69536A"/>
    <w:rsid w:val="6E6B343E"/>
    <w:rsid w:val="6E6C1D26"/>
    <w:rsid w:val="6E702FB5"/>
    <w:rsid w:val="6E741518"/>
    <w:rsid w:val="6E753D0F"/>
    <w:rsid w:val="6E7F693B"/>
    <w:rsid w:val="6E827FA0"/>
    <w:rsid w:val="6E8570CF"/>
    <w:rsid w:val="6E8B4961"/>
    <w:rsid w:val="6E96319A"/>
    <w:rsid w:val="6E967BF2"/>
    <w:rsid w:val="6E9713BD"/>
    <w:rsid w:val="6E991CCE"/>
    <w:rsid w:val="6E9926E8"/>
    <w:rsid w:val="6E9A1F6F"/>
    <w:rsid w:val="6E9B2320"/>
    <w:rsid w:val="6E9C65BC"/>
    <w:rsid w:val="6EA42B99"/>
    <w:rsid w:val="6EA73E19"/>
    <w:rsid w:val="6EAB2242"/>
    <w:rsid w:val="6EB04D47"/>
    <w:rsid w:val="6EBA222C"/>
    <w:rsid w:val="6EBF668B"/>
    <w:rsid w:val="6EC078D0"/>
    <w:rsid w:val="6EC151A6"/>
    <w:rsid w:val="6EC2345A"/>
    <w:rsid w:val="6EC402E8"/>
    <w:rsid w:val="6ECC302C"/>
    <w:rsid w:val="6ECE0E06"/>
    <w:rsid w:val="6ED347E9"/>
    <w:rsid w:val="6ED44ED9"/>
    <w:rsid w:val="6ED542BA"/>
    <w:rsid w:val="6ED85527"/>
    <w:rsid w:val="6ED93D6A"/>
    <w:rsid w:val="6EDB0527"/>
    <w:rsid w:val="6EE85CE8"/>
    <w:rsid w:val="6EE96656"/>
    <w:rsid w:val="6EF0105B"/>
    <w:rsid w:val="6EF4024E"/>
    <w:rsid w:val="6EF73863"/>
    <w:rsid w:val="6EFA416B"/>
    <w:rsid w:val="6EFB32A0"/>
    <w:rsid w:val="6F0642DD"/>
    <w:rsid w:val="6F064FA0"/>
    <w:rsid w:val="6F072456"/>
    <w:rsid w:val="6F0D4682"/>
    <w:rsid w:val="6F144A06"/>
    <w:rsid w:val="6F193183"/>
    <w:rsid w:val="6F1D78C7"/>
    <w:rsid w:val="6F1E2B1B"/>
    <w:rsid w:val="6F2C5AA9"/>
    <w:rsid w:val="6F356193"/>
    <w:rsid w:val="6F377216"/>
    <w:rsid w:val="6F405BE3"/>
    <w:rsid w:val="6F46566D"/>
    <w:rsid w:val="6F4946E1"/>
    <w:rsid w:val="6F4E685C"/>
    <w:rsid w:val="6F536C3C"/>
    <w:rsid w:val="6F555203"/>
    <w:rsid w:val="6F5579D0"/>
    <w:rsid w:val="6F567D76"/>
    <w:rsid w:val="6F59240E"/>
    <w:rsid w:val="6F5A4CB2"/>
    <w:rsid w:val="6F602100"/>
    <w:rsid w:val="6F6535B7"/>
    <w:rsid w:val="6F6A75EB"/>
    <w:rsid w:val="6F6F6BD2"/>
    <w:rsid w:val="6F71097A"/>
    <w:rsid w:val="6F734A2B"/>
    <w:rsid w:val="6F74332D"/>
    <w:rsid w:val="6F753375"/>
    <w:rsid w:val="6F7860DF"/>
    <w:rsid w:val="6F7B35A7"/>
    <w:rsid w:val="6F7D2B5F"/>
    <w:rsid w:val="6F7E63E8"/>
    <w:rsid w:val="6F857F81"/>
    <w:rsid w:val="6F885848"/>
    <w:rsid w:val="6F8D3107"/>
    <w:rsid w:val="6F8D5088"/>
    <w:rsid w:val="6F8D5191"/>
    <w:rsid w:val="6F912DCA"/>
    <w:rsid w:val="6F954CB0"/>
    <w:rsid w:val="6F9F682E"/>
    <w:rsid w:val="6FA2716A"/>
    <w:rsid w:val="6FA665A6"/>
    <w:rsid w:val="6FA80882"/>
    <w:rsid w:val="6FAC38DA"/>
    <w:rsid w:val="6FAE27DE"/>
    <w:rsid w:val="6FAF5E0E"/>
    <w:rsid w:val="6FB17CB3"/>
    <w:rsid w:val="6FB42615"/>
    <w:rsid w:val="6FB80BC8"/>
    <w:rsid w:val="6FBD4E3B"/>
    <w:rsid w:val="6FBD68AA"/>
    <w:rsid w:val="6FBE5C3B"/>
    <w:rsid w:val="6FC32060"/>
    <w:rsid w:val="6FC34F4E"/>
    <w:rsid w:val="6FC90866"/>
    <w:rsid w:val="6FCB345C"/>
    <w:rsid w:val="6FD11419"/>
    <w:rsid w:val="6FD20CED"/>
    <w:rsid w:val="6FD53BD4"/>
    <w:rsid w:val="6FDB5DF3"/>
    <w:rsid w:val="6FE015C0"/>
    <w:rsid w:val="6FE169E6"/>
    <w:rsid w:val="6FEA24DA"/>
    <w:rsid w:val="6FEE1E86"/>
    <w:rsid w:val="6FEF3C30"/>
    <w:rsid w:val="6FF1191A"/>
    <w:rsid w:val="6FF5255D"/>
    <w:rsid w:val="6FF579AA"/>
    <w:rsid w:val="6FF60405"/>
    <w:rsid w:val="6FF712C0"/>
    <w:rsid w:val="6FF807F4"/>
    <w:rsid w:val="6FF84BF7"/>
    <w:rsid w:val="6FF9096F"/>
    <w:rsid w:val="6FFA6A64"/>
    <w:rsid w:val="6FFE69A1"/>
    <w:rsid w:val="6FFF1DF9"/>
    <w:rsid w:val="70036E6E"/>
    <w:rsid w:val="700C5553"/>
    <w:rsid w:val="7011717D"/>
    <w:rsid w:val="7013262F"/>
    <w:rsid w:val="70134E34"/>
    <w:rsid w:val="70173DD5"/>
    <w:rsid w:val="701D156C"/>
    <w:rsid w:val="701E1D9C"/>
    <w:rsid w:val="701F6FD6"/>
    <w:rsid w:val="7020098E"/>
    <w:rsid w:val="702048D5"/>
    <w:rsid w:val="70214D2E"/>
    <w:rsid w:val="70235821"/>
    <w:rsid w:val="70251764"/>
    <w:rsid w:val="702B30B1"/>
    <w:rsid w:val="70305291"/>
    <w:rsid w:val="703522E0"/>
    <w:rsid w:val="70361499"/>
    <w:rsid w:val="703B4B36"/>
    <w:rsid w:val="703C717C"/>
    <w:rsid w:val="703D27D9"/>
    <w:rsid w:val="703F25DD"/>
    <w:rsid w:val="70401710"/>
    <w:rsid w:val="70452F00"/>
    <w:rsid w:val="7048487E"/>
    <w:rsid w:val="705312D8"/>
    <w:rsid w:val="70570718"/>
    <w:rsid w:val="705A0B08"/>
    <w:rsid w:val="705D18A3"/>
    <w:rsid w:val="706015EC"/>
    <w:rsid w:val="70626216"/>
    <w:rsid w:val="706279E2"/>
    <w:rsid w:val="70634B65"/>
    <w:rsid w:val="70644D08"/>
    <w:rsid w:val="7064788B"/>
    <w:rsid w:val="70741DA4"/>
    <w:rsid w:val="707663D4"/>
    <w:rsid w:val="70790109"/>
    <w:rsid w:val="707A4969"/>
    <w:rsid w:val="70833D69"/>
    <w:rsid w:val="708404D0"/>
    <w:rsid w:val="70847173"/>
    <w:rsid w:val="708F57A1"/>
    <w:rsid w:val="709B46E8"/>
    <w:rsid w:val="70A6771D"/>
    <w:rsid w:val="70AD2F36"/>
    <w:rsid w:val="70AD7940"/>
    <w:rsid w:val="70B30115"/>
    <w:rsid w:val="70B30B1E"/>
    <w:rsid w:val="70BC134B"/>
    <w:rsid w:val="70BF3836"/>
    <w:rsid w:val="70BF3967"/>
    <w:rsid w:val="70BF6D02"/>
    <w:rsid w:val="70C241EC"/>
    <w:rsid w:val="70C66B1E"/>
    <w:rsid w:val="70C97302"/>
    <w:rsid w:val="70CD3B44"/>
    <w:rsid w:val="70D34D1C"/>
    <w:rsid w:val="70D404BF"/>
    <w:rsid w:val="70D51E30"/>
    <w:rsid w:val="70D645DB"/>
    <w:rsid w:val="70D64695"/>
    <w:rsid w:val="70D76102"/>
    <w:rsid w:val="70E03B10"/>
    <w:rsid w:val="70E213DC"/>
    <w:rsid w:val="70E517DD"/>
    <w:rsid w:val="70E75549"/>
    <w:rsid w:val="70E86D85"/>
    <w:rsid w:val="70EC6B73"/>
    <w:rsid w:val="70F04A0B"/>
    <w:rsid w:val="70F17F27"/>
    <w:rsid w:val="70FC2F96"/>
    <w:rsid w:val="70FE0990"/>
    <w:rsid w:val="71031120"/>
    <w:rsid w:val="71031AB1"/>
    <w:rsid w:val="7103661A"/>
    <w:rsid w:val="71094FDD"/>
    <w:rsid w:val="710B22B2"/>
    <w:rsid w:val="710B2708"/>
    <w:rsid w:val="71101BE6"/>
    <w:rsid w:val="711241AD"/>
    <w:rsid w:val="7113303A"/>
    <w:rsid w:val="71150C5E"/>
    <w:rsid w:val="711915A8"/>
    <w:rsid w:val="711E24D6"/>
    <w:rsid w:val="711E4D59"/>
    <w:rsid w:val="71262BCE"/>
    <w:rsid w:val="71325ADA"/>
    <w:rsid w:val="71357916"/>
    <w:rsid w:val="71373CA7"/>
    <w:rsid w:val="71377556"/>
    <w:rsid w:val="71396902"/>
    <w:rsid w:val="713E10D4"/>
    <w:rsid w:val="713F6856"/>
    <w:rsid w:val="71420099"/>
    <w:rsid w:val="714B3799"/>
    <w:rsid w:val="715463F4"/>
    <w:rsid w:val="71573B9F"/>
    <w:rsid w:val="71597233"/>
    <w:rsid w:val="715C76FE"/>
    <w:rsid w:val="715D396E"/>
    <w:rsid w:val="71630005"/>
    <w:rsid w:val="71643E4D"/>
    <w:rsid w:val="71645DB3"/>
    <w:rsid w:val="71647115"/>
    <w:rsid w:val="71680694"/>
    <w:rsid w:val="716A4DC4"/>
    <w:rsid w:val="716A5681"/>
    <w:rsid w:val="716B764B"/>
    <w:rsid w:val="716D5171"/>
    <w:rsid w:val="71712656"/>
    <w:rsid w:val="71730B0F"/>
    <w:rsid w:val="718030F6"/>
    <w:rsid w:val="718B1EBF"/>
    <w:rsid w:val="718D20EB"/>
    <w:rsid w:val="718F59A1"/>
    <w:rsid w:val="71907B36"/>
    <w:rsid w:val="71926986"/>
    <w:rsid w:val="719272CA"/>
    <w:rsid w:val="71976EE8"/>
    <w:rsid w:val="719D28E6"/>
    <w:rsid w:val="71A00447"/>
    <w:rsid w:val="71A86980"/>
    <w:rsid w:val="71AA0173"/>
    <w:rsid w:val="71AB5C99"/>
    <w:rsid w:val="71AE4686"/>
    <w:rsid w:val="71B55F40"/>
    <w:rsid w:val="71BC5366"/>
    <w:rsid w:val="71BE6120"/>
    <w:rsid w:val="71BE6F62"/>
    <w:rsid w:val="71BF3518"/>
    <w:rsid w:val="71C07997"/>
    <w:rsid w:val="71C1506F"/>
    <w:rsid w:val="71C210C0"/>
    <w:rsid w:val="71C24CE3"/>
    <w:rsid w:val="71C435B5"/>
    <w:rsid w:val="71C64A98"/>
    <w:rsid w:val="71CA04D0"/>
    <w:rsid w:val="71CE1742"/>
    <w:rsid w:val="71D71BAA"/>
    <w:rsid w:val="71D965E5"/>
    <w:rsid w:val="71E00463"/>
    <w:rsid w:val="71E03EAC"/>
    <w:rsid w:val="71E151B9"/>
    <w:rsid w:val="71E3140A"/>
    <w:rsid w:val="71EA783E"/>
    <w:rsid w:val="71EC2038"/>
    <w:rsid w:val="71EC2A3F"/>
    <w:rsid w:val="71EC6F19"/>
    <w:rsid w:val="71F02156"/>
    <w:rsid w:val="71F11A6D"/>
    <w:rsid w:val="71F90AB0"/>
    <w:rsid w:val="7200557D"/>
    <w:rsid w:val="72077373"/>
    <w:rsid w:val="72084CE8"/>
    <w:rsid w:val="720B620B"/>
    <w:rsid w:val="720C74BD"/>
    <w:rsid w:val="72120EB3"/>
    <w:rsid w:val="72141B8A"/>
    <w:rsid w:val="72156B11"/>
    <w:rsid w:val="72167F76"/>
    <w:rsid w:val="721750DD"/>
    <w:rsid w:val="721B697B"/>
    <w:rsid w:val="721C56AB"/>
    <w:rsid w:val="72205084"/>
    <w:rsid w:val="7222037C"/>
    <w:rsid w:val="72223355"/>
    <w:rsid w:val="72292161"/>
    <w:rsid w:val="722F148A"/>
    <w:rsid w:val="72324321"/>
    <w:rsid w:val="72352722"/>
    <w:rsid w:val="72437B7B"/>
    <w:rsid w:val="72483999"/>
    <w:rsid w:val="7248416C"/>
    <w:rsid w:val="724845BB"/>
    <w:rsid w:val="724A3704"/>
    <w:rsid w:val="724D6C0D"/>
    <w:rsid w:val="7256571C"/>
    <w:rsid w:val="725D3F70"/>
    <w:rsid w:val="725F1A5F"/>
    <w:rsid w:val="72606407"/>
    <w:rsid w:val="726248B1"/>
    <w:rsid w:val="72627A5E"/>
    <w:rsid w:val="726453CA"/>
    <w:rsid w:val="72670340"/>
    <w:rsid w:val="72681FB6"/>
    <w:rsid w:val="72691DDC"/>
    <w:rsid w:val="726A6994"/>
    <w:rsid w:val="726A7902"/>
    <w:rsid w:val="726C367A"/>
    <w:rsid w:val="726F334B"/>
    <w:rsid w:val="7275252F"/>
    <w:rsid w:val="72787C55"/>
    <w:rsid w:val="7281533F"/>
    <w:rsid w:val="72823ED7"/>
    <w:rsid w:val="728409C4"/>
    <w:rsid w:val="72851B64"/>
    <w:rsid w:val="72874D89"/>
    <w:rsid w:val="72887CD4"/>
    <w:rsid w:val="728B3524"/>
    <w:rsid w:val="728F12F7"/>
    <w:rsid w:val="72914D8B"/>
    <w:rsid w:val="7294065A"/>
    <w:rsid w:val="72967566"/>
    <w:rsid w:val="729A659E"/>
    <w:rsid w:val="729A6D07"/>
    <w:rsid w:val="729E14F8"/>
    <w:rsid w:val="72A1555D"/>
    <w:rsid w:val="72A33E3F"/>
    <w:rsid w:val="72B0278C"/>
    <w:rsid w:val="72B07349"/>
    <w:rsid w:val="72B12ED8"/>
    <w:rsid w:val="72B74B30"/>
    <w:rsid w:val="72BA1E6A"/>
    <w:rsid w:val="72C73B96"/>
    <w:rsid w:val="72C77562"/>
    <w:rsid w:val="72CC4119"/>
    <w:rsid w:val="72D048A7"/>
    <w:rsid w:val="72D54506"/>
    <w:rsid w:val="72D87A50"/>
    <w:rsid w:val="72DE6C5E"/>
    <w:rsid w:val="72E70F53"/>
    <w:rsid w:val="72F04725"/>
    <w:rsid w:val="72F0483D"/>
    <w:rsid w:val="72F32267"/>
    <w:rsid w:val="72F457C5"/>
    <w:rsid w:val="72F65E7A"/>
    <w:rsid w:val="72F86C6B"/>
    <w:rsid w:val="72FB38D9"/>
    <w:rsid w:val="72FB71B2"/>
    <w:rsid w:val="72FB7871"/>
    <w:rsid w:val="72FD5AAB"/>
    <w:rsid w:val="73041B05"/>
    <w:rsid w:val="730613D9"/>
    <w:rsid w:val="73074A2C"/>
    <w:rsid w:val="73076568"/>
    <w:rsid w:val="730B4FAC"/>
    <w:rsid w:val="730D6645"/>
    <w:rsid w:val="730F5079"/>
    <w:rsid w:val="73116038"/>
    <w:rsid w:val="73117D7E"/>
    <w:rsid w:val="73133B24"/>
    <w:rsid w:val="73172B46"/>
    <w:rsid w:val="73174672"/>
    <w:rsid w:val="731840DB"/>
    <w:rsid w:val="73190C6E"/>
    <w:rsid w:val="731B277F"/>
    <w:rsid w:val="731D5CA5"/>
    <w:rsid w:val="731F693F"/>
    <w:rsid w:val="732C6966"/>
    <w:rsid w:val="732D6613"/>
    <w:rsid w:val="732F5302"/>
    <w:rsid w:val="73305EA7"/>
    <w:rsid w:val="733207B2"/>
    <w:rsid w:val="73345220"/>
    <w:rsid w:val="733534BB"/>
    <w:rsid w:val="733822AD"/>
    <w:rsid w:val="734B6E0A"/>
    <w:rsid w:val="73510A90"/>
    <w:rsid w:val="7358061E"/>
    <w:rsid w:val="735A579F"/>
    <w:rsid w:val="73627D90"/>
    <w:rsid w:val="7363688E"/>
    <w:rsid w:val="7365671F"/>
    <w:rsid w:val="73683E42"/>
    <w:rsid w:val="736E208E"/>
    <w:rsid w:val="736F6CC8"/>
    <w:rsid w:val="737547B1"/>
    <w:rsid w:val="7376564B"/>
    <w:rsid w:val="73797DFD"/>
    <w:rsid w:val="737B1251"/>
    <w:rsid w:val="737D794F"/>
    <w:rsid w:val="737F1287"/>
    <w:rsid w:val="73834096"/>
    <w:rsid w:val="73840550"/>
    <w:rsid w:val="7384337B"/>
    <w:rsid w:val="738B7B30"/>
    <w:rsid w:val="739850E4"/>
    <w:rsid w:val="73992827"/>
    <w:rsid w:val="73993FFB"/>
    <w:rsid w:val="73996524"/>
    <w:rsid w:val="739A416C"/>
    <w:rsid w:val="73A42576"/>
    <w:rsid w:val="73A53FAC"/>
    <w:rsid w:val="73AA1422"/>
    <w:rsid w:val="73AD278E"/>
    <w:rsid w:val="73B01345"/>
    <w:rsid w:val="73B048FC"/>
    <w:rsid w:val="73B67AE2"/>
    <w:rsid w:val="73B84C56"/>
    <w:rsid w:val="73B96A24"/>
    <w:rsid w:val="73BE663A"/>
    <w:rsid w:val="73C60B68"/>
    <w:rsid w:val="73C91E9D"/>
    <w:rsid w:val="73CA3945"/>
    <w:rsid w:val="73D943FA"/>
    <w:rsid w:val="73E44BA4"/>
    <w:rsid w:val="73E75676"/>
    <w:rsid w:val="73F1142D"/>
    <w:rsid w:val="73F22D9A"/>
    <w:rsid w:val="73F32557"/>
    <w:rsid w:val="73F358FC"/>
    <w:rsid w:val="73FA41DD"/>
    <w:rsid w:val="74015ECF"/>
    <w:rsid w:val="74023757"/>
    <w:rsid w:val="74051691"/>
    <w:rsid w:val="740763BC"/>
    <w:rsid w:val="740D69A3"/>
    <w:rsid w:val="741D0002"/>
    <w:rsid w:val="742C1045"/>
    <w:rsid w:val="74362367"/>
    <w:rsid w:val="74372EE1"/>
    <w:rsid w:val="743957DE"/>
    <w:rsid w:val="74414273"/>
    <w:rsid w:val="74433770"/>
    <w:rsid w:val="744966C1"/>
    <w:rsid w:val="744A0F03"/>
    <w:rsid w:val="744A786A"/>
    <w:rsid w:val="744F5002"/>
    <w:rsid w:val="74511B0C"/>
    <w:rsid w:val="745443C6"/>
    <w:rsid w:val="745E3C85"/>
    <w:rsid w:val="74613DFA"/>
    <w:rsid w:val="74620C32"/>
    <w:rsid w:val="74646906"/>
    <w:rsid w:val="746823A9"/>
    <w:rsid w:val="74683C8F"/>
    <w:rsid w:val="7468497B"/>
    <w:rsid w:val="74707AEB"/>
    <w:rsid w:val="747111D0"/>
    <w:rsid w:val="74755CD9"/>
    <w:rsid w:val="74806F69"/>
    <w:rsid w:val="74872E8E"/>
    <w:rsid w:val="748A428C"/>
    <w:rsid w:val="748A646C"/>
    <w:rsid w:val="74901C5E"/>
    <w:rsid w:val="74944551"/>
    <w:rsid w:val="74951A03"/>
    <w:rsid w:val="7499627D"/>
    <w:rsid w:val="74A42C9D"/>
    <w:rsid w:val="74AF784E"/>
    <w:rsid w:val="74B13622"/>
    <w:rsid w:val="74BD692A"/>
    <w:rsid w:val="74C15C82"/>
    <w:rsid w:val="74C719BC"/>
    <w:rsid w:val="74C92AE0"/>
    <w:rsid w:val="74CE1764"/>
    <w:rsid w:val="74CF73BB"/>
    <w:rsid w:val="74D2742E"/>
    <w:rsid w:val="74DA57EC"/>
    <w:rsid w:val="74DD020C"/>
    <w:rsid w:val="74DF0134"/>
    <w:rsid w:val="74E27C24"/>
    <w:rsid w:val="74E51F28"/>
    <w:rsid w:val="74EC013E"/>
    <w:rsid w:val="74EC5592"/>
    <w:rsid w:val="74F07A64"/>
    <w:rsid w:val="74F26891"/>
    <w:rsid w:val="74F26F65"/>
    <w:rsid w:val="74F3184C"/>
    <w:rsid w:val="74F33936"/>
    <w:rsid w:val="74F73391"/>
    <w:rsid w:val="74FF0E1C"/>
    <w:rsid w:val="751608DF"/>
    <w:rsid w:val="75181898"/>
    <w:rsid w:val="75200BF5"/>
    <w:rsid w:val="752A0965"/>
    <w:rsid w:val="752C6D65"/>
    <w:rsid w:val="752F4088"/>
    <w:rsid w:val="753204E0"/>
    <w:rsid w:val="75320832"/>
    <w:rsid w:val="7533596F"/>
    <w:rsid w:val="753859D7"/>
    <w:rsid w:val="753C7130"/>
    <w:rsid w:val="753D60C3"/>
    <w:rsid w:val="753E14C9"/>
    <w:rsid w:val="7541494A"/>
    <w:rsid w:val="754206C3"/>
    <w:rsid w:val="754704DC"/>
    <w:rsid w:val="754F4354"/>
    <w:rsid w:val="75534694"/>
    <w:rsid w:val="75536DF5"/>
    <w:rsid w:val="7554252E"/>
    <w:rsid w:val="75561317"/>
    <w:rsid w:val="75565124"/>
    <w:rsid w:val="75580D06"/>
    <w:rsid w:val="755A323A"/>
    <w:rsid w:val="755E374E"/>
    <w:rsid w:val="755F0521"/>
    <w:rsid w:val="75610B49"/>
    <w:rsid w:val="75613CFA"/>
    <w:rsid w:val="756379DB"/>
    <w:rsid w:val="75666737"/>
    <w:rsid w:val="756A1283"/>
    <w:rsid w:val="756C079A"/>
    <w:rsid w:val="756E3266"/>
    <w:rsid w:val="75714EA8"/>
    <w:rsid w:val="757175EE"/>
    <w:rsid w:val="75774958"/>
    <w:rsid w:val="75781356"/>
    <w:rsid w:val="757848EB"/>
    <w:rsid w:val="757C0194"/>
    <w:rsid w:val="757F36C5"/>
    <w:rsid w:val="75826D11"/>
    <w:rsid w:val="75837634"/>
    <w:rsid w:val="7586788F"/>
    <w:rsid w:val="75880DF3"/>
    <w:rsid w:val="75914176"/>
    <w:rsid w:val="7595157E"/>
    <w:rsid w:val="75976BD2"/>
    <w:rsid w:val="75991526"/>
    <w:rsid w:val="7599551D"/>
    <w:rsid w:val="759B41CF"/>
    <w:rsid w:val="759F48F0"/>
    <w:rsid w:val="75A14D7A"/>
    <w:rsid w:val="75A4572F"/>
    <w:rsid w:val="75A7638E"/>
    <w:rsid w:val="75A86D26"/>
    <w:rsid w:val="75AB1C62"/>
    <w:rsid w:val="75AD3D8E"/>
    <w:rsid w:val="75AE3394"/>
    <w:rsid w:val="75B023D3"/>
    <w:rsid w:val="75B271A0"/>
    <w:rsid w:val="75B33796"/>
    <w:rsid w:val="75B83536"/>
    <w:rsid w:val="75BA294F"/>
    <w:rsid w:val="75C45AFE"/>
    <w:rsid w:val="75CB3D87"/>
    <w:rsid w:val="75D21A46"/>
    <w:rsid w:val="75D82B18"/>
    <w:rsid w:val="75D90DC5"/>
    <w:rsid w:val="75D92DD5"/>
    <w:rsid w:val="75E1612D"/>
    <w:rsid w:val="75E35E0E"/>
    <w:rsid w:val="75EA76AF"/>
    <w:rsid w:val="75EB12C0"/>
    <w:rsid w:val="75EC0C15"/>
    <w:rsid w:val="75EF7A3B"/>
    <w:rsid w:val="75F34009"/>
    <w:rsid w:val="75FA3DBC"/>
    <w:rsid w:val="75FB3D33"/>
    <w:rsid w:val="75FC37F5"/>
    <w:rsid w:val="7600534C"/>
    <w:rsid w:val="76092CC4"/>
    <w:rsid w:val="760F4846"/>
    <w:rsid w:val="76164029"/>
    <w:rsid w:val="761861FB"/>
    <w:rsid w:val="76206440"/>
    <w:rsid w:val="76254EEC"/>
    <w:rsid w:val="76264859"/>
    <w:rsid w:val="76286468"/>
    <w:rsid w:val="762C5A1A"/>
    <w:rsid w:val="76311661"/>
    <w:rsid w:val="76442BE2"/>
    <w:rsid w:val="76452218"/>
    <w:rsid w:val="764863F6"/>
    <w:rsid w:val="764C6798"/>
    <w:rsid w:val="764F4662"/>
    <w:rsid w:val="765A5D14"/>
    <w:rsid w:val="765B7C8E"/>
    <w:rsid w:val="765C6B0F"/>
    <w:rsid w:val="765C6C43"/>
    <w:rsid w:val="766251F7"/>
    <w:rsid w:val="76683644"/>
    <w:rsid w:val="766A7303"/>
    <w:rsid w:val="766A780C"/>
    <w:rsid w:val="76733229"/>
    <w:rsid w:val="767A492C"/>
    <w:rsid w:val="767E692C"/>
    <w:rsid w:val="768E0063"/>
    <w:rsid w:val="769061A5"/>
    <w:rsid w:val="76946637"/>
    <w:rsid w:val="769622F3"/>
    <w:rsid w:val="76991824"/>
    <w:rsid w:val="769C55CC"/>
    <w:rsid w:val="769D14CF"/>
    <w:rsid w:val="76A048E6"/>
    <w:rsid w:val="76A46562"/>
    <w:rsid w:val="76A61F6D"/>
    <w:rsid w:val="76A96BF7"/>
    <w:rsid w:val="76AF26F0"/>
    <w:rsid w:val="76B27A13"/>
    <w:rsid w:val="76B57E6C"/>
    <w:rsid w:val="76B7608F"/>
    <w:rsid w:val="76BE2D7D"/>
    <w:rsid w:val="76BF12EE"/>
    <w:rsid w:val="76C479BE"/>
    <w:rsid w:val="76C50B46"/>
    <w:rsid w:val="76C52C3F"/>
    <w:rsid w:val="76C770D1"/>
    <w:rsid w:val="76C9550F"/>
    <w:rsid w:val="76D90CA2"/>
    <w:rsid w:val="76DB2B7D"/>
    <w:rsid w:val="76E36924"/>
    <w:rsid w:val="76E41B79"/>
    <w:rsid w:val="76E647AD"/>
    <w:rsid w:val="76E64B7F"/>
    <w:rsid w:val="76E77774"/>
    <w:rsid w:val="76F6685F"/>
    <w:rsid w:val="76F7659B"/>
    <w:rsid w:val="77001247"/>
    <w:rsid w:val="770361E6"/>
    <w:rsid w:val="77071BC4"/>
    <w:rsid w:val="77090C18"/>
    <w:rsid w:val="770A4DBF"/>
    <w:rsid w:val="77121571"/>
    <w:rsid w:val="771953B8"/>
    <w:rsid w:val="771A6377"/>
    <w:rsid w:val="771F5FC8"/>
    <w:rsid w:val="772F154E"/>
    <w:rsid w:val="77375F12"/>
    <w:rsid w:val="773B4626"/>
    <w:rsid w:val="773D67BB"/>
    <w:rsid w:val="774062D7"/>
    <w:rsid w:val="774147C0"/>
    <w:rsid w:val="774150D6"/>
    <w:rsid w:val="774213FE"/>
    <w:rsid w:val="77470212"/>
    <w:rsid w:val="77474F19"/>
    <w:rsid w:val="77482E8A"/>
    <w:rsid w:val="77493EE8"/>
    <w:rsid w:val="775210CB"/>
    <w:rsid w:val="77533239"/>
    <w:rsid w:val="77550B81"/>
    <w:rsid w:val="77560C1B"/>
    <w:rsid w:val="775A3CEC"/>
    <w:rsid w:val="775D1855"/>
    <w:rsid w:val="77610A95"/>
    <w:rsid w:val="77654170"/>
    <w:rsid w:val="776963DA"/>
    <w:rsid w:val="776A3FF7"/>
    <w:rsid w:val="776E3736"/>
    <w:rsid w:val="77716B4F"/>
    <w:rsid w:val="77723432"/>
    <w:rsid w:val="77766F37"/>
    <w:rsid w:val="777728A5"/>
    <w:rsid w:val="777D3D44"/>
    <w:rsid w:val="777D59E2"/>
    <w:rsid w:val="777F6D9D"/>
    <w:rsid w:val="778401A5"/>
    <w:rsid w:val="7788326B"/>
    <w:rsid w:val="77884633"/>
    <w:rsid w:val="778B0B99"/>
    <w:rsid w:val="77936A57"/>
    <w:rsid w:val="779D20CE"/>
    <w:rsid w:val="77A25449"/>
    <w:rsid w:val="77A330C7"/>
    <w:rsid w:val="77A65466"/>
    <w:rsid w:val="77A90C4F"/>
    <w:rsid w:val="77AE36E2"/>
    <w:rsid w:val="77B21187"/>
    <w:rsid w:val="77B5517C"/>
    <w:rsid w:val="77BB4877"/>
    <w:rsid w:val="77BC7F2D"/>
    <w:rsid w:val="77BE189A"/>
    <w:rsid w:val="77C135BE"/>
    <w:rsid w:val="77C16217"/>
    <w:rsid w:val="77D2004B"/>
    <w:rsid w:val="77D632DB"/>
    <w:rsid w:val="77D64AE8"/>
    <w:rsid w:val="77D767F8"/>
    <w:rsid w:val="77DA7EFA"/>
    <w:rsid w:val="77DE0B76"/>
    <w:rsid w:val="77DE3AB8"/>
    <w:rsid w:val="77E00D8E"/>
    <w:rsid w:val="77E176E8"/>
    <w:rsid w:val="77E2631C"/>
    <w:rsid w:val="77E55714"/>
    <w:rsid w:val="77E560E1"/>
    <w:rsid w:val="77E57139"/>
    <w:rsid w:val="77EC0CEB"/>
    <w:rsid w:val="77EC404D"/>
    <w:rsid w:val="77F05E7F"/>
    <w:rsid w:val="77F15A2C"/>
    <w:rsid w:val="77F263C0"/>
    <w:rsid w:val="77F35CA4"/>
    <w:rsid w:val="77F42148"/>
    <w:rsid w:val="77F764C1"/>
    <w:rsid w:val="77F77575"/>
    <w:rsid w:val="78025130"/>
    <w:rsid w:val="780408E8"/>
    <w:rsid w:val="78063C29"/>
    <w:rsid w:val="780A6FBB"/>
    <w:rsid w:val="780D5D16"/>
    <w:rsid w:val="780E55FF"/>
    <w:rsid w:val="781077A4"/>
    <w:rsid w:val="78157129"/>
    <w:rsid w:val="78184C6F"/>
    <w:rsid w:val="78193AEA"/>
    <w:rsid w:val="781A3E2B"/>
    <w:rsid w:val="7821013E"/>
    <w:rsid w:val="78212130"/>
    <w:rsid w:val="78224195"/>
    <w:rsid w:val="78236589"/>
    <w:rsid w:val="7827413F"/>
    <w:rsid w:val="782D1944"/>
    <w:rsid w:val="782E57A7"/>
    <w:rsid w:val="78343D80"/>
    <w:rsid w:val="78393FFF"/>
    <w:rsid w:val="783B7D77"/>
    <w:rsid w:val="78445867"/>
    <w:rsid w:val="78476F21"/>
    <w:rsid w:val="784A2F61"/>
    <w:rsid w:val="7851759A"/>
    <w:rsid w:val="78545860"/>
    <w:rsid w:val="78545D62"/>
    <w:rsid w:val="7859644F"/>
    <w:rsid w:val="785A10FD"/>
    <w:rsid w:val="785A1E7A"/>
    <w:rsid w:val="786122B9"/>
    <w:rsid w:val="786252B6"/>
    <w:rsid w:val="78632E0B"/>
    <w:rsid w:val="7866291A"/>
    <w:rsid w:val="7868661B"/>
    <w:rsid w:val="78686E6C"/>
    <w:rsid w:val="7868775E"/>
    <w:rsid w:val="786A41B8"/>
    <w:rsid w:val="786A7120"/>
    <w:rsid w:val="786C436B"/>
    <w:rsid w:val="786D149D"/>
    <w:rsid w:val="786F494C"/>
    <w:rsid w:val="786F5798"/>
    <w:rsid w:val="78746DD4"/>
    <w:rsid w:val="787677ED"/>
    <w:rsid w:val="7878394F"/>
    <w:rsid w:val="787A606D"/>
    <w:rsid w:val="787A71A6"/>
    <w:rsid w:val="7883206A"/>
    <w:rsid w:val="78860627"/>
    <w:rsid w:val="78862194"/>
    <w:rsid w:val="788906A9"/>
    <w:rsid w:val="788952F2"/>
    <w:rsid w:val="788A7179"/>
    <w:rsid w:val="789170EA"/>
    <w:rsid w:val="7893061A"/>
    <w:rsid w:val="78940AB5"/>
    <w:rsid w:val="78941235"/>
    <w:rsid w:val="78946A2C"/>
    <w:rsid w:val="78986F77"/>
    <w:rsid w:val="789D4C91"/>
    <w:rsid w:val="789E53C0"/>
    <w:rsid w:val="78A10050"/>
    <w:rsid w:val="78A21A6E"/>
    <w:rsid w:val="78A21BA4"/>
    <w:rsid w:val="78A647CA"/>
    <w:rsid w:val="78A704A0"/>
    <w:rsid w:val="78AA5D02"/>
    <w:rsid w:val="78AD486C"/>
    <w:rsid w:val="78AE2A84"/>
    <w:rsid w:val="78B532EC"/>
    <w:rsid w:val="78BE0F87"/>
    <w:rsid w:val="78C95383"/>
    <w:rsid w:val="78CE02B0"/>
    <w:rsid w:val="78CE4307"/>
    <w:rsid w:val="78CE5315"/>
    <w:rsid w:val="78CE73C3"/>
    <w:rsid w:val="78D53EA5"/>
    <w:rsid w:val="78D55D56"/>
    <w:rsid w:val="78D635FC"/>
    <w:rsid w:val="78D83384"/>
    <w:rsid w:val="78DB3308"/>
    <w:rsid w:val="78DB569E"/>
    <w:rsid w:val="78DD0E2E"/>
    <w:rsid w:val="78E0003E"/>
    <w:rsid w:val="78E11957"/>
    <w:rsid w:val="78E7613A"/>
    <w:rsid w:val="78ED347C"/>
    <w:rsid w:val="78F624D3"/>
    <w:rsid w:val="78F868C5"/>
    <w:rsid w:val="78F91BBB"/>
    <w:rsid w:val="78F91C9F"/>
    <w:rsid w:val="78FA4852"/>
    <w:rsid w:val="78FD6BEC"/>
    <w:rsid w:val="78FE2247"/>
    <w:rsid w:val="79055A3A"/>
    <w:rsid w:val="790A14F7"/>
    <w:rsid w:val="790D66FF"/>
    <w:rsid w:val="790E0FE8"/>
    <w:rsid w:val="790E2D96"/>
    <w:rsid w:val="791963BC"/>
    <w:rsid w:val="791F528E"/>
    <w:rsid w:val="79231F4A"/>
    <w:rsid w:val="79236670"/>
    <w:rsid w:val="79262EB9"/>
    <w:rsid w:val="79293BE6"/>
    <w:rsid w:val="792C6B8F"/>
    <w:rsid w:val="792E7984"/>
    <w:rsid w:val="79302186"/>
    <w:rsid w:val="79392B57"/>
    <w:rsid w:val="79440EAD"/>
    <w:rsid w:val="794753CB"/>
    <w:rsid w:val="79484BD1"/>
    <w:rsid w:val="79496AB5"/>
    <w:rsid w:val="794F33AE"/>
    <w:rsid w:val="79503190"/>
    <w:rsid w:val="79511BFF"/>
    <w:rsid w:val="795A214F"/>
    <w:rsid w:val="795C7B53"/>
    <w:rsid w:val="79635347"/>
    <w:rsid w:val="79667075"/>
    <w:rsid w:val="79752091"/>
    <w:rsid w:val="797846B3"/>
    <w:rsid w:val="797A042B"/>
    <w:rsid w:val="797C51D9"/>
    <w:rsid w:val="797C7DA7"/>
    <w:rsid w:val="797E3990"/>
    <w:rsid w:val="79814459"/>
    <w:rsid w:val="798332F6"/>
    <w:rsid w:val="7986452E"/>
    <w:rsid w:val="79883EF5"/>
    <w:rsid w:val="798D42DD"/>
    <w:rsid w:val="798D7A30"/>
    <w:rsid w:val="798E7241"/>
    <w:rsid w:val="79940F56"/>
    <w:rsid w:val="799D53E3"/>
    <w:rsid w:val="799F4335"/>
    <w:rsid w:val="79A22ED4"/>
    <w:rsid w:val="79A454A8"/>
    <w:rsid w:val="79AC4A82"/>
    <w:rsid w:val="79BB7793"/>
    <w:rsid w:val="79C6672B"/>
    <w:rsid w:val="79C67B14"/>
    <w:rsid w:val="79CA51EA"/>
    <w:rsid w:val="79CB47B9"/>
    <w:rsid w:val="79CB4F61"/>
    <w:rsid w:val="79CD44D7"/>
    <w:rsid w:val="79CF005B"/>
    <w:rsid w:val="79D607E1"/>
    <w:rsid w:val="79D74361"/>
    <w:rsid w:val="79D77D0B"/>
    <w:rsid w:val="79DB077F"/>
    <w:rsid w:val="79E60891"/>
    <w:rsid w:val="79E876FA"/>
    <w:rsid w:val="79F226B7"/>
    <w:rsid w:val="79F5161F"/>
    <w:rsid w:val="79F97FA9"/>
    <w:rsid w:val="79FC1788"/>
    <w:rsid w:val="79FC52E4"/>
    <w:rsid w:val="79FF7AF6"/>
    <w:rsid w:val="7A0348D0"/>
    <w:rsid w:val="7A051E28"/>
    <w:rsid w:val="7A067E02"/>
    <w:rsid w:val="7A0917AF"/>
    <w:rsid w:val="7A0B2014"/>
    <w:rsid w:val="7A0C7D74"/>
    <w:rsid w:val="7A0E55E5"/>
    <w:rsid w:val="7A0F3269"/>
    <w:rsid w:val="7A1113D8"/>
    <w:rsid w:val="7A136321"/>
    <w:rsid w:val="7A147D85"/>
    <w:rsid w:val="7A1735C3"/>
    <w:rsid w:val="7A173A4F"/>
    <w:rsid w:val="7A187C44"/>
    <w:rsid w:val="7A2612F8"/>
    <w:rsid w:val="7A26386C"/>
    <w:rsid w:val="7A2C0BBA"/>
    <w:rsid w:val="7A2F324D"/>
    <w:rsid w:val="7A2F7467"/>
    <w:rsid w:val="7A3279C1"/>
    <w:rsid w:val="7A333536"/>
    <w:rsid w:val="7A342CD0"/>
    <w:rsid w:val="7A35037F"/>
    <w:rsid w:val="7A3507F6"/>
    <w:rsid w:val="7A360C89"/>
    <w:rsid w:val="7A3708B4"/>
    <w:rsid w:val="7A39241F"/>
    <w:rsid w:val="7A3A51C2"/>
    <w:rsid w:val="7A3B3B6D"/>
    <w:rsid w:val="7A4362A5"/>
    <w:rsid w:val="7A4566D6"/>
    <w:rsid w:val="7A48600B"/>
    <w:rsid w:val="7A4F3EBD"/>
    <w:rsid w:val="7A504651"/>
    <w:rsid w:val="7A527411"/>
    <w:rsid w:val="7A560E98"/>
    <w:rsid w:val="7A574C10"/>
    <w:rsid w:val="7A5907ED"/>
    <w:rsid w:val="7A594510"/>
    <w:rsid w:val="7A605BD4"/>
    <w:rsid w:val="7A623BD0"/>
    <w:rsid w:val="7A645E03"/>
    <w:rsid w:val="7A663BD1"/>
    <w:rsid w:val="7A684EB7"/>
    <w:rsid w:val="7A69128C"/>
    <w:rsid w:val="7A696DF3"/>
    <w:rsid w:val="7A6E7EF3"/>
    <w:rsid w:val="7A7050D6"/>
    <w:rsid w:val="7A712566"/>
    <w:rsid w:val="7A751C21"/>
    <w:rsid w:val="7A7568B6"/>
    <w:rsid w:val="7A791CCC"/>
    <w:rsid w:val="7A815BAC"/>
    <w:rsid w:val="7A816897"/>
    <w:rsid w:val="7A8367EE"/>
    <w:rsid w:val="7A873AD1"/>
    <w:rsid w:val="7A89683A"/>
    <w:rsid w:val="7A910122"/>
    <w:rsid w:val="7A971285"/>
    <w:rsid w:val="7A980DA7"/>
    <w:rsid w:val="7A9B5615"/>
    <w:rsid w:val="7AA03EC1"/>
    <w:rsid w:val="7AA214FA"/>
    <w:rsid w:val="7AA61C7F"/>
    <w:rsid w:val="7AAC4C41"/>
    <w:rsid w:val="7AAD0713"/>
    <w:rsid w:val="7AB02E6B"/>
    <w:rsid w:val="7AB43E11"/>
    <w:rsid w:val="7AB45BBF"/>
    <w:rsid w:val="7AB92D78"/>
    <w:rsid w:val="7AB932E6"/>
    <w:rsid w:val="7ABA409A"/>
    <w:rsid w:val="7ABB7C08"/>
    <w:rsid w:val="7ABC12C6"/>
    <w:rsid w:val="7ABE07EB"/>
    <w:rsid w:val="7AC47748"/>
    <w:rsid w:val="7AC64AA5"/>
    <w:rsid w:val="7ACA552A"/>
    <w:rsid w:val="7AD06B21"/>
    <w:rsid w:val="7AD77DE1"/>
    <w:rsid w:val="7AD85D51"/>
    <w:rsid w:val="7AD96587"/>
    <w:rsid w:val="7ADB37B5"/>
    <w:rsid w:val="7AE44844"/>
    <w:rsid w:val="7AE75F94"/>
    <w:rsid w:val="7AEA1560"/>
    <w:rsid w:val="7AEB1D19"/>
    <w:rsid w:val="7AF1471D"/>
    <w:rsid w:val="7AF366E7"/>
    <w:rsid w:val="7AF63E0D"/>
    <w:rsid w:val="7AF64429"/>
    <w:rsid w:val="7AF65807"/>
    <w:rsid w:val="7AFB351E"/>
    <w:rsid w:val="7AFE453D"/>
    <w:rsid w:val="7AFE508C"/>
    <w:rsid w:val="7AFF1F2F"/>
    <w:rsid w:val="7AFF78D0"/>
    <w:rsid w:val="7AFF798C"/>
    <w:rsid w:val="7B003EED"/>
    <w:rsid w:val="7B01427E"/>
    <w:rsid w:val="7B031548"/>
    <w:rsid w:val="7B050CB2"/>
    <w:rsid w:val="7B0B62B4"/>
    <w:rsid w:val="7B0F58B7"/>
    <w:rsid w:val="7B14584D"/>
    <w:rsid w:val="7B1614CB"/>
    <w:rsid w:val="7B1810A1"/>
    <w:rsid w:val="7B1B35BD"/>
    <w:rsid w:val="7B1F51AA"/>
    <w:rsid w:val="7B217224"/>
    <w:rsid w:val="7B2665D4"/>
    <w:rsid w:val="7B290E4E"/>
    <w:rsid w:val="7B2A5B5F"/>
    <w:rsid w:val="7B2B5656"/>
    <w:rsid w:val="7B2F3497"/>
    <w:rsid w:val="7B350C5D"/>
    <w:rsid w:val="7B3670D9"/>
    <w:rsid w:val="7B3F0A50"/>
    <w:rsid w:val="7B4460A4"/>
    <w:rsid w:val="7B477A08"/>
    <w:rsid w:val="7B53584E"/>
    <w:rsid w:val="7B542EFE"/>
    <w:rsid w:val="7B5F078A"/>
    <w:rsid w:val="7B60196C"/>
    <w:rsid w:val="7B6147BB"/>
    <w:rsid w:val="7B6306DE"/>
    <w:rsid w:val="7B631385"/>
    <w:rsid w:val="7B645A5B"/>
    <w:rsid w:val="7B67202D"/>
    <w:rsid w:val="7B6E2211"/>
    <w:rsid w:val="7B6F0F91"/>
    <w:rsid w:val="7B6F6FFC"/>
    <w:rsid w:val="7B743245"/>
    <w:rsid w:val="7B76016D"/>
    <w:rsid w:val="7B7E5326"/>
    <w:rsid w:val="7B811F45"/>
    <w:rsid w:val="7B812DFB"/>
    <w:rsid w:val="7B847D02"/>
    <w:rsid w:val="7B8B2FDE"/>
    <w:rsid w:val="7B8E4662"/>
    <w:rsid w:val="7B9204D2"/>
    <w:rsid w:val="7BA03767"/>
    <w:rsid w:val="7BA23AEB"/>
    <w:rsid w:val="7BA436F1"/>
    <w:rsid w:val="7BA57CD8"/>
    <w:rsid w:val="7BA75723"/>
    <w:rsid w:val="7BAD6B85"/>
    <w:rsid w:val="7BB200AD"/>
    <w:rsid w:val="7BBA3C33"/>
    <w:rsid w:val="7BC23432"/>
    <w:rsid w:val="7BC31A99"/>
    <w:rsid w:val="7BD3559F"/>
    <w:rsid w:val="7BD81D81"/>
    <w:rsid w:val="7BDA37B5"/>
    <w:rsid w:val="7BDB027F"/>
    <w:rsid w:val="7BDC0735"/>
    <w:rsid w:val="7BDD1145"/>
    <w:rsid w:val="7BDD34DA"/>
    <w:rsid w:val="7BE231D4"/>
    <w:rsid w:val="7BE24C3F"/>
    <w:rsid w:val="7BE95E93"/>
    <w:rsid w:val="7BED0F1D"/>
    <w:rsid w:val="7BEE14E6"/>
    <w:rsid w:val="7BEE3E10"/>
    <w:rsid w:val="7BF233D0"/>
    <w:rsid w:val="7BF344C5"/>
    <w:rsid w:val="7BF4637E"/>
    <w:rsid w:val="7BF7353A"/>
    <w:rsid w:val="7BF81ADB"/>
    <w:rsid w:val="7C025299"/>
    <w:rsid w:val="7C10151B"/>
    <w:rsid w:val="7C111B3F"/>
    <w:rsid w:val="7C126184"/>
    <w:rsid w:val="7C132495"/>
    <w:rsid w:val="7C1352FD"/>
    <w:rsid w:val="7C177841"/>
    <w:rsid w:val="7C1C1C6D"/>
    <w:rsid w:val="7C1C44C5"/>
    <w:rsid w:val="7C280612"/>
    <w:rsid w:val="7C306240"/>
    <w:rsid w:val="7C320B72"/>
    <w:rsid w:val="7C32269D"/>
    <w:rsid w:val="7C37202F"/>
    <w:rsid w:val="7C3731B2"/>
    <w:rsid w:val="7C3A20F4"/>
    <w:rsid w:val="7C434E0A"/>
    <w:rsid w:val="7C496571"/>
    <w:rsid w:val="7C4C0981"/>
    <w:rsid w:val="7C504D31"/>
    <w:rsid w:val="7C523661"/>
    <w:rsid w:val="7C524812"/>
    <w:rsid w:val="7C55315F"/>
    <w:rsid w:val="7C5915A1"/>
    <w:rsid w:val="7C595B20"/>
    <w:rsid w:val="7C61091A"/>
    <w:rsid w:val="7C6213A4"/>
    <w:rsid w:val="7C644194"/>
    <w:rsid w:val="7C646044"/>
    <w:rsid w:val="7C66621B"/>
    <w:rsid w:val="7C6A3F41"/>
    <w:rsid w:val="7C6B006F"/>
    <w:rsid w:val="7C6C1462"/>
    <w:rsid w:val="7C6D432F"/>
    <w:rsid w:val="7C6D5355"/>
    <w:rsid w:val="7C6E245F"/>
    <w:rsid w:val="7C706589"/>
    <w:rsid w:val="7C744545"/>
    <w:rsid w:val="7C7C095E"/>
    <w:rsid w:val="7C84495D"/>
    <w:rsid w:val="7C857F63"/>
    <w:rsid w:val="7C8D3638"/>
    <w:rsid w:val="7C8D656E"/>
    <w:rsid w:val="7C8E2DB4"/>
    <w:rsid w:val="7C934BF5"/>
    <w:rsid w:val="7C953E01"/>
    <w:rsid w:val="7C9A7A0D"/>
    <w:rsid w:val="7C9D4F94"/>
    <w:rsid w:val="7CA539D1"/>
    <w:rsid w:val="7CA81753"/>
    <w:rsid w:val="7CB1572F"/>
    <w:rsid w:val="7CB4634A"/>
    <w:rsid w:val="7CB5760A"/>
    <w:rsid w:val="7CB77BE8"/>
    <w:rsid w:val="7CB9278C"/>
    <w:rsid w:val="7CBC51FE"/>
    <w:rsid w:val="7CC16123"/>
    <w:rsid w:val="7CCA16C9"/>
    <w:rsid w:val="7CCD4B35"/>
    <w:rsid w:val="7CCE0C45"/>
    <w:rsid w:val="7CCF1542"/>
    <w:rsid w:val="7CD03194"/>
    <w:rsid w:val="7CD30B82"/>
    <w:rsid w:val="7CD402AD"/>
    <w:rsid w:val="7CD54514"/>
    <w:rsid w:val="7CD61D1D"/>
    <w:rsid w:val="7CD77D9F"/>
    <w:rsid w:val="7CDC0EC7"/>
    <w:rsid w:val="7CDC48ED"/>
    <w:rsid w:val="7CDF10B4"/>
    <w:rsid w:val="7CE103F0"/>
    <w:rsid w:val="7CE85FF3"/>
    <w:rsid w:val="7CF15B8F"/>
    <w:rsid w:val="7CF256C0"/>
    <w:rsid w:val="7CF72754"/>
    <w:rsid w:val="7CF90201"/>
    <w:rsid w:val="7CFD1471"/>
    <w:rsid w:val="7D001C9B"/>
    <w:rsid w:val="7D0107D4"/>
    <w:rsid w:val="7D060228"/>
    <w:rsid w:val="7D094803"/>
    <w:rsid w:val="7D0E618A"/>
    <w:rsid w:val="7D103C02"/>
    <w:rsid w:val="7D1110A6"/>
    <w:rsid w:val="7D112B03"/>
    <w:rsid w:val="7D1961AD"/>
    <w:rsid w:val="7D1B2CB0"/>
    <w:rsid w:val="7D230DDA"/>
    <w:rsid w:val="7D285E16"/>
    <w:rsid w:val="7D346947"/>
    <w:rsid w:val="7D3609A2"/>
    <w:rsid w:val="7D3B701A"/>
    <w:rsid w:val="7D3D00ED"/>
    <w:rsid w:val="7D421983"/>
    <w:rsid w:val="7D441E80"/>
    <w:rsid w:val="7D494AF5"/>
    <w:rsid w:val="7D503D8F"/>
    <w:rsid w:val="7D51112B"/>
    <w:rsid w:val="7D516171"/>
    <w:rsid w:val="7D534C0C"/>
    <w:rsid w:val="7D553689"/>
    <w:rsid w:val="7D580A83"/>
    <w:rsid w:val="7D5A13E8"/>
    <w:rsid w:val="7D5C1FFB"/>
    <w:rsid w:val="7D5C7094"/>
    <w:rsid w:val="7D5E2F89"/>
    <w:rsid w:val="7D660F46"/>
    <w:rsid w:val="7D6748C0"/>
    <w:rsid w:val="7D6A5DF3"/>
    <w:rsid w:val="7D6C5072"/>
    <w:rsid w:val="7D6E4878"/>
    <w:rsid w:val="7D7358BD"/>
    <w:rsid w:val="7D795CE0"/>
    <w:rsid w:val="7D7A7B00"/>
    <w:rsid w:val="7D7B49FF"/>
    <w:rsid w:val="7D7C37F1"/>
    <w:rsid w:val="7D7C6D5A"/>
    <w:rsid w:val="7D7C7A36"/>
    <w:rsid w:val="7D7F510D"/>
    <w:rsid w:val="7D8301F3"/>
    <w:rsid w:val="7D83356B"/>
    <w:rsid w:val="7D913F95"/>
    <w:rsid w:val="7D9A5540"/>
    <w:rsid w:val="7D9A74BC"/>
    <w:rsid w:val="7DAA4248"/>
    <w:rsid w:val="7DB008BF"/>
    <w:rsid w:val="7DB30866"/>
    <w:rsid w:val="7DB70352"/>
    <w:rsid w:val="7DBB4A0C"/>
    <w:rsid w:val="7DBF6967"/>
    <w:rsid w:val="7DCD05C3"/>
    <w:rsid w:val="7DD16A11"/>
    <w:rsid w:val="7DD33260"/>
    <w:rsid w:val="7DD65E4C"/>
    <w:rsid w:val="7DDB26EA"/>
    <w:rsid w:val="7DDB5E9F"/>
    <w:rsid w:val="7DE50961"/>
    <w:rsid w:val="7DE9763F"/>
    <w:rsid w:val="7DEA218B"/>
    <w:rsid w:val="7DF213D8"/>
    <w:rsid w:val="7DF30F1F"/>
    <w:rsid w:val="7DFA7D8C"/>
    <w:rsid w:val="7DFB1DAD"/>
    <w:rsid w:val="7DFC505D"/>
    <w:rsid w:val="7E05400F"/>
    <w:rsid w:val="7E062D2F"/>
    <w:rsid w:val="7E0A05F6"/>
    <w:rsid w:val="7E0A7F96"/>
    <w:rsid w:val="7E0B6A54"/>
    <w:rsid w:val="7E0C373A"/>
    <w:rsid w:val="7E0F09A7"/>
    <w:rsid w:val="7E0F2826"/>
    <w:rsid w:val="7E1C7D03"/>
    <w:rsid w:val="7E2041AC"/>
    <w:rsid w:val="7E215009"/>
    <w:rsid w:val="7E220446"/>
    <w:rsid w:val="7E252706"/>
    <w:rsid w:val="7E255C01"/>
    <w:rsid w:val="7E315F43"/>
    <w:rsid w:val="7E3314F0"/>
    <w:rsid w:val="7E351DFE"/>
    <w:rsid w:val="7E3D5ECB"/>
    <w:rsid w:val="7E4032E2"/>
    <w:rsid w:val="7E41152C"/>
    <w:rsid w:val="7E4133F2"/>
    <w:rsid w:val="7E421D4A"/>
    <w:rsid w:val="7E421DA8"/>
    <w:rsid w:val="7E497F7A"/>
    <w:rsid w:val="7E4C2B89"/>
    <w:rsid w:val="7E4F4E2F"/>
    <w:rsid w:val="7E521A14"/>
    <w:rsid w:val="7E575549"/>
    <w:rsid w:val="7E5D0FA1"/>
    <w:rsid w:val="7E6427C0"/>
    <w:rsid w:val="7E6478FC"/>
    <w:rsid w:val="7E687774"/>
    <w:rsid w:val="7E69451B"/>
    <w:rsid w:val="7E6E348B"/>
    <w:rsid w:val="7E6E746D"/>
    <w:rsid w:val="7E764CAD"/>
    <w:rsid w:val="7E7A0727"/>
    <w:rsid w:val="7E7A0ECD"/>
    <w:rsid w:val="7E7C2567"/>
    <w:rsid w:val="7E804381"/>
    <w:rsid w:val="7E84427F"/>
    <w:rsid w:val="7E8A0D63"/>
    <w:rsid w:val="7E946FE7"/>
    <w:rsid w:val="7E9D05FB"/>
    <w:rsid w:val="7E9F0B15"/>
    <w:rsid w:val="7EA0012F"/>
    <w:rsid w:val="7EA5412F"/>
    <w:rsid w:val="7EA63A70"/>
    <w:rsid w:val="7EA96724"/>
    <w:rsid w:val="7EAA5C5F"/>
    <w:rsid w:val="7EB22415"/>
    <w:rsid w:val="7EB52173"/>
    <w:rsid w:val="7EB871A9"/>
    <w:rsid w:val="7EBC2F17"/>
    <w:rsid w:val="7EBD1603"/>
    <w:rsid w:val="7EC028F6"/>
    <w:rsid w:val="7EC17A70"/>
    <w:rsid w:val="7EC73D41"/>
    <w:rsid w:val="7ECD55DA"/>
    <w:rsid w:val="7ED12F88"/>
    <w:rsid w:val="7ED54958"/>
    <w:rsid w:val="7ED66725"/>
    <w:rsid w:val="7ED71F1E"/>
    <w:rsid w:val="7ED906A6"/>
    <w:rsid w:val="7EDA4F4A"/>
    <w:rsid w:val="7EE14243"/>
    <w:rsid w:val="7EE43BB0"/>
    <w:rsid w:val="7EE9202A"/>
    <w:rsid w:val="7EEA1BAF"/>
    <w:rsid w:val="7EF21C06"/>
    <w:rsid w:val="7EF675ED"/>
    <w:rsid w:val="7EF960B4"/>
    <w:rsid w:val="7EFA7823"/>
    <w:rsid w:val="7EFB5FCB"/>
    <w:rsid w:val="7EFC2740"/>
    <w:rsid w:val="7EFE762D"/>
    <w:rsid w:val="7F002992"/>
    <w:rsid w:val="7F005B22"/>
    <w:rsid w:val="7F025754"/>
    <w:rsid w:val="7F031C9A"/>
    <w:rsid w:val="7F0738F8"/>
    <w:rsid w:val="7F09199D"/>
    <w:rsid w:val="7F0B03B8"/>
    <w:rsid w:val="7F116FC8"/>
    <w:rsid w:val="7F146783"/>
    <w:rsid w:val="7F17671C"/>
    <w:rsid w:val="7F1E0165"/>
    <w:rsid w:val="7F236625"/>
    <w:rsid w:val="7F262D47"/>
    <w:rsid w:val="7F2D4692"/>
    <w:rsid w:val="7F2F13D2"/>
    <w:rsid w:val="7F307C0F"/>
    <w:rsid w:val="7F313245"/>
    <w:rsid w:val="7F371041"/>
    <w:rsid w:val="7F38651F"/>
    <w:rsid w:val="7F3E7AD5"/>
    <w:rsid w:val="7F4B58B3"/>
    <w:rsid w:val="7F4B7FF1"/>
    <w:rsid w:val="7F4F5E8E"/>
    <w:rsid w:val="7F587460"/>
    <w:rsid w:val="7F602F19"/>
    <w:rsid w:val="7F613B84"/>
    <w:rsid w:val="7F617812"/>
    <w:rsid w:val="7F63665A"/>
    <w:rsid w:val="7F651504"/>
    <w:rsid w:val="7F6619C1"/>
    <w:rsid w:val="7F682D6B"/>
    <w:rsid w:val="7F6851CA"/>
    <w:rsid w:val="7F69565C"/>
    <w:rsid w:val="7F6C2C11"/>
    <w:rsid w:val="7F717A5A"/>
    <w:rsid w:val="7F7420AE"/>
    <w:rsid w:val="7F744EB3"/>
    <w:rsid w:val="7F792F33"/>
    <w:rsid w:val="7F8A15E4"/>
    <w:rsid w:val="7F921C90"/>
    <w:rsid w:val="7F953477"/>
    <w:rsid w:val="7F9E10D3"/>
    <w:rsid w:val="7FA220F4"/>
    <w:rsid w:val="7FA33936"/>
    <w:rsid w:val="7FA57257"/>
    <w:rsid w:val="7FA728C3"/>
    <w:rsid w:val="7FA93818"/>
    <w:rsid w:val="7FAA2934"/>
    <w:rsid w:val="7FAD424E"/>
    <w:rsid w:val="7FAF361A"/>
    <w:rsid w:val="7FAF474F"/>
    <w:rsid w:val="7FB1679A"/>
    <w:rsid w:val="7FB4040F"/>
    <w:rsid w:val="7FB42CE8"/>
    <w:rsid w:val="7FC0151E"/>
    <w:rsid w:val="7FC13694"/>
    <w:rsid w:val="7FC14B0D"/>
    <w:rsid w:val="7FC334F5"/>
    <w:rsid w:val="7FCC3EF1"/>
    <w:rsid w:val="7FCC682E"/>
    <w:rsid w:val="7FD40EF1"/>
    <w:rsid w:val="7FD61859"/>
    <w:rsid w:val="7FDB75CA"/>
    <w:rsid w:val="7FDD3D92"/>
    <w:rsid w:val="7FDD6455"/>
    <w:rsid w:val="7FE33B6F"/>
    <w:rsid w:val="7FE52A52"/>
    <w:rsid w:val="7FE67C30"/>
    <w:rsid w:val="7FE84C78"/>
    <w:rsid w:val="7FE9206A"/>
    <w:rsid w:val="7FF01447"/>
    <w:rsid w:val="7FF16F6D"/>
    <w:rsid w:val="7FF403C1"/>
    <w:rsid w:val="7FFE6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qFormat="1" w:unhideWhenUsed="0" w:uiPriority="0" w:semiHidden="0"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00" w:firstLineChars="200"/>
      <w:jc w:val="both"/>
    </w:pPr>
    <w:rPr>
      <w:rFonts w:ascii="Times New Roman" w:hAnsi="Times New Roman" w:eastAsia="Times New Roman" w:cs="Times New Roman"/>
      <w:kern w:val="2"/>
      <w:sz w:val="24"/>
      <w:szCs w:val="24"/>
      <w:lang w:val="en-US" w:eastAsia="zh-CN" w:bidi="ar-SA"/>
    </w:rPr>
  </w:style>
  <w:style w:type="paragraph" w:styleId="3">
    <w:name w:val="heading 1"/>
    <w:basedOn w:val="1"/>
    <w:next w:val="1"/>
    <w:link w:val="22"/>
    <w:autoRedefine/>
    <w:qFormat/>
    <w:uiPriority w:val="9"/>
    <w:pPr>
      <w:snapToGrid w:val="0"/>
      <w:spacing w:beforeAutospacing="0" w:afterAutospacing="0" w:line="240" w:lineRule="auto"/>
      <w:ind w:firstLine="0" w:firstLineChars="0"/>
      <w:jc w:val="center"/>
      <w:outlineLvl w:val="9"/>
    </w:pPr>
    <w:rPr>
      <w:rFonts w:hint="eastAsia" w:ascii="宋体" w:hAnsi="宋体" w:eastAsia="Times New Roman"/>
      <w:bCs/>
      <w:kern w:val="44"/>
      <w:sz w:val="21"/>
      <w:szCs w:val="48"/>
    </w:rPr>
  </w:style>
  <w:style w:type="paragraph" w:styleId="4">
    <w:name w:val="heading 2"/>
    <w:basedOn w:val="1"/>
    <w:next w:val="1"/>
    <w:qFormat/>
    <w:uiPriority w:val="9"/>
    <w:pPr>
      <w:keepLines/>
      <w:spacing w:line="360" w:lineRule="auto"/>
      <w:outlineLvl w:val="9"/>
    </w:pPr>
    <w:rPr>
      <w:rFonts w:ascii="宋体" w:hAnsi="宋体" w:eastAsia="宋体"/>
      <w:b/>
      <w:bCs/>
      <w:sz w:val="24"/>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宋体" w:hAnsi="宋体"/>
      <w:sz w:val="26"/>
    </w:rPr>
  </w:style>
  <w:style w:type="paragraph" w:styleId="5">
    <w:name w:val="List 3"/>
    <w:basedOn w:val="1"/>
    <w:next w:val="1"/>
    <w:qFormat/>
    <w:uiPriority w:val="0"/>
    <w:pPr>
      <w:spacing w:line="288" w:lineRule="auto"/>
      <w:ind w:left="1260" w:hanging="420"/>
    </w:pPr>
    <w:rPr>
      <w:rFonts w:ascii="Calibri" w:hAnsi="Calibri" w:eastAsia="仿宋" w:cs="宋体"/>
    </w:rPr>
  </w:style>
  <w:style w:type="paragraph" w:styleId="6">
    <w:name w:val="Note Heading"/>
    <w:basedOn w:val="1"/>
    <w:next w:val="1"/>
    <w:qFormat/>
    <w:uiPriority w:val="0"/>
    <w:pPr>
      <w:jc w:val="center"/>
    </w:pPr>
    <w:rPr>
      <w:szCs w:val="24"/>
    </w:rPr>
  </w:style>
  <w:style w:type="paragraph" w:styleId="7">
    <w:name w:val="annotation text"/>
    <w:basedOn w:val="1"/>
    <w:semiHidden/>
    <w:unhideWhenUsed/>
    <w:qFormat/>
    <w:uiPriority w:val="99"/>
    <w:pPr>
      <w:jc w:val="left"/>
    </w:pPr>
  </w:style>
  <w:style w:type="paragraph" w:styleId="8">
    <w:name w:val="Body Text"/>
    <w:basedOn w:val="1"/>
    <w:qFormat/>
    <w:uiPriority w:val="0"/>
    <w:pPr>
      <w:spacing w:after="120"/>
    </w:pPr>
    <w:rPr>
      <w:szCs w:val="24"/>
    </w:rPr>
  </w:style>
  <w:style w:type="paragraph" w:styleId="9">
    <w:name w:val="Body Text Indent"/>
    <w:basedOn w:val="1"/>
    <w:qFormat/>
    <w:uiPriority w:val="0"/>
    <w:pPr>
      <w:spacing w:after="120"/>
      <w:ind w:left="420" w:leftChars="200"/>
    </w:pPr>
  </w:style>
  <w:style w:type="paragraph" w:styleId="10">
    <w:name w:val="Plain Text"/>
    <w:basedOn w:val="1"/>
    <w:qFormat/>
    <w:uiPriority w:val="0"/>
    <w:rPr>
      <w:rFonts w:ascii="宋体" w:hAnsi="Courier New" w:cs="Courier New"/>
      <w:szCs w:val="21"/>
    </w:rPr>
  </w:style>
  <w:style w:type="paragraph" w:styleId="11">
    <w:name w:val="Date"/>
    <w:basedOn w:val="1"/>
    <w:next w:val="1"/>
    <w:qFormat/>
    <w:uiPriority w:val="0"/>
    <w:rPr>
      <w:rFonts w:cs="Dutch801 Rm BT"/>
      <w:b/>
      <w:sz w:val="28"/>
    </w:rPr>
  </w:style>
  <w:style w:type="paragraph" w:styleId="12">
    <w:name w:val="Body Text Indent 2"/>
    <w:basedOn w:val="1"/>
    <w:unhideWhenUsed/>
    <w:qFormat/>
    <w:uiPriority w:val="99"/>
    <w:pPr>
      <w:spacing w:after="120" w:line="480" w:lineRule="auto"/>
      <w:ind w:left="420" w:leftChars="200"/>
    </w:pPr>
  </w:style>
  <w:style w:type="paragraph" w:styleId="13">
    <w:name w:val="footer"/>
    <w:basedOn w:val="1"/>
    <w:link w:val="29"/>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8302"/>
      </w:tabs>
      <w:spacing w:before="120" w:after="120" w:line="276" w:lineRule="auto"/>
      <w:ind w:firstLine="424" w:firstLineChars="176"/>
    </w:pPr>
    <w:rPr>
      <w:b/>
      <w:bCs/>
      <w:caps/>
      <w:sz w:val="20"/>
      <w:szCs w:val="20"/>
    </w:rPr>
  </w:style>
  <w:style w:type="paragraph" w:styleId="16">
    <w:name w:val="Normal (Web)"/>
    <w:basedOn w:val="1"/>
    <w:link w:val="30"/>
    <w:qFormat/>
    <w:uiPriority w:val="0"/>
    <w:pPr>
      <w:widowControl/>
      <w:spacing w:before="100" w:beforeAutospacing="1" w:after="100" w:afterAutospacing="1"/>
      <w:jc w:val="left"/>
    </w:pPr>
    <w:rPr>
      <w:rFonts w:ascii="宋体" w:hAnsi="宋体" w:cstheme="minorBidi"/>
      <w:sz w:val="24"/>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semiHidden/>
    <w:unhideWhenUsed/>
    <w:qFormat/>
    <w:uiPriority w:val="99"/>
    <w:rPr>
      <w:color w:val="0000FF"/>
      <w:u w:val="single"/>
    </w:rPr>
  </w:style>
  <w:style w:type="character" w:customStyle="1" w:styleId="22">
    <w:name w:val="标题 1 Char"/>
    <w:link w:val="3"/>
    <w:qFormat/>
    <w:uiPriority w:val="9"/>
    <w:rPr>
      <w:rFonts w:hint="eastAsia" w:ascii="宋体" w:hAnsi="宋体" w:eastAsia="Times New Roman"/>
      <w:bCs/>
      <w:kern w:val="44"/>
      <w:sz w:val="21"/>
      <w:szCs w:val="48"/>
    </w:rPr>
  </w:style>
  <w:style w:type="paragraph" w:customStyle="1" w:styleId="23">
    <w:name w:val="Default"/>
    <w:basedOn w:val="24"/>
    <w:next w:val="5"/>
    <w:qFormat/>
    <w:uiPriority w:val="0"/>
    <w:pPr>
      <w:widowControl w:val="0"/>
      <w:autoSpaceDE w:val="0"/>
      <w:autoSpaceDN w:val="0"/>
      <w:adjustRightInd w:val="0"/>
    </w:pPr>
    <w:rPr>
      <w:rFonts w:ascii="宋体" w:hAnsi="Times New Roman" w:eastAsia="等线" w:cs="宋体"/>
      <w:color w:val="000000"/>
      <w:sz w:val="24"/>
      <w:szCs w:val="24"/>
      <w:lang w:val="en-US" w:eastAsia="zh-CN" w:bidi="ar-SA"/>
    </w:rPr>
  </w:style>
  <w:style w:type="paragraph" w:customStyle="1" w:styleId="24">
    <w:name w:val="纯文本1"/>
    <w:basedOn w:val="1"/>
    <w:autoRedefine/>
    <w:qFormat/>
    <w:uiPriority w:val="0"/>
    <w:pPr>
      <w:adjustRightInd w:val="0"/>
    </w:pPr>
    <w:rPr>
      <w:rFonts w:ascii="宋体" w:hAnsi="Courier New"/>
      <w:szCs w:val="20"/>
    </w:rPr>
  </w:style>
  <w:style w:type="paragraph" w:customStyle="1" w:styleId="25">
    <w:name w:val="环评正文"/>
    <w:basedOn w:val="1"/>
    <w:qFormat/>
    <w:uiPriority w:val="3"/>
    <w:pPr>
      <w:spacing w:line="480" w:lineRule="exact"/>
      <w:ind w:firstLine="520" w:firstLineChars="200"/>
    </w:pPr>
    <w:rPr>
      <w:sz w:val="26"/>
    </w:rPr>
  </w:style>
  <w:style w:type="paragraph" w:customStyle="1" w:styleId="26">
    <w:name w:val="报告书正文"/>
    <w:basedOn w:val="1"/>
    <w:next w:val="27"/>
    <w:qFormat/>
    <w:uiPriority w:val="0"/>
    <w:pPr>
      <w:adjustRightInd w:val="0"/>
      <w:snapToGrid w:val="0"/>
      <w:spacing w:line="360" w:lineRule="auto"/>
      <w:ind w:firstLine="520" w:firstLineChars="200"/>
    </w:pPr>
    <w:rPr>
      <w:bCs/>
      <w:snapToGrid w:val="0"/>
      <w:kern w:val="0"/>
      <w:sz w:val="26"/>
      <w:szCs w:val="26"/>
    </w:rPr>
  </w:style>
  <w:style w:type="paragraph" w:customStyle="1" w:styleId="27">
    <w:name w:val="Char"/>
    <w:basedOn w:val="1"/>
    <w:qFormat/>
    <w:uiPriority w:val="0"/>
    <w:pPr>
      <w:spacing w:line="360" w:lineRule="auto"/>
    </w:pPr>
    <w:rPr>
      <w:rFonts w:ascii="仿宋_GB2312" w:hAnsi="Tahoma" w:eastAsia="仿宋_GB2312"/>
      <w:szCs w:val="21"/>
    </w:rPr>
  </w:style>
  <w:style w:type="paragraph" w:customStyle="1" w:styleId="28">
    <w:name w:val="Char1"/>
    <w:basedOn w:val="1"/>
    <w:qFormat/>
    <w:uiPriority w:val="0"/>
    <w:pPr>
      <w:spacing w:line="360" w:lineRule="auto"/>
      <w:ind w:firstLine="200" w:firstLineChars="200"/>
    </w:pPr>
    <w:rPr>
      <w:rFonts w:ascii="宋体" w:hAnsi="宋体" w:cs="宋体"/>
      <w:sz w:val="24"/>
    </w:rPr>
  </w:style>
  <w:style w:type="character" w:customStyle="1" w:styleId="29">
    <w:name w:val="页脚 Char"/>
    <w:link w:val="13"/>
    <w:qFormat/>
    <w:locked/>
    <w:uiPriority w:val="99"/>
    <w:rPr>
      <w:sz w:val="18"/>
    </w:rPr>
  </w:style>
  <w:style w:type="character" w:customStyle="1" w:styleId="30">
    <w:name w:val="普通(网站) Char"/>
    <w:link w:val="16"/>
    <w:qFormat/>
    <w:locked/>
    <w:uiPriority w:val="0"/>
    <w:rPr>
      <w:rFonts w:ascii="宋体" w:hAnsi="宋体" w:eastAsia="宋体"/>
      <w:sz w:val="24"/>
    </w:rPr>
  </w:style>
  <w:style w:type="character" w:customStyle="1" w:styleId="31">
    <w:name w:val="表格 Char"/>
    <w:link w:val="32"/>
    <w:qFormat/>
    <w:locked/>
    <w:uiPriority w:val="0"/>
    <w:rPr>
      <w:rFonts w:ascii="宋体"/>
    </w:rPr>
  </w:style>
  <w:style w:type="paragraph" w:customStyle="1" w:styleId="32">
    <w:name w:val="表格"/>
    <w:basedOn w:val="1"/>
    <w:next w:val="1"/>
    <w:link w:val="31"/>
    <w:qFormat/>
    <w:uiPriority w:val="0"/>
    <w:pPr>
      <w:adjustRightInd w:val="0"/>
      <w:snapToGrid w:val="0"/>
      <w:spacing w:beforeLines="10" w:afterLines="10" w:line="259" w:lineRule="auto"/>
      <w:jc w:val="center"/>
    </w:pPr>
    <w:rPr>
      <w:rFonts w:ascii="宋体" w:hAnsiTheme="minorHAnsi" w:eastAsiaTheme="minorEastAsia" w:cstheme="minorBidi"/>
      <w:szCs w:val="22"/>
    </w:rPr>
  </w:style>
  <w:style w:type="character" w:customStyle="1" w:styleId="33">
    <w:name w:val="页脚 Char1"/>
    <w:basedOn w:val="19"/>
    <w:semiHidden/>
    <w:qFormat/>
    <w:uiPriority w:val="99"/>
    <w:rPr>
      <w:rFonts w:ascii="Times New Roman" w:hAnsi="Times New Roman" w:eastAsia="宋体" w:cs="Times New Roman"/>
      <w:sz w:val="18"/>
      <w:szCs w:val="18"/>
    </w:rPr>
  </w:style>
  <w:style w:type="paragraph" w:customStyle="1" w:styleId="34">
    <w:name w:val="正文文本 21"/>
    <w:basedOn w:val="1"/>
    <w:qFormat/>
    <w:uiPriority w:val="0"/>
    <w:pPr>
      <w:adjustRightInd w:val="0"/>
      <w:ind w:firstLine="480"/>
    </w:pPr>
    <w:rPr>
      <w:rFonts w:ascii="宋体"/>
      <w:kern w:val="0"/>
      <w:sz w:val="24"/>
    </w:rPr>
  </w:style>
  <w:style w:type="paragraph" w:customStyle="1" w:styleId="35">
    <w:name w:val="正文 首行缩进:  2 字符"/>
    <w:basedOn w:val="1"/>
    <w:qFormat/>
    <w:uiPriority w:val="0"/>
    <w:pPr>
      <w:autoSpaceDE w:val="0"/>
      <w:autoSpaceDN w:val="0"/>
      <w:adjustRightInd w:val="0"/>
      <w:snapToGrid w:val="0"/>
      <w:spacing w:line="360" w:lineRule="auto"/>
      <w:ind w:firstLine="480" w:firstLineChars="200"/>
      <w:outlineLvl w:val="0"/>
    </w:pPr>
    <w:rPr>
      <w:rFonts w:ascii="宋体" w:hAnsi="宋体"/>
      <w:color w:val="000000"/>
      <w:sz w:val="24"/>
    </w:rPr>
  </w:style>
  <w:style w:type="paragraph" w:customStyle="1" w:styleId="36">
    <w:name w:val="表格内容"/>
    <w:basedOn w:val="1"/>
    <w:qFormat/>
    <w:uiPriority w:val="0"/>
    <w:pPr>
      <w:spacing w:line="360" w:lineRule="exact"/>
      <w:jc w:val="center"/>
    </w:pPr>
    <w:rPr>
      <w:sz w:val="24"/>
    </w:rPr>
  </w:style>
  <w:style w:type="paragraph" w:customStyle="1" w:styleId="37">
    <w:name w:val="列出段落1"/>
    <w:basedOn w:val="1"/>
    <w:qFormat/>
    <w:uiPriority w:val="0"/>
    <w:pPr>
      <w:ind w:firstLine="420" w:firstLineChars="200"/>
    </w:pPr>
    <w:rPr>
      <w:rFonts w:ascii="Calibri" w:hAnsi="Calibri" w:cs="黑体"/>
      <w:szCs w:val="22"/>
    </w:rPr>
  </w:style>
  <w:style w:type="paragraph" w:customStyle="1" w:styleId="38">
    <w:name w:val="L表内容"/>
    <w:basedOn w:val="1"/>
    <w:qFormat/>
    <w:uiPriority w:val="0"/>
    <w:pPr>
      <w:spacing w:line="240" w:lineRule="atLeast"/>
      <w:jc w:val="center"/>
    </w:pPr>
    <w:rPr>
      <w:szCs w:val="21"/>
    </w:rPr>
  </w:style>
  <w:style w:type="paragraph" w:customStyle="1" w:styleId="39">
    <w:name w:val="Table Paragraph"/>
    <w:basedOn w:val="1"/>
    <w:unhideWhenUsed/>
    <w:qFormat/>
    <w:uiPriority w:val="1"/>
    <w:pPr>
      <w:spacing w:beforeLines="0" w:afterLines="0"/>
    </w:pPr>
    <w:rPr>
      <w:rFonts w:hint="eastAsia"/>
      <w:sz w:val="24"/>
    </w:rPr>
  </w:style>
  <w:style w:type="paragraph" w:customStyle="1" w:styleId="40">
    <w:name w:val="表格正文"/>
    <w:basedOn w:val="1"/>
    <w:qFormat/>
    <w:uiPriority w:val="0"/>
    <w:pPr>
      <w:spacing w:line="360" w:lineRule="exact"/>
      <w:jc w:val="center"/>
    </w:pPr>
    <w:rPr>
      <w:rFonts w:ascii="Arial" w:hAnsi="Arial"/>
      <w:color w:val="000000"/>
      <w:szCs w:val="24"/>
    </w:rPr>
  </w:style>
  <w:style w:type="paragraph" w:customStyle="1" w:styleId="41">
    <w:name w:val="表中文字、宋体"/>
    <w:basedOn w:val="1"/>
    <w:qFormat/>
    <w:uiPriority w:val="0"/>
    <w:pPr>
      <w:spacing w:line="320" w:lineRule="exact"/>
    </w:pPr>
    <w:rPr>
      <w:rFonts w:ascii="宋体" w:hAnsi="宋体"/>
      <w:bCs/>
      <w:szCs w:val="21"/>
    </w:rPr>
  </w:style>
  <w:style w:type="paragraph" w:customStyle="1" w:styleId="42">
    <w:name w:val="xl31"/>
    <w:basedOn w:val="1"/>
    <w:qFormat/>
    <w:uiPriority w:val="0"/>
    <w:pPr>
      <w:widowControl/>
      <w:spacing w:before="100" w:beforeAutospacing="1" w:after="100" w:afterAutospacing="1"/>
      <w:jc w:val="center"/>
    </w:pPr>
    <w:rPr>
      <w:rFonts w:cs="Dutch801 Rm BT"/>
      <w:kern w:val="0"/>
      <w:sz w:val="24"/>
      <w:szCs w:val="24"/>
    </w:rPr>
  </w:style>
  <w:style w:type="paragraph" w:customStyle="1" w:styleId="43">
    <w:name w:val="表格文字"/>
    <w:basedOn w:val="2"/>
    <w:qFormat/>
    <w:uiPriority w:val="0"/>
    <w:pPr>
      <w:ind w:firstLine="0" w:firstLineChars="0"/>
    </w:pPr>
    <w:rPr>
      <w:rFonts w:eastAsia="仿宋_GB2312"/>
    </w:rPr>
  </w:style>
  <w:style w:type="paragraph" w:customStyle="1" w:styleId="44">
    <w:name w:val="表"/>
    <w:basedOn w:val="2"/>
    <w:qFormat/>
    <w:uiPriority w:val="0"/>
    <w:pPr>
      <w:tabs>
        <w:tab w:val="left" w:pos="1736"/>
        <w:tab w:val="left" w:pos="2476"/>
        <w:tab w:val="left" w:pos="5505"/>
        <w:tab w:val="left" w:pos="9692"/>
      </w:tabs>
      <w:spacing w:after="0" w:line="360" w:lineRule="exact"/>
      <w:jc w:val="center"/>
    </w:pPr>
    <w:rPr>
      <w:rFonts w:hAnsi="宋体"/>
      <w:snapToGrid w:val="0"/>
      <w:kern w:val="0"/>
      <w:sz w:val="24"/>
    </w:rPr>
  </w:style>
  <w:style w:type="paragraph" w:styleId="45">
    <w:name w:val="List Paragraph"/>
    <w:basedOn w:val="1"/>
    <w:qFormat/>
    <w:uiPriority w:val="0"/>
    <w:pPr>
      <w:ind w:firstLine="420" w:firstLineChars="200"/>
    </w:pPr>
    <w:rPr>
      <w:rFonts w:ascii="Calibri" w:hAnsi="Calibri"/>
      <w:szCs w:val="22"/>
    </w:rPr>
  </w:style>
  <w:style w:type="paragraph" w:customStyle="1" w:styleId="46">
    <w:name w:val="0正文缩"/>
    <w:basedOn w:val="1"/>
    <w:qFormat/>
    <w:uiPriority w:val="0"/>
    <w:pPr>
      <w:adjustRightInd w:val="0"/>
      <w:snapToGrid w:val="0"/>
      <w:spacing w:line="460" w:lineRule="exact"/>
      <w:ind w:firstLine="200" w:firstLineChars="200"/>
    </w:pPr>
    <w:rPr>
      <w:kern w:val="0"/>
      <w:sz w:val="24"/>
      <w:szCs w:val="21"/>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 w:type="table" w:customStyle="1" w:styleId="48">
    <w:name w:val="Table Normal"/>
    <w:semiHidden/>
    <w:unhideWhenUsed/>
    <w:qFormat/>
    <w:uiPriority w:val="0"/>
    <w:tblPr>
      <w:tblCellMar>
        <w:top w:w="0" w:type="dxa"/>
        <w:left w:w="0" w:type="dxa"/>
        <w:bottom w:w="0" w:type="dxa"/>
        <w:right w:w="0" w:type="dxa"/>
      </w:tblCellMar>
    </w:tblPr>
  </w:style>
  <w:style w:type="paragraph" w:customStyle="1" w:styleId="49">
    <w:name w:val="Other|1"/>
    <w:basedOn w:val="1"/>
    <w:autoRedefine/>
    <w:qFormat/>
    <w:uiPriority w:val="0"/>
    <w:pPr>
      <w:spacing w:after="150" w:line="480" w:lineRule="auto"/>
      <w:ind w:firstLine="400"/>
      <w:jc w:val="left"/>
    </w:pPr>
    <w:rPr>
      <w:rFonts w:ascii="宋体" w:hAnsi="宋体" w:cs="宋体"/>
      <w:kern w:val="0"/>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wmf"/><Relationship Id="rId36" Type="http://schemas.openxmlformats.org/officeDocument/2006/relationships/oleObject" Target="embeddings/oleObject13.bin"/><Relationship Id="rId35" Type="http://schemas.openxmlformats.org/officeDocument/2006/relationships/image" Target="media/image14.png"/><Relationship Id="rId34" Type="http://schemas.openxmlformats.org/officeDocument/2006/relationships/image" Target="media/image13.emf"/><Relationship Id="rId33" Type="http://schemas.openxmlformats.org/officeDocument/2006/relationships/oleObject" Target="embeddings/oleObject12.bin"/><Relationship Id="rId32" Type="http://schemas.openxmlformats.org/officeDocument/2006/relationships/image" Target="media/image12.png"/><Relationship Id="rId31" Type="http://schemas.openxmlformats.org/officeDocument/2006/relationships/image" Target="media/image11.e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0.emf"/><Relationship Id="rId28" Type="http://schemas.openxmlformats.org/officeDocument/2006/relationships/oleObject" Target="embeddings/oleObject10.bin"/><Relationship Id="rId27" Type="http://schemas.openxmlformats.org/officeDocument/2006/relationships/image" Target="media/image9.emf"/><Relationship Id="rId26" Type="http://schemas.openxmlformats.org/officeDocument/2006/relationships/oleObject" Target="embeddings/oleObject9.bin"/><Relationship Id="rId25" Type="http://schemas.openxmlformats.org/officeDocument/2006/relationships/image" Target="media/image8.emf"/><Relationship Id="rId24" Type="http://schemas.openxmlformats.org/officeDocument/2006/relationships/oleObject" Target="embeddings/oleObject8.bin"/><Relationship Id="rId23" Type="http://schemas.openxmlformats.org/officeDocument/2006/relationships/image" Target="media/image7.emf"/><Relationship Id="rId22" Type="http://schemas.openxmlformats.org/officeDocument/2006/relationships/oleObject" Target="embeddings/oleObject7.bin"/><Relationship Id="rId21" Type="http://schemas.openxmlformats.org/officeDocument/2006/relationships/image" Target="media/image6.e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5.bin"/><Relationship Id="rId17" Type="http://schemas.openxmlformats.org/officeDocument/2006/relationships/image" Target="media/image4.emf"/><Relationship Id="rId16" Type="http://schemas.openxmlformats.org/officeDocument/2006/relationships/oleObject" Target="embeddings/oleObject4.bin"/><Relationship Id="rId15" Type="http://schemas.openxmlformats.org/officeDocument/2006/relationships/image" Target="media/image3.emf"/><Relationship Id="rId14" Type="http://schemas.openxmlformats.org/officeDocument/2006/relationships/oleObject" Target="embeddings/oleObject3.bin"/><Relationship Id="rId13" Type="http://schemas.openxmlformats.org/officeDocument/2006/relationships/image" Target="media/image2.emf"/><Relationship Id="rId12" Type="http://schemas.openxmlformats.org/officeDocument/2006/relationships/oleObject" Target="embeddings/oleObject2.bin"/><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99</Pages>
  <Words>20569</Words>
  <Characters>21159</Characters>
  <Lines>188</Lines>
  <Paragraphs>53</Paragraphs>
  <TotalTime>85</TotalTime>
  <ScaleCrop>false</ScaleCrop>
  <LinksUpToDate>false</LinksUpToDate>
  <CharactersWithSpaces>21300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2021-03-02T02:45:00Z</dcterms:created>
  <dc:creator>Administrator</dc:creator>
  <cp:lastModifiedBy>大石</cp:lastModifiedBy>
  <cp:lastPrinted>2024-12-09T09:00:00Z</cp:lastPrinted>
  <dcterms:modified xsi:type="dcterms:W3CDTF">2025-02-17T07:52:01Z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99F8074B00B54B79B6B945C3B5BE0657</vt:lpwstr>
  </property>
  <property fmtid="{D5CDD505-2E9C-101B-9397-08002B2CF9AE}" pid="4" name="KSOTemplateDocerSaveRecord">
    <vt:lpwstr>eyJoZGlkIjoiY2MwNjczMWJlNDAxMDI2ZDg2M2RkNGIwNDU4OTJlOTMiLCJ1c2VySWQiOiIxMDUwMDIzMjk0In0=</vt:lpwstr>
  </property>
</Properties>
</file>