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33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2250"/>
        <w:gridCol w:w="3857"/>
        <w:gridCol w:w="15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22"/>
                <w:szCs w:val="22"/>
              </w:rPr>
              <w:t>单位信息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22"/>
                <w:szCs w:val="22"/>
              </w:rPr>
              <w:t>项目名称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22"/>
                <w:szCs w:val="22"/>
              </w:rPr>
              <w:t>自评得分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退役士兵一次性经济补助</w:t>
            </w:r>
          </w:p>
        </w:tc>
        <w:tc>
          <w:tcPr>
            <w:tcW w:w="3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部分退役士兵社会保险接续（含待安期）</w:t>
            </w:r>
          </w:p>
        </w:tc>
        <w:tc>
          <w:tcPr>
            <w:tcW w:w="3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优抚对象临时物价补贴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企业下岗失业军转干部生活补助及医保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优抚对象医疗补助（上级）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98.18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退役军人事务改革和发展补助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义务兵家庭优待金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军队转业干部管理服务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自主就业退役士兵管理教育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区级配套优抚对象抚恤金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98.18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优抚对象解三难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87.25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代管无军籍离退休人员离退休费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一至四级残疾士兵分散供养住房保障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退役军人档案管理服务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拥军优属管理工作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双拥模范城创建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对起义投诚人员的生活补助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革命烈士祭扫、纪念活动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优抚事业单位维修改造补助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退役军人关爱基金引导资金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大学生义务兵家庭优待金增发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重点优抚对象解三难补助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优抚对象抚恤、生活补助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自主择业军转干部地方补贴及医保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现役军人随军家属未就业基本生活保障金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廉租房租赁补贴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军转办工作管理费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企业退休军转干部基本医疗缴费补助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部分退役士兵再就业帮扶人员待遇保障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优抚对象医疗补助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98.18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春节、八一等双拥活动慰问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优抚对象抚恤和生活补助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32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60" w:lineRule="exact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color w:val="000000"/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60" w:lineRule="exact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color w:val="000000"/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60" w:lineRule="exact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color w:val="000000"/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60" w:lineRule="exact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color w:val="000000"/>
          <w:sz w:val="22"/>
          <w:szCs w:val="22"/>
        </w:rPr>
      </w:pPr>
    </w:p>
    <w:p>
      <w:pPr>
        <w:pStyle w:val="2"/>
        <w:rPr>
          <w:rFonts w:hint="eastAsia" w:ascii="微软雅黑" w:hAnsi="微软雅黑" w:eastAsia="微软雅黑" w:cs="微软雅黑"/>
          <w:sz w:val="22"/>
          <w:szCs w:val="22"/>
        </w:rPr>
      </w:pPr>
    </w:p>
    <w:p>
      <w:pPr>
        <w:pStyle w:val="2"/>
        <w:rPr>
          <w:rFonts w:hint="eastAsia" w:ascii="微软雅黑" w:hAnsi="微软雅黑" w:eastAsia="微软雅黑" w:cs="微软雅黑"/>
          <w:sz w:val="22"/>
          <w:szCs w:val="22"/>
        </w:rPr>
      </w:pPr>
    </w:p>
    <w:p>
      <w:pPr>
        <w:pStyle w:val="2"/>
        <w:rPr>
          <w:rFonts w:hint="eastAsia" w:ascii="微软雅黑" w:hAnsi="微软雅黑" w:eastAsia="微软雅黑" w:cs="微软雅黑"/>
          <w:sz w:val="22"/>
          <w:szCs w:val="22"/>
        </w:rPr>
      </w:pPr>
    </w:p>
    <w:p>
      <w:pPr>
        <w:pStyle w:val="2"/>
        <w:rPr>
          <w:rFonts w:hint="eastAsia" w:ascii="微软雅黑" w:hAnsi="微软雅黑" w:eastAsia="微软雅黑" w:cs="微软雅黑"/>
          <w:sz w:val="22"/>
          <w:szCs w:val="22"/>
        </w:rPr>
      </w:pPr>
    </w:p>
    <w:p>
      <w:pPr>
        <w:pStyle w:val="2"/>
        <w:rPr>
          <w:rFonts w:hint="eastAsia" w:ascii="微软雅黑" w:hAnsi="微软雅黑" w:eastAsia="微软雅黑" w:cs="微软雅黑"/>
          <w:sz w:val="22"/>
          <w:szCs w:val="22"/>
        </w:rPr>
      </w:pPr>
    </w:p>
    <w:p>
      <w:pPr>
        <w:pStyle w:val="2"/>
        <w:rPr>
          <w:rFonts w:hint="eastAsia" w:ascii="微软雅黑" w:hAnsi="微软雅黑" w:eastAsia="微软雅黑" w:cs="微软雅黑"/>
          <w:sz w:val="22"/>
          <w:szCs w:val="22"/>
        </w:rPr>
      </w:pPr>
    </w:p>
    <w:p>
      <w:pPr>
        <w:pStyle w:val="2"/>
        <w:rPr>
          <w:rFonts w:hint="eastAsia" w:ascii="微软雅黑" w:hAnsi="微软雅黑" w:eastAsia="微软雅黑" w:cs="微软雅黑"/>
          <w:sz w:val="22"/>
          <w:szCs w:val="22"/>
        </w:rPr>
      </w:pPr>
    </w:p>
    <w:p>
      <w:pPr>
        <w:pStyle w:val="2"/>
        <w:rPr>
          <w:rFonts w:hint="eastAsia" w:ascii="微软雅黑" w:hAnsi="微软雅黑" w:eastAsia="微软雅黑" w:cs="微软雅黑"/>
          <w:sz w:val="22"/>
          <w:szCs w:val="22"/>
        </w:rPr>
      </w:pPr>
    </w:p>
    <w:p>
      <w:pPr>
        <w:pStyle w:val="2"/>
        <w:rPr>
          <w:rFonts w:hint="eastAsia" w:ascii="微软雅黑" w:hAnsi="微软雅黑" w:eastAsia="微软雅黑" w:cs="微软雅黑"/>
          <w:sz w:val="22"/>
          <w:szCs w:val="22"/>
        </w:rPr>
      </w:pPr>
    </w:p>
    <w:p>
      <w:pPr>
        <w:pStyle w:val="2"/>
        <w:rPr>
          <w:rFonts w:hint="eastAsia" w:ascii="微软雅黑" w:hAnsi="微软雅黑" w:eastAsia="微软雅黑" w:cs="微软雅黑"/>
          <w:sz w:val="22"/>
          <w:szCs w:val="22"/>
        </w:rPr>
      </w:pPr>
    </w:p>
    <w:p>
      <w:pPr>
        <w:pStyle w:val="2"/>
        <w:rPr>
          <w:rFonts w:hint="eastAsia" w:ascii="微软雅黑" w:hAnsi="微软雅黑" w:eastAsia="微软雅黑" w:cs="微软雅黑"/>
          <w:sz w:val="22"/>
          <w:szCs w:val="22"/>
        </w:rPr>
      </w:pPr>
    </w:p>
    <w:p>
      <w:pPr>
        <w:pStyle w:val="2"/>
        <w:rPr>
          <w:rFonts w:hint="eastAsia" w:ascii="微软雅黑" w:hAnsi="微软雅黑" w:eastAsia="微软雅黑" w:cs="微软雅黑"/>
          <w:sz w:val="22"/>
          <w:szCs w:val="22"/>
        </w:rPr>
      </w:pPr>
    </w:p>
    <w:tbl>
      <w:tblPr>
        <w:tblStyle w:val="3"/>
        <w:tblW w:w="8335" w:type="dxa"/>
        <w:tblInd w:w="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37"/>
        <w:gridCol w:w="545"/>
        <w:gridCol w:w="1050"/>
        <w:gridCol w:w="150"/>
        <w:gridCol w:w="505"/>
        <w:gridCol w:w="722"/>
        <w:gridCol w:w="928"/>
        <w:gridCol w:w="845"/>
        <w:gridCol w:w="464"/>
        <w:gridCol w:w="572"/>
        <w:gridCol w:w="750"/>
        <w:gridCol w:w="6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Autospacing="0" w:afterAutospacing="0" w:line="600" w:lineRule="exact"/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项目名称：</w:t>
            </w:r>
          </w:p>
        </w:tc>
        <w:tc>
          <w:tcPr>
            <w:tcW w:w="18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区级配套优抚对象抚恤金</w:t>
            </w: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执行率得分：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自评总分：</w:t>
            </w:r>
          </w:p>
        </w:tc>
        <w:tc>
          <w:tcPr>
            <w:tcW w:w="24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98.18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33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绩效目标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7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年初绩效目标</w:t>
            </w:r>
          </w:p>
        </w:tc>
        <w:tc>
          <w:tcPr>
            <w:tcW w:w="23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全年（调整）绩效目标</w:t>
            </w:r>
          </w:p>
        </w:tc>
        <w:tc>
          <w:tcPr>
            <w:tcW w:w="32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全年目标实际完成情况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7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落实优抚对象（三属、老年烈士子女、残军、带病退伍军人、参战人员、老复员军人、农村60岁老兵）相关政策待遇，每月及时足额发放抚恤金、优待金、生活补助等，保障其合法权益，提高优抚对象的社会地位和荣誉感。</w:t>
            </w:r>
          </w:p>
        </w:tc>
        <w:tc>
          <w:tcPr>
            <w:tcW w:w="23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32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落实优抚对象（三属、老年烈士子女、残军、带病退伍军人、参战人员、老复员军人、农村60岁老兵）相关政策待遇，每月及时足额发放抚恤金、优待金、生活补助等，保障其合法权益，提高优抚对象的社会地位和荣誉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33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绩效指标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1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指标名称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计量单位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指标性质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指标值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全年完成值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偏离度（%）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得分系数（%）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指标权重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指标得分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是否核心指标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符合优抚政策规定的年度评定备案人数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5252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0.91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90.9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18.18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line="60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重点优抚对象信息维护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＝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line="60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资金发放及时率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＝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line="60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抚恤政策宣传率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5.56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line="60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重点优抚对象满意度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2.22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beforeAutospacing="0" w:line="60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>
      <w:pPr>
        <w:pStyle w:val="2"/>
        <w:rPr>
          <w:rFonts w:hint="eastAsia" w:ascii="微软雅黑" w:hAnsi="微软雅黑" w:eastAsia="微软雅黑" w:cs="微软雅黑"/>
          <w:b w:val="0"/>
          <w:bCs/>
          <w:sz w:val="21"/>
          <w:szCs w:val="21"/>
        </w:rPr>
      </w:pPr>
    </w:p>
    <w:p/>
    <w:p>
      <w:pPr>
        <w:pStyle w:val="2"/>
        <w:rPr>
          <w:rFonts w:hint="eastAsia" w:ascii="微软雅黑" w:hAnsi="微软雅黑" w:eastAsia="微软雅黑" w:cs="微软雅黑"/>
          <w:b w:val="0"/>
          <w:bCs/>
          <w:sz w:val="23"/>
          <w:szCs w:val="2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1MTZjNTFkODVlNWM3MzI5NWFkNDc2NzAxZjNlZTUifQ=="/>
  </w:docVars>
  <w:rsids>
    <w:rsidRoot w:val="00000000"/>
    <w:rsid w:val="31AF06A1"/>
    <w:rsid w:val="523A5C71"/>
    <w:rsid w:val="5CB734F2"/>
    <w:rsid w:val="5F955D25"/>
    <w:rsid w:val="6495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99"/>
    <w:rPr>
      <w:rFonts w:hint="eastAsia" w:ascii="宋体" w:hAnsi="宋体" w:eastAsia="宋体" w:cs="Times New Roman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</w:pPr>
    <w:rPr>
      <w:rFonts w:hint="default" w:ascii="宋体" w:hAnsi="宋体" w:cs="宋体"/>
      <w:szCs w:val="21"/>
    </w:rPr>
  </w:style>
  <w:style w:type="paragraph" w:customStyle="1" w:styleId="5">
    <w:name w:val="普通(网站) Char"/>
    <w:qFormat/>
    <w:uiPriority w:val="0"/>
    <w:pPr>
      <w:spacing w:before="100" w:beforeAutospacing="1" w:after="100" w:afterAutospacing="1"/>
    </w:pPr>
    <w:rPr>
      <w:rFonts w:ascii="宋体" w:hAnsi="宋体" w:eastAsia="宋体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2553</Words>
  <Characters>2805</Characters>
  <Lines>0</Lines>
  <Paragraphs>0</Paragraphs>
  <TotalTime>1</TotalTime>
  <ScaleCrop>false</ScaleCrop>
  <LinksUpToDate>false</LinksUpToDate>
  <CharactersWithSpaces>2805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2024-10-23T06:23:00Z</dcterms:created>
  <dc:creator>Administrator</dc:creator>
  <cp:lastModifiedBy>Administrator</cp:lastModifiedBy>
  <dcterms:modified xsi:type="dcterms:W3CDTF">2024-10-31T08:43:37Z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BDBFEB247CF9470483729AAE2820C302</vt:lpwstr>
  </property>
</Properties>
</file>