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6"/>
        <w:shd w:val="clear" w:color="auto" w:fill="FFFFFF"/>
        <w:spacing w:before="0" w:beforeAutospacing="0" w:after="0" w:afterAutospacing="0" w:line="420" w:lineRule="atLeast"/>
        <w:ind w:left="0" w:firstLine="480"/>
        <w:jc w:val="center"/>
        <w:rPr>
          <w:rFonts w:ascii="微软雅黑" w:eastAsia="微软雅黑"/>
          <w:spacing w:val="-14"/>
          <w:sz w:val="32"/>
          <w:szCs w:val="32"/>
          <w:shd w:val="clear" w:color="auto" w:fill="auto"/>
        </w:rPr>
      </w:pPr>
      <w:r>
        <w:rPr>
          <w:rFonts w:ascii="微软雅黑" w:eastAsia="微软雅黑" w:hint="eastAsia"/>
          <w:spacing w:val="-14"/>
          <w:sz w:val="32"/>
          <w:szCs w:val="32"/>
          <w:shd w:val="clear" w:color="auto" w:fill="auto"/>
        </w:rPr>
        <w:t>重庆市涪陵区文化和旅游发展委员会</w:t>
      </w:r>
    </w:p>
    <w:p>
      <w:pPr>
        <w:pStyle w:val="16"/>
        <w:shd w:val="clear" w:color="auto" w:fill="FFFFFF"/>
        <w:spacing w:before="0" w:beforeAutospacing="0" w:after="0" w:afterAutospacing="0" w:line="420" w:lineRule="atLeast"/>
        <w:ind w:left="0" w:firstLine="480"/>
        <w:jc w:val="center"/>
        <w:rPr>
          <w:rFonts w:ascii="微软雅黑" w:eastAsia="微软雅黑" w:hint="eastAsia"/>
          <w:spacing w:val="-14"/>
          <w:sz w:val="32"/>
          <w:szCs w:val="32"/>
          <w:shd w:val="clear" w:color="auto" w:fill="auto"/>
        </w:rPr>
      </w:pPr>
      <w:r>
        <w:rPr>
          <w:rFonts w:ascii="微软雅黑" w:eastAsia="微软雅黑" w:hint="eastAsia"/>
          <w:spacing w:val="-14"/>
          <w:sz w:val="32"/>
          <w:szCs w:val="32"/>
          <w:shd w:val="clear" w:color="auto" w:fill="auto"/>
        </w:rPr>
        <w:t>2020年政府信息公开工作年度报告</w:t>
      </w:r>
    </w:p>
    <w:p/>
    <w:p>
      <w:pPr>
        <w:pStyle w:val="16"/>
        <w:spacing w:before="0" w:beforeAutospacing="0" w:after="0" w:afterAutospacing="0" w:line="420" w:lineRule="atLeast"/>
        <w:ind w:firstLineChars="200" w:firstLine="480"/>
        <w:rPr>
          <w:rStyle w:val="15"/>
          <w:rFonts w:ascii="文泉驿正黑" w:eastAsia="微软雅黑" w:hAnsi="文泉驿正黑"/>
          <w:b w:val="0"/>
          <w:bCs w:val="0"/>
          <w:i w:val="0"/>
          <w:iCs w:val="0"/>
          <w:caps w:val="0"/>
          <w:smallCaps w:val="0"/>
          <w:vanish w:val="0"/>
          <w:color w:val="000000"/>
          <w:spacing w:val="0"/>
          <w:sz w:val="24"/>
          <w:szCs w:val="24"/>
          <w:shd w:val="clear" w:color="auto" w:fill="FFFFFF"/>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一、总体情况</w:t>
      </w:r>
    </w:p>
    <w:p>
      <w:pPr>
        <w:pStyle w:val="16"/>
        <w:spacing w:before="0" w:beforeAutospacing="0" w:after="0" w:afterAutospacing="0" w:line="420" w:lineRule="atLeast"/>
        <w:ind w:firstLineChars="150" w:firstLine="36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（一）主动公开政府信息：</w:t>
      </w:r>
      <w:r>
        <w:rPr>
          <w:rFonts w:ascii="微软雅黑" w:eastAsia="微软雅黑" w:hint="eastAsia"/>
          <w:b w:val="0"/>
          <w:bCs w:val="0"/>
          <w:i w:val="0"/>
          <w:iCs w:val="0"/>
          <w:caps w:val="0"/>
          <w:smallCaps w:val="0"/>
          <w:vanish w:val="0"/>
          <w:color w:val="000000"/>
          <w:spacing w:val="0"/>
          <w:sz w:val="24"/>
          <w:szCs w:val="24"/>
          <w:shd w:val="clear" w:color="auto" w:fill="FFFFFF"/>
        </w:rPr>
        <w:t>2020</w:t>
      </w:r>
      <w:r>
        <w:rPr>
          <w:rFonts w:ascii="微软雅黑" w:eastAsia="微软雅黑" w:hint="eastAsia"/>
          <w:b w:val="0"/>
          <w:bCs w:val="0"/>
          <w:i w:val="0"/>
          <w:iCs w:val="0"/>
          <w:caps w:val="0"/>
          <w:smallCaps w:val="0"/>
          <w:vanish w:val="0"/>
          <w:color w:val="000000"/>
          <w:spacing w:val="0"/>
          <w:sz w:val="24"/>
          <w:szCs w:val="24"/>
        </w:rPr>
        <w:t>年度主动公开政府信息共300余条，其中全文电子化达100%。主动公开的信息中，均为机构职能类信息，具体包括部门预决算、行政许可、行政处罚和政府集中采购、政务动态信息、基层标准目录等。编制了重庆市涪陵区公共文化服务领域基层政务公开标准目录，涉及行政许可、行政处罚、行政强制、行政确认、公共服务事项共计315个子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right="0" w:firstLineChars="150" w:firstLine="36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（二）依申请公开政府信息：</w:t>
      </w:r>
      <w:r>
        <w:rPr>
          <w:rFonts w:ascii="微软雅黑" w:eastAsia="微软雅黑" w:hint="eastAsia"/>
          <w:b w:val="0"/>
          <w:bCs w:val="0"/>
          <w:i w:val="0"/>
          <w:iCs w:val="0"/>
          <w:caps w:val="0"/>
          <w:smallCaps w:val="0"/>
          <w:vanish w:val="0"/>
          <w:color w:val="000000"/>
          <w:spacing w:val="0"/>
          <w:sz w:val="24"/>
          <w:szCs w:val="24"/>
          <w:shd w:val="clear" w:color="auto" w:fill="FFFFFF"/>
        </w:rPr>
        <w:t xml:space="preserve"> 2020</w:t>
      </w:r>
      <w:r>
        <w:rPr>
          <w:rFonts w:ascii="微软雅黑" w:eastAsia="微软雅黑" w:hint="eastAsia"/>
          <w:b w:val="0"/>
          <w:bCs w:val="0"/>
          <w:i w:val="0"/>
          <w:iCs w:val="0"/>
          <w:caps w:val="0"/>
          <w:smallCaps w:val="0"/>
          <w:vanish w:val="0"/>
          <w:color w:val="000000"/>
          <w:spacing w:val="0"/>
          <w:sz w:val="24"/>
          <w:szCs w:val="24"/>
        </w:rPr>
        <w:t>年，我委未收到依法申请公开的相关申请，同时，也未发生因政府信息公开工作中的具体行政行为侵犯公民、法人或者其他组织合法权益而被申请行政复议或被提起行政诉讼的情形。 </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right="0" w:firstLineChars="150" w:firstLine="36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（三）政府信息管理：</w:t>
      </w:r>
      <w:r>
        <w:rPr>
          <w:rFonts w:ascii="微软雅黑" w:eastAsia="微软雅黑" w:hint="eastAsia"/>
          <w:b w:val="0"/>
          <w:bCs w:val="0"/>
          <w:i w:val="0"/>
          <w:iCs w:val="0"/>
          <w:caps w:val="0"/>
          <w:smallCaps w:val="0"/>
          <w:vanish w:val="0"/>
          <w:color w:val="000000"/>
          <w:spacing w:val="0"/>
          <w:sz w:val="24"/>
          <w:szCs w:val="24"/>
          <w:shd w:val="clear" w:color="auto" w:fill="FFFFFF"/>
        </w:rPr>
        <w:t>为切实履行好政务公开的工作责任，全面推进落实政府信息公开、基层政务公开等栏目在区政府门户网站上的公开工作，成立了政务公开工作领导小组，由主要负责人负总责，分管领导全面负责，各科室和相关承办人员具体负责的工作机制，层层审核把关，严格落实“三审三校”制度，确保政务信息公开的内容准确无误，为社会公众获取信息提供条件和便利，保护人民群众的合法权益。</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right="0" w:firstLineChars="150" w:firstLine="36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（四）平台建设情况：</w:t>
      </w:r>
      <w:r>
        <w:rPr>
          <w:rFonts w:ascii="微软雅黑" w:eastAsia="微软雅黑" w:hint="eastAsia"/>
          <w:b w:val="0"/>
          <w:bCs w:val="0"/>
          <w:i w:val="0"/>
          <w:iCs w:val="0"/>
          <w:caps w:val="0"/>
          <w:smallCaps w:val="0"/>
          <w:vanish w:val="0"/>
          <w:color w:val="000000"/>
          <w:spacing w:val="0"/>
          <w:sz w:val="24"/>
          <w:szCs w:val="24"/>
          <w:shd w:val="clear" w:color="auto" w:fill="FFFFFF"/>
        </w:rPr>
        <w:t>在区政务公开领导小组办公室的业务指导下，结合本单位工作实际情况，于2020</w:t>
      </w:r>
      <w:r>
        <w:rPr>
          <w:rFonts w:ascii="微软雅黑" w:eastAsia="微软雅黑" w:hint="eastAsia"/>
          <w:b w:val="0"/>
          <w:bCs w:val="0"/>
          <w:i w:val="0"/>
          <w:iCs w:val="0"/>
          <w:caps w:val="0"/>
          <w:smallCaps w:val="0"/>
          <w:vanish w:val="0"/>
          <w:color w:val="000000"/>
          <w:spacing w:val="0"/>
          <w:sz w:val="24"/>
          <w:szCs w:val="24"/>
        </w:rPr>
        <w:t>年11月完成重庆市涪陵区公共文化服务领域基层政务公开标准目录的编制及公开工作，积极做好信息公开平台建设，落实信息公开建设和内容保障工作，及时、准确地公开、完善、维护我委涉及政府信息公开的内容。</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right="0" w:firstLineChars="150" w:firstLine="360"/>
        <w:rPr>
          <w:rFonts w:ascii="微软雅黑" w:eastAsia="微软雅黑" w:hint="eastAsia"/>
          <w:b w:val="0"/>
          <w:bCs w:val="0"/>
          <w:i w:val="0"/>
          <w:iCs w:val="0"/>
          <w:caps w:val="0"/>
          <w:smallCaps w:val="0"/>
          <w:vanish w:val="0"/>
          <w:color w:val="000000"/>
          <w:spacing w:val="0"/>
          <w:sz w:val="24"/>
          <w:szCs w:val="24"/>
        </w:rPr>
      </w:pPr>
      <w:bookmarkStart w:id="0" w:name="_GoBack"/>
      <w:bookmarkEnd w:id="0"/>
      <w:r>
        <w:rPr>
          <w:rStyle w:val="15"/>
          <w:rFonts w:ascii="微软雅黑" w:eastAsia="微软雅黑" w:hint="eastAsia"/>
          <w:b w:val="0"/>
          <w:bCs w:val="0"/>
          <w:i w:val="0"/>
          <w:iCs w:val="0"/>
          <w:caps w:val="0"/>
          <w:smallCaps w:val="0"/>
          <w:vanish w:val="0"/>
          <w:color w:val="000000"/>
          <w:spacing w:val="0"/>
          <w:sz w:val="24"/>
          <w:szCs w:val="24"/>
          <w:shd w:val="clear" w:color="auto" w:fill="FFFFFF"/>
        </w:rPr>
        <w:t>（五）监督保障及培训情况：</w:t>
      </w:r>
      <w:r>
        <w:rPr>
          <w:rFonts w:ascii="微软雅黑" w:eastAsia="微软雅黑" w:hint="eastAsia"/>
          <w:b w:val="0"/>
          <w:bCs w:val="0"/>
          <w:i w:val="0"/>
          <w:iCs w:val="0"/>
          <w:caps w:val="0"/>
          <w:smallCaps w:val="0"/>
          <w:vanish w:val="0"/>
          <w:color w:val="000000"/>
          <w:spacing w:val="0"/>
          <w:sz w:val="24"/>
          <w:szCs w:val="24"/>
          <w:shd w:val="clear" w:color="auto" w:fill="FFFFFF"/>
        </w:rPr>
        <w:t>建立健全政务信息公开监督保障机制，提升政务信息公开工作人员的工作能力，参加全市政务公开工作线上培训班，学习《政府信息公开条例》、2020</w:t>
      </w:r>
      <w:r>
        <w:rPr>
          <w:rFonts w:ascii="微软雅黑" w:eastAsia="微软雅黑" w:hint="eastAsia"/>
          <w:b w:val="0"/>
          <w:bCs w:val="0"/>
          <w:i w:val="0"/>
          <w:iCs w:val="0"/>
          <w:caps w:val="0"/>
          <w:smallCaps w:val="0"/>
          <w:vanish w:val="0"/>
          <w:color w:val="000000"/>
          <w:spacing w:val="0"/>
          <w:sz w:val="24"/>
          <w:szCs w:val="24"/>
        </w:rPr>
        <w:t>年全国政务公开工作重点、政府信息依申请公开办理规范等相关文件材料，增进信息公开人员的业务知识和水平。</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二、主动公开政府信息情况</w:t>
      </w:r>
    </w:p>
    <w:p>
      <w:pPr>
        <w:pStyle w:val="16"/>
        <w:pBdr>
          <w:top w:val="none" w:sz="0" w:space="0" w:color="auto"/>
          <w:left w:val="none" w:sz="0" w:space="0" w:color="auto"/>
          <w:bottom w:val="none" w:sz="0" w:space="0" w:color="auto"/>
          <w:right w:val="none" w:sz="0" w:space="0" w:color="auto"/>
        </w:pBdr>
        <w:spacing w:before="0" w:beforeAutospacing="0" w:after="0" w:afterAutospacing="0" w:line="360" w:lineRule="atLeast"/>
        <w:ind w:right="0" w:firstLineChars="50" w:firstLine="100"/>
        <w:jc w:val="left"/>
        <w:rPr>
          <w:rFonts w:ascii="Sans-serif" w:hAnsi="Sans-serif"/>
          <w:b w:val="0"/>
          <w:bCs w:val="0"/>
          <w:i w:val="0"/>
          <w:iCs w:val="0"/>
          <w:caps w:val="0"/>
          <w:smallCaps w:val="0"/>
          <w:vanish w:val="0"/>
          <w:color w:val="000000"/>
          <w:spacing w:val="0"/>
          <w:sz w:val="20"/>
          <w:szCs w:val="20"/>
        </w:rPr>
      </w:pPr>
      <w:r>
        <w:rPr>
          <w:rFonts w:ascii="Sans-serif" w:hAnsi="Sans-serif"/>
          <w:b w:val="0"/>
          <w:bCs w:val="0"/>
          <w:i w:val="0"/>
          <w:iCs w:val="0"/>
          <w:caps w:val="0"/>
          <w:smallCaps w:val="0"/>
          <w:vanish w:val="0"/>
          <w:color w:val="000000"/>
          <w:spacing w:val="0"/>
          <w:sz w:val="20"/>
          <w:szCs w:val="20"/>
        </w:rPr>
        <w:drawing>
          <wp:inline distT="0" distB="0" distL="85723" distR="85723">
            <wp:extent cx="5319614" cy="4149713"/>
            <wp:effectExtent l="0" t="0" r="17" b="19"/>
            <wp:docPr id="1" name="图片"/>
            <wp:cNvGraphicFramePr>
              <a:graphicFrameLocks noChangeAspect="0"/>
            </wp:cNvGraphicFramePr>
            <a:graphic>
              <a:graphicData uri="http://schemas.openxmlformats.org/drawingml/2006/picture">
                <pic:pic>
                  <pic:nvPicPr>
                    <pic:cNvPr id="3" name="图片 3"/>
                    <pic:cNvPicPr/>
                  </pic:nvPicPr>
                  <pic:blipFill>
                    <a:blip r:embed="rId2"/>
                    <a:stretch>
                      <a:fillRect/>
                    </a:stretch>
                  </pic:blipFill>
                  <pic:spPr>
                    <a:xfrm rot="0">
                      <a:off x="0" y="0"/>
                      <a:ext cx="5319614" cy="4149713"/>
                    </a:xfrm>
                    <a:prstGeom prst="rect"/>
                    <a:noFill/>
                    <a:ln w="9525" cmpd="sng" cap="flat">
                      <a:noFill/>
                      <a:prstDash val="solid"/>
                      <a:miter/>
                    </a:ln>
                  </pic:spPr>
                </pic:pic>
              </a:graphicData>
            </a:graphic>
          </wp:inline>
        </w:drawing>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三、收到和处理政府信息公开申请情况</w:t>
      </w:r>
    </w:p>
    <w:p>
      <w:pPr>
        <w:pStyle w:val="16"/>
        <w:pBdr>
          <w:top w:val="none" w:sz="0" w:space="0" w:color="auto"/>
          <w:left w:val="none" w:sz="0" w:space="0" w:color="auto"/>
          <w:bottom w:val="none" w:sz="0" w:space="0" w:color="auto"/>
          <w:right w:val="none" w:sz="0" w:space="0" w:color="auto"/>
        </w:pBdr>
        <w:spacing w:before="0" w:beforeAutospacing="0" w:after="0" w:afterAutospacing="0" w:line="360" w:lineRule="atLeast"/>
        <w:ind w:right="0"/>
        <w:jc w:val="left"/>
        <w:rPr>
          <w:rFonts w:ascii="Sans-serif" w:hAnsi="Sans-serif"/>
          <w:b w:val="0"/>
          <w:bCs w:val="0"/>
          <w:i w:val="0"/>
          <w:iCs w:val="0"/>
          <w:caps w:val="0"/>
          <w:smallCaps w:val="0"/>
          <w:vanish w:val="0"/>
          <w:color w:val="000000"/>
          <w:spacing w:val="0"/>
          <w:sz w:val="20"/>
          <w:szCs w:val="20"/>
        </w:rPr>
      </w:pPr>
      <w:r>
        <w:rPr>
          <w:rFonts w:ascii="Sans-serif" w:hAnsi="Sans-serif"/>
          <w:b w:val="0"/>
          <w:bCs w:val="0"/>
          <w:i w:val="0"/>
          <w:iCs w:val="0"/>
          <w:caps w:val="0"/>
          <w:smallCaps w:val="0"/>
          <w:vanish w:val="0"/>
          <w:color w:val="000000"/>
          <w:spacing w:val="0"/>
          <w:sz w:val="20"/>
          <w:szCs w:val="20"/>
        </w:rPr>
        <w:drawing>
          <wp:inline distT="0" distB="0" distL="85723" distR="85723">
            <wp:extent cx="5295801" cy="5249042"/>
            <wp:effectExtent l="0" t="0" r="18" b="10"/>
            <wp:docPr id="4" name="图片"/>
            <wp:cNvGraphicFramePr>
              <a:graphicFrameLocks noChangeAspect="0"/>
            </wp:cNvGraphicFramePr>
            <a:graphic>
              <a:graphicData uri="http://schemas.openxmlformats.org/drawingml/2006/picture">
                <pic:pic>
                  <pic:nvPicPr>
                    <pic:cNvPr id="6" name="图片 6"/>
                    <pic:cNvPicPr/>
                  </pic:nvPicPr>
                  <pic:blipFill>
                    <a:blip r:embed="rId3"/>
                    <a:stretch>
                      <a:fillRect/>
                    </a:stretch>
                  </pic:blipFill>
                  <pic:spPr>
                    <a:xfrm rot="0">
                      <a:off x="0" y="0"/>
                      <a:ext cx="5295801" cy="5249042"/>
                    </a:xfrm>
                    <a:prstGeom prst="rect"/>
                    <a:noFill/>
                    <a:ln w="9525" cmpd="sng" cap="flat">
                      <a:noFill/>
                      <a:prstDash val="solid"/>
                      <a:miter/>
                    </a:ln>
                  </pic:spPr>
                </pic:pic>
              </a:graphicData>
            </a:graphic>
          </wp:inline>
        </w:drawing>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四、政府信息公开行政复议、行政诉讼情况</w:t>
      </w:r>
    </w:p>
    <w:p>
      <w:pPr>
        <w:pStyle w:val="16"/>
        <w:pBdr>
          <w:top w:val="none" w:sz="0" w:space="0" w:color="auto"/>
          <w:left w:val="none" w:sz="0" w:space="0" w:color="auto"/>
          <w:bottom w:val="none" w:sz="0" w:space="0" w:color="auto"/>
          <w:right w:val="none" w:sz="0" w:space="0" w:color="auto"/>
        </w:pBdr>
        <w:spacing w:before="0" w:beforeAutospacing="0" w:after="0" w:afterAutospacing="0" w:line="240" w:lineRule="auto"/>
        <w:ind w:right="0"/>
        <w:jc w:val="left"/>
        <w:rPr>
          <w:rFonts w:ascii="Sans-serif" w:hAnsi="Sans-serif"/>
          <w:b w:val="0"/>
          <w:bCs w:val="0"/>
          <w:i w:val="0"/>
          <w:iCs w:val="0"/>
          <w:caps w:val="0"/>
          <w:smallCaps w:val="0"/>
          <w:vanish w:val="0"/>
          <w:color w:val="000000"/>
          <w:spacing w:val="0"/>
          <w:sz w:val="20"/>
          <w:szCs w:val="20"/>
        </w:rPr>
      </w:pPr>
      <w:r>
        <w:rPr>
          <w:rFonts w:ascii="Sans-serif" w:hAnsi="Sans-serif"/>
          <w:b w:val="0"/>
          <w:bCs w:val="0"/>
          <w:i w:val="0"/>
          <w:iCs w:val="0"/>
          <w:caps w:val="0"/>
          <w:smallCaps w:val="0"/>
          <w:vanish w:val="0"/>
          <w:color w:val="000000"/>
          <w:spacing w:val="0"/>
          <w:sz w:val="20"/>
          <w:szCs w:val="20"/>
        </w:rPr>
        <w:drawing>
          <wp:inline distT="0" distB="0" distL="85723" distR="85723">
            <wp:extent cx="5319612" cy="1493907"/>
            <wp:effectExtent l="0" t="0" r="19" b="29"/>
            <wp:docPr id="7" name="图片"/>
            <wp:cNvGraphicFramePr>
              <a:graphicFrameLocks noChangeAspect="0"/>
            </wp:cNvGraphicFramePr>
            <a:graphic>
              <a:graphicData uri="http://schemas.openxmlformats.org/drawingml/2006/picture">
                <pic:pic>
                  <pic:nvPicPr>
                    <pic:cNvPr id="9" name="图片 9"/>
                    <pic:cNvPicPr/>
                  </pic:nvPicPr>
                  <pic:blipFill>
                    <a:blip r:embed="rId4"/>
                    <a:stretch>
                      <a:fillRect/>
                    </a:stretch>
                  </pic:blipFill>
                  <pic:spPr>
                    <a:xfrm rot="0">
                      <a:off x="0" y="0"/>
                      <a:ext cx="5319612" cy="1493907"/>
                    </a:xfrm>
                    <a:prstGeom prst="rect"/>
                    <a:noFill/>
                    <a:ln w="9525" cmpd="sng" cap="flat">
                      <a:noFill/>
                      <a:prstDash val="solid"/>
                      <a:miter/>
                    </a:ln>
                  </pic:spPr>
                </pic:pic>
              </a:graphicData>
            </a:graphic>
          </wp:inline>
        </w:drawing>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五、存在的主要问题及改进情况</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Fonts w:ascii="微软雅黑" w:eastAsia="微软雅黑" w:hint="eastAsia"/>
          <w:b w:val="0"/>
          <w:bCs w:val="0"/>
          <w:i w:val="0"/>
          <w:iCs w:val="0"/>
          <w:caps w:val="0"/>
          <w:smallCaps w:val="0"/>
          <w:vanish w:val="0"/>
          <w:color w:val="000000"/>
          <w:spacing w:val="0"/>
          <w:sz w:val="24"/>
          <w:szCs w:val="24"/>
          <w:shd w:val="clear" w:color="auto" w:fill="FFFFFF"/>
        </w:rPr>
        <w:t>2020</w:t>
      </w:r>
      <w:r>
        <w:rPr>
          <w:rFonts w:ascii="微软雅黑" w:eastAsia="微软雅黑" w:hint="eastAsia"/>
          <w:b w:val="0"/>
          <w:bCs w:val="0"/>
          <w:i w:val="0"/>
          <w:iCs w:val="0"/>
          <w:caps w:val="0"/>
          <w:smallCaps w:val="0"/>
          <w:vanish w:val="0"/>
          <w:color w:val="000000"/>
          <w:spacing w:val="0"/>
          <w:sz w:val="24"/>
          <w:szCs w:val="24"/>
        </w:rPr>
        <w:t>年政务公开工作取得了一定成就，但也存在一些问题，主要表现在：一是涉及我委子网站动态信息更新频率不够；二是工作人员对政务公开工作相关政策了解不够透彻。</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Fonts w:ascii="微软雅黑" w:eastAsia="微软雅黑" w:hint="eastAsia"/>
          <w:b w:val="0"/>
          <w:bCs w:val="0"/>
          <w:i w:val="0"/>
          <w:iCs w:val="0"/>
          <w:caps w:val="0"/>
          <w:smallCaps w:val="0"/>
          <w:vanish w:val="0"/>
          <w:color w:val="000000"/>
          <w:spacing w:val="0"/>
          <w:sz w:val="24"/>
          <w:szCs w:val="24"/>
          <w:shd w:val="clear" w:color="auto" w:fill="FFFFFF"/>
        </w:rPr>
        <w:t>我委将进一步提高动态信息更新频率，按时按质更新，丰富我区文化旅游体育动态信息，加大工作人员培训力度，对政务公开工作相关政策性文件学深悟透，严格按照《政府信息公开条例》规定，加强对政务公开工作的组织领导，全面履行法定工作职责。全面推进主动公开、依申请公开、监督保障、培训指导等工作，认真履行法定工作职责。</w:t>
      </w:r>
    </w:p>
    <w:p>
      <w:pPr>
        <w:pStyle w:val="16"/>
        <w:pBdr>
          <w:top w:val="none" w:sz="0" w:space="0" w:color="auto"/>
          <w:left w:val="none" w:sz="0" w:space="0" w:color="auto"/>
          <w:bottom w:val="none" w:sz="0" w:space="0" w:color="auto"/>
          <w:right w:val="none" w:sz="0" w:space="0" w:color="auto"/>
        </w:pBdr>
        <w:shd w:val="clear" w:color="auto" w:fill="FFFFFF"/>
        <w:spacing w:before="0" w:beforeAutospacing="0" w:after="0" w:afterAutospacing="0" w:line="420" w:lineRule="atLeast"/>
        <w:ind w:left="0" w:right="0" w:firstLine="480"/>
        <w:rPr>
          <w:rFonts w:ascii="微软雅黑" w:eastAsia="微软雅黑" w:hint="eastAsia"/>
          <w:b w:val="0"/>
          <w:bCs w:val="0"/>
          <w:i w:val="0"/>
          <w:iCs w:val="0"/>
          <w:caps w:val="0"/>
          <w:smallCaps w:val="0"/>
          <w:vanish w:val="0"/>
          <w:color w:val="000000"/>
          <w:spacing w:val="0"/>
          <w:sz w:val="24"/>
          <w:szCs w:val="24"/>
        </w:rPr>
      </w:pPr>
      <w:r>
        <w:rPr>
          <w:rStyle w:val="15"/>
          <w:rFonts w:ascii="微软雅黑" w:eastAsia="微软雅黑" w:hint="eastAsia"/>
          <w:b w:val="0"/>
          <w:bCs w:val="0"/>
          <w:i w:val="0"/>
          <w:iCs w:val="0"/>
          <w:caps w:val="0"/>
          <w:smallCaps w:val="0"/>
          <w:vanish w:val="0"/>
          <w:color w:val="000000"/>
          <w:spacing w:val="0"/>
          <w:sz w:val="24"/>
          <w:szCs w:val="24"/>
          <w:shd w:val="clear" w:color="auto" w:fill="FFFFFF"/>
        </w:rPr>
        <w:t>六、其他需要报告的事项</w:t>
      </w:r>
    </w:p>
    <w:p>
      <w:pPr>
        <w:ind w:firstLineChars="200" w:firstLine="480"/>
      </w:pPr>
      <w:r>
        <w:rPr>
          <w:rFonts w:ascii="微软雅黑" w:eastAsia="微软雅黑" w:hint="eastAsia"/>
          <w:b w:val="0"/>
          <w:bCs w:val="0"/>
          <w:i w:val="0"/>
          <w:iCs w:val="0"/>
          <w:caps w:val="0"/>
          <w:smallCaps w:val="0"/>
          <w:vanish w:val="0"/>
          <w:color w:val="000000"/>
          <w:spacing w:val="0"/>
          <w:sz w:val="24"/>
          <w:szCs w:val="24"/>
          <w:shd w:val="clear" w:color="auto" w:fill="FFFFFF"/>
        </w:rPr>
        <w:t>无。</w:t>
      </w:r>
    </w:p>
    <w:sectPr>
      <w:pgSz w:w="11907" w:h="16839"/>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微软雅黑">
    <w:altName w:val="文泉驿正黑"/>
    <w:panose1 w:val="00000000000000000000"/>
    <w:charset w:val="00"/>
    <w:family w:val="auto"/>
    <w:pitch w:val="variable"/>
    <w:sig w:usb0="00000000" w:usb1="00000000" w:usb2="00000000" w:usb3="00000000" w:csb0="00000000" w:csb1="00000000"/>
  </w:font>
  <w:font w:name="文泉驿正黑">
    <w:panose1 w:val="02000603000000000000"/>
    <w:charset w:val="86"/>
    <w:family w:val="script"/>
    <w:pitch w:val="variable"/>
    <w:sig w:usb0="900002BF" w:usb1="2BDF7DFB" w:usb2="00000036" w:usb3="00000000" w:csb0="603E000D" w:csb1="D2D70000"/>
  </w:font>
  <w:font w:name="Sans-serif">
    <w:altName w:val="DejaVu Sans"/>
    <w:panose1 w:val="00000000000000000000"/>
    <w:charset w:val="00"/>
    <w:family w:val="auto"/>
    <w:pitch w:val="variable"/>
    <w:sig w:usb0="00000000" w:usb1="00000000" w:usb2="00000000" w:usb3="00000000" w:csb0="00000000" w:csb1="00000000"/>
  </w:font>
  <w:font w:name="Times New Roman">
    <w:altName w:val="DejaVu Sans"/>
    <w:panose1 w:val="02020603050405020304"/>
    <w:charset w:val="00"/>
    <w:family w:val="auto"/>
    <w:pitch w:val="variable"/>
    <w:sig w:usb0="00000A87" w:usb1="00000000" w:usb2="00000000" w:usb3="00000000" w:csb0="400001BF" w:csb1="DFF70000"/>
  </w:font>
  <w:font w:name="宋体">
    <w:altName w:val="方正书宋_GBK"/>
    <w:panose1 w:val="02010600030101010101"/>
    <w:charset w:val="86"/>
    <w:family w:val="auto"/>
    <w:pitch w:val="variable"/>
    <w:sig w:usb0="00000003" w:usb1="080E0000" w:usb2="00000000"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80"/>
  <w:displayBackgroundShape/>
  <w:bordersDoNotSurroundHeader/>
  <w:bordersDoNotSurroundFooter/>
  <w:defaultTabStop w:val="420"/>
  <w:drawingGridHorizontalSpacing w:val="105"/>
  <w:drawingGridVerticalSpacing w:val="156"/>
  <w:displayHorizontalDrawingGridEvery w:val="0"/>
  <w:displayVerticalDrawingGridEvery w:val="1"/>
  <w:characterSpacingControl w:val="compressPunctuation"/>
  <w:compat>
    <w:spaceForUL/>
    <w:balanceSingleByteDoubleByteWidth/>
    <w:ulTrailSpace/>
    <w:doNotExpandShiftReturn/>
    <w:adjustLineHeightInTable/>
    <w:useAltKinsokuLineBreakRules/>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widowControl w:val="0"/>
      <w:spacing w:line="240" w:lineRule="auto"/>
      <w:jc w:val="both"/>
    </w:pPr>
    <w:rPr>
      <w:rFonts w:ascii="Times New Roman" w:eastAsia="宋体" w:cs="Times New Roman" w:hAnsi="Times New Roman"/>
      <w:kern w:val="2"/>
      <w:sz w:val="21"/>
      <w:szCs w:val="21"/>
      <w:lang w:val="en-US" w:eastAsia="zh-CN" w:bidi="ar-SA"/>
    </w:rPr>
  </w:style>
  <w:style w:type="paragraph" w:styleId="1">
    <w:name w:val="heading 1"/>
    <w:basedOn w:val="0"/>
    <w:next w:val="0"/>
    <w:pPr>
      <w:keepNext/>
      <w:keepLines/>
      <w:widowControl w:val="0"/>
      <w:spacing w:before="340" w:after="330" w:line="578" w:lineRule="auto"/>
      <w:outlineLvl w:val="0"/>
    </w:pPr>
    <w:rPr>
      <w:b/>
      <w:bCs/>
      <w:kern w:val="44"/>
      <w:sz w:val="44"/>
      <w:szCs w:val="44"/>
    </w:rPr>
  </w:style>
  <w:style w:type="paragraph" w:styleId="2">
    <w:name w:val="heading 2"/>
    <w:basedOn w:val="0"/>
    <w:next w:val="0"/>
    <w:pPr>
      <w:keepNext/>
      <w:keepLines/>
      <w:widowControl w:val="0"/>
      <w:spacing w:before="260" w:after="260" w:line="415" w:lineRule="auto"/>
      <w:outlineLvl w:val="1"/>
    </w:pPr>
    <w:rPr>
      <w:rFonts w:ascii="Times New Roman" w:eastAsia="黑体" w:hAnsi="Times New Roman"/>
      <w:b/>
      <w:bCs/>
      <w:sz w:val="32"/>
      <w:szCs w:val="32"/>
    </w:rPr>
  </w:style>
  <w:style w:type="paragraph" w:styleId="3">
    <w:name w:val="heading 3"/>
    <w:basedOn w:val="0"/>
    <w:next w:val="0"/>
    <w:pPr>
      <w:keepNext/>
      <w:keepLines/>
      <w:widowControl w:val="0"/>
      <w:spacing w:before="260" w:after="260" w:line="415" w:lineRule="auto"/>
      <w:outlineLvl w:val="2"/>
    </w:pPr>
    <w:rPr>
      <w:b/>
      <w:bCs/>
      <w:sz w:val="32"/>
      <w:szCs w:val="32"/>
    </w:rPr>
  </w:style>
  <w:style w:type="character" w:default="1" w:styleId="10">
    <w:name w:val="Default Paragraph Font"/>
  </w:style>
  <w:style w:type="character" w:styleId="15">
    <w:name w:val="Strong"/>
    <w:basedOn w:val="0"/>
    <w:rPr>
      <w:b/>
    </w:rPr>
  </w:style>
  <w:style w:type="paragraph" w:styleId="16">
    <w:name w:val="Normal (Web)"/>
    <w:basedOn w:val="0"/>
    <w:pPr>
      <w:keepNext w:val="0"/>
      <w:keepLines w:val="0"/>
      <w:pageBreakBefore w:val="0"/>
      <w:widowControl/>
      <w:suppressLineNumbers w:val="0"/>
      <w:pBdr>
        <w:top w:val="none" w:sz="0" w:space="0" w:color="auto"/>
        <w:left w:val="none" w:sz="0" w:space="0" w:color="auto"/>
        <w:bottom w:val="none" w:sz="0" w:space="0" w:color="auto"/>
        <w:right w:val="none" w:sz="0" w:space="0" w:color="auto"/>
      </w:pBdr>
      <w:suppressAutoHyphens w:val="0"/>
      <w:kinsoku/>
      <w:wordWrap/>
      <w:overflowPunct/>
      <w:topLinePunct w:val="0"/>
      <w:autoSpaceDE/>
      <w:autoSpaceDN/>
      <w:bidi w:val="0"/>
      <w:adjustRightInd/>
      <w:snapToGrid/>
      <w:spacing w:before="100" w:beforeAutospacing="1" w:after="100" w:afterAutospacing="1" w:line="240" w:lineRule="auto"/>
      <w:ind w:left="0" w:right="0" w:firstLine="0"/>
      <w:contextualSpacing w:val="0"/>
      <w:jc w:val="left"/>
      <w:textAlignment w:val="auto"/>
      <w:outlineLvl w:val="9"/>
    </w:pPr>
    <w:rPr>
      <w:rFonts w:ascii="宋体" w:eastAsia="宋体"/>
      <w:b w:val="0"/>
      <w:i w:val="0"/>
      <w:caps w:val="0"/>
      <w:smallCaps w:val="0"/>
      <w:strike w:val="0"/>
      <w:dstrike w:val="0"/>
      <w:snapToGrid/>
      <w:vanish w:val="0"/>
      <w:color w:val="auto"/>
      <w:spacing w:val="0"/>
      <w:w w:val="100"/>
      <w:kern w:val="0"/>
      <w:position w:val="0"/>
      <w:sz w:val="24"/>
      <w:szCs w:val="21"/>
      <w:u w:val="none" w:color="auto"/>
      <w:vertAlign w:val="baseline"/>
      <w:em w:val="none"/>
      <w:lang w:val="en-US" w:eastAsia="zh-CN"/>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image" Target="media/8.png"/><Relationship Id="rId5" Type="http://schemas.openxmlformats.org/officeDocument/2006/relationships/styles" Target="styles.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19</TotalTime>
  <Application>Yozo_Office27021597764231179</Application>
  <Pages>4</Pages>
  <Words>1042</Words>
  <Characters>1067</Characters>
  <Lines>44</Lines>
  <Paragraphs>16</Paragraphs>
  <CharactersWithSpaces>1069</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whw</dc:creator>
  <cp:lastModifiedBy>whw</cp:lastModifiedBy>
  <cp:revision>1</cp:revision>
  <dcterms:created xsi:type="dcterms:W3CDTF">2023-01-17T02:32:46Z</dcterms:created>
  <dcterms:modified xsi:type="dcterms:W3CDTF">2023-01-17T02:55:30Z</dcterms:modified>
</cp:coreProperties>
</file>