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Bdr>
          <w:bottom w:val="thinThickSmallGap" w:sz="12" w:space="1" w:color="FF0000"/>
        </w:pBdr>
        <w:spacing w:before="100" w:beforeAutospacing="1" w:line="1100" w:lineRule="exact"/>
        <w:ind w:leftChars="-50" w:left="-160" w:rightChars="-50" w:right="-160"/>
        <w:jc w:val="center"/>
        <w:rPr>
          <w:rFonts w:ascii="方正小标宋_GBK" w:eastAsia="方正小标宋_GBK" w:hint="eastAsia"/>
          <w:color w:val="FF0000"/>
          <w:w w:val="81"/>
          <w:sz w:val="100"/>
          <w:szCs w:val="100"/>
        </w:rPr>
      </w:pPr>
      <w:r>
        <w:rPr>
          <w:rFonts w:ascii="方正小标宋_GBK" w:eastAsia="方正小标宋_GBK" w:hint="eastAsia"/>
          <w:color w:val="FF0000"/>
          <w:w w:val="81"/>
          <w:sz w:val="100"/>
          <w:szCs w:val="100"/>
        </w:rPr>
        <w:t>重庆市涪陵区医疗保障局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cs="Times New Roman" w:hint="eastAsia"/>
          <w:b w:val="0"/>
          <w:bCs/>
          <w:sz w:val="44"/>
          <w:szCs w:val="44"/>
          <w:lang w:val="en-US" w:eastAsia="zh-CN"/>
        </w:rPr>
      </w:pPr>
      <w:r>
        <w:rPr>
          <w:rFonts w:ascii="方正小标宋_GBK" w:eastAsia="方正小标宋_GBK" w:cs="Times New Roman" w:hint="eastAsia"/>
          <w:b w:val="0"/>
          <w:bCs/>
          <w:sz w:val="44"/>
          <w:szCs w:val="44"/>
          <w:lang w:val="en-US" w:eastAsia="zh-CN"/>
        </w:rPr>
        <w:t>重庆市涪陵区医疗保障局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cs="方正小标宋_GBK" w:hint="eastAsia"/>
          <w:sz w:val="44"/>
          <w:szCs w:val="44"/>
        </w:rPr>
      </w:pPr>
      <w:r>
        <w:rPr>
          <w:rFonts w:ascii="方正小标宋_GBK" w:eastAsia="方正小标宋_GBK" w:cs="方正小标宋_GBK" w:hint="eastAsia"/>
          <w:sz w:val="44"/>
          <w:szCs w:val="44"/>
        </w:rPr>
        <w:t>关于建立公平竞争审查投诉举报受理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_GBK" w:eastAsia="方正小标宋_GBK"/>
          <w:sz w:val="44"/>
          <w:szCs w:val="44"/>
        </w:rPr>
      </w:pPr>
      <w:r>
        <w:rPr>
          <w:rFonts w:ascii="方正小标宋_GBK" w:eastAsia="方正小标宋_GBK" w:cs="方正小标宋_GBK" w:hint="eastAsia"/>
          <w:sz w:val="44"/>
          <w:szCs w:val="44"/>
        </w:rPr>
        <w:t>回应机制的通知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eastAsia="方正仿宋_GBK" w:hAnsi="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仿宋_GBK" w:eastAsia="方正仿宋_GBK" w:cs="方正仿宋_GBK" w:hint="eastAsia"/>
          <w:sz w:val="32"/>
          <w:szCs w:val="32"/>
        </w:rPr>
      </w:pPr>
      <w:r>
        <w:rPr>
          <w:rFonts w:ascii="方正仿宋_GBK" w:eastAsia="方正仿宋_GBK" w:cs="方正仿宋_GBK" w:hint="eastAsia"/>
          <w:sz w:val="32"/>
          <w:szCs w:val="32"/>
        </w:rPr>
        <w:t>为进一步推进公平竞争审查制度落实，切实发挥社会监督作用，畅通公平竞争审查举报受理渠道，根据《关于做好涉公平竞争审查举报处理工作的通知》（涪公竞审联办〔2021〕6号）精神，建立区</w:t>
      </w:r>
      <w:r>
        <w:rPr>
          <w:rFonts w:ascii="方正仿宋_GBK" w:eastAsia="方正仿宋_GBK" w:cs="方正仿宋_GBK" w:hint="eastAsia"/>
          <w:sz w:val="32"/>
          <w:szCs w:val="32"/>
          <w:lang w:eastAsia="zh-CN"/>
        </w:rPr>
        <w:t>医保局</w:t>
      </w:r>
      <w:r>
        <w:rPr>
          <w:rFonts w:ascii="方正仿宋_GBK" w:eastAsia="方正仿宋_GBK" w:cs="方正仿宋_GBK" w:hint="eastAsia"/>
          <w:sz w:val="32"/>
          <w:szCs w:val="32"/>
        </w:rPr>
        <w:t>公平竞争审查投诉举报受理回应机制，畅通投诉举报渠道，维护经营主体合法权益。</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4"/>
        <w:jc w:val="both"/>
        <w:textAlignment w:val="auto"/>
        <w:rPr>
          <w:rFonts w:ascii="方正黑体_GBK" w:eastAsia="方正黑体_GBK" w:cs="方正黑体_GBK" w:hint="eastAsia"/>
          <w:sz w:val="32"/>
          <w:szCs w:val="32"/>
        </w:rPr>
      </w:pPr>
      <w:r>
        <w:rPr>
          <w:rFonts w:ascii="方正黑体_GBK" w:eastAsia="方正黑体_GBK" w:cs="方正黑体_GBK" w:hint="eastAsia"/>
          <w:sz w:val="32"/>
          <w:szCs w:val="32"/>
        </w:rPr>
        <w:t>一、受理范围</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Chars="200" w:firstLine="640"/>
        <w:jc w:val="both"/>
        <w:textAlignment w:val="auto"/>
        <w:rPr>
          <w:rFonts w:ascii="方正仿宋_GBK" w:eastAsia="方正仿宋_GBK" w:cs="方正仿宋_GBK" w:hint="eastAsia"/>
          <w:sz w:val="32"/>
          <w:szCs w:val="32"/>
        </w:rPr>
      </w:pPr>
      <w:r>
        <w:rPr>
          <w:rFonts w:ascii="方正仿宋_GBK" w:eastAsia="方正仿宋_GBK" w:cs="方正仿宋_GBK" w:hint="eastAsia"/>
          <w:color w:val="000000"/>
          <w:sz w:val="32"/>
          <w:szCs w:val="32"/>
        </w:rPr>
        <w:t>区</w:t>
      </w:r>
      <w:r>
        <w:rPr>
          <w:rFonts w:ascii="方正仿宋_GBK" w:eastAsia="方正仿宋_GBK" w:cs="方正仿宋_GBK" w:hint="eastAsia"/>
          <w:color w:val="000000"/>
          <w:sz w:val="32"/>
          <w:szCs w:val="32"/>
          <w:lang w:eastAsia="zh-CN"/>
        </w:rPr>
        <w:t>医保局</w:t>
      </w:r>
      <w:r>
        <w:rPr>
          <w:rFonts w:ascii="方正仿宋_GBK" w:eastAsia="方正仿宋_GBK" w:cs="方正仿宋_GBK" w:hint="eastAsia"/>
          <w:color w:val="000000"/>
          <w:sz w:val="32"/>
          <w:szCs w:val="32"/>
        </w:rPr>
        <w:t>在</w:t>
      </w:r>
      <w:r>
        <w:rPr>
          <w:rFonts w:ascii="方正仿宋_GBK" w:eastAsia="方正仿宋_GBK" w:cs="方正仿宋_GBK" w:hint="eastAsia"/>
          <w:color w:val="000000"/>
          <w:sz w:val="32"/>
          <w:szCs w:val="32"/>
          <w:lang w:val="en-US" w:eastAsia="zh-CN"/>
        </w:rPr>
        <w:t>制定</w:t>
      </w:r>
      <w:r>
        <w:rPr>
          <w:rFonts w:ascii="方正仿宋_GBK" w:eastAsia="方正仿宋_GBK" w:cs="方正仿宋_GBK" w:hint="eastAsia"/>
          <w:color w:val="000000"/>
          <w:sz w:val="32"/>
          <w:szCs w:val="32"/>
        </w:rPr>
        <w:t>市场准入和退出、产业发展、招商引资、招标投标、政府采购、经营行为规范、资质标准等涉及市场主体经济活动的规范性文件、其</w:t>
      </w:r>
      <w:r>
        <w:rPr>
          <w:rFonts w:ascii="方正仿宋_GBK" w:eastAsia="方正仿宋_GBK" w:cs="方正仿宋_GBK" w:hint="eastAsia"/>
          <w:sz w:val="32"/>
          <w:szCs w:val="32"/>
        </w:rPr>
        <w:t>他政策性文件以及“一事一议”形式的具体政策措施，存在应审未审、违反审查标准出台情形的投诉举报。</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黑体_GBK" w:eastAsia="方正黑体_GBK" w:cs="方正黑体_GBK" w:hint="eastAsia"/>
          <w:sz w:val="32"/>
          <w:szCs w:val="32"/>
        </w:rPr>
      </w:pPr>
      <w:r>
        <w:rPr>
          <w:rFonts w:ascii="方正黑体_GBK" w:eastAsia="方正黑体_GBK" w:cs="方正黑体_GBK" w:hint="eastAsia"/>
          <w:sz w:val="32"/>
          <w:szCs w:val="32"/>
        </w:rPr>
        <w:t>二、投诉举报受理渠道</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rPr>
        <w:t>举报电话：023-</w:t>
      </w:r>
      <w:r>
        <w:rPr>
          <w:rFonts w:ascii="方正仿宋_GBK" w:eastAsia="方正仿宋_GBK" w:cs="方正仿宋_GBK" w:hint="eastAsia"/>
          <w:sz w:val="32"/>
          <w:szCs w:val="32"/>
          <w:lang w:val="en-US" w:eastAsia="zh-CN"/>
        </w:rPr>
        <w:t>72183968</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_GBK" w:eastAsia="方正仿宋_GBK" w:cs="方正仿宋_GBK" w:hint="eastAsia"/>
          <w:sz w:val="32"/>
          <w:szCs w:val="32"/>
        </w:rPr>
      </w:pPr>
      <w:r>
        <w:rPr>
          <w:rFonts w:ascii="方正仿宋_GBK" w:eastAsia="方正仿宋_GBK" w:cs="方正仿宋_GBK" w:hint="eastAsia"/>
          <w:sz w:val="32"/>
          <w:szCs w:val="32"/>
        </w:rPr>
        <w:t>举报地址：重庆市涪陵区</w:t>
      </w:r>
      <w:r>
        <w:rPr>
          <w:rFonts w:ascii="方正仿宋_GBK" w:eastAsia="方正仿宋_GBK" w:cs="方正仿宋_GBK" w:hint="eastAsia"/>
          <w:sz w:val="32"/>
          <w:szCs w:val="32"/>
          <w:lang w:eastAsia="zh-CN"/>
        </w:rPr>
        <w:t>兴华中路</w:t>
      </w:r>
      <w:r>
        <w:rPr>
          <w:rFonts w:ascii="方正仿宋_GBK" w:eastAsia="方正仿宋_GBK" w:cs="方正仿宋_GBK" w:hint="eastAsia"/>
          <w:sz w:val="32"/>
          <w:szCs w:val="32"/>
          <w:lang w:val="en-US" w:eastAsia="zh-CN"/>
        </w:rPr>
        <w:t>62号713办公室</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4"/>
        <w:jc w:val="both"/>
        <w:textAlignment w:val="auto"/>
        <w:rPr>
          <w:rFonts w:ascii="方正黑体_GBK" w:eastAsia="方正黑体_GBK" w:cs="方正黑体_GBK" w:hint="eastAsia"/>
          <w:sz w:val="32"/>
          <w:szCs w:val="32"/>
        </w:rPr>
      </w:pPr>
      <w:r>
        <w:rPr>
          <w:rFonts w:ascii="方正黑体_GBK" w:eastAsia="方正黑体_GBK" w:cs="方正黑体_GBK" w:hint="eastAsia"/>
          <w:sz w:val="32"/>
          <w:szCs w:val="32"/>
        </w:rPr>
        <w:t>三、受理流程</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4"/>
        <w:jc w:val="both"/>
        <w:textAlignment w:val="auto"/>
        <w:rPr>
          <w:rFonts w:ascii="方正仿宋_GBK" w:eastAsia="方正仿宋_GBK" w:cs="方正仿宋_GBK" w:hint="eastAsia"/>
          <w:sz w:val="32"/>
          <w:szCs w:val="32"/>
        </w:rPr>
      </w:pPr>
      <w:r>
        <w:rPr>
          <w:rFonts w:ascii="方正仿宋_GBK" w:eastAsia="方正仿宋_GBK" w:cs="方正仿宋_GBK" w:hint="eastAsia"/>
          <w:sz w:val="32"/>
          <w:szCs w:val="32"/>
        </w:rPr>
        <w:t>1.汇总登记。通过上述投诉举报渠道接收或上级部门交办的投诉举报材料，由办公室汇总登记。</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4"/>
        <w:jc w:val="both"/>
        <w:textAlignment w:val="auto"/>
        <w:rPr>
          <w:rFonts w:ascii="方正仿宋_GBK" w:eastAsia="方正仿宋_GBK" w:cs="方正仿宋_GBK" w:hint="eastAsia"/>
          <w:sz w:val="32"/>
          <w:szCs w:val="32"/>
        </w:rPr>
      </w:pPr>
      <w:r>
        <w:rPr>
          <w:rFonts w:ascii="方正仿宋_GBK" w:eastAsia="方正仿宋_GBK" w:cs="方正仿宋_GBK" w:hint="eastAsia"/>
          <w:sz w:val="32"/>
          <w:szCs w:val="32"/>
        </w:rPr>
        <w:t>2.及时交办。办公室根据投诉举报情况进行初判，认为可能存在应审未审、违反审查标准出台情形的，按照“谁制定、谁受理”的原则，以《投诉举报信息登记表》形式（附件）告知政策措施起草业务科室办理。</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4"/>
        <w:jc w:val="both"/>
        <w:textAlignment w:val="auto"/>
        <w:rPr>
          <w:rFonts w:ascii="方正黑体_GBK" w:eastAsia="方正黑体_GBK" w:cs="方正黑体_GBK" w:hint="eastAsia"/>
          <w:sz w:val="32"/>
          <w:szCs w:val="32"/>
        </w:rPr>
      </w:pPr>
      <w:r>
        <w:rPr>
          <w:rFonts w:ascii="方正黑体_GBK" w:eastAsia="方正黑体_GBK" w:cs="方正黑体_GBK" w:hint="eastAsia"/>
          <w:sz w:val="32"/>
          <w:szCs w:val="32"/>
        </w:rPr>
        <w:t>四、处理回应</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4"/>
        <w:jc w:val="both"/>
        <w:textAlignment w:val="auto"/>
        <w:rPr>
          <w:rFonts w:ascii="方正仿宋_GBK" w:eastAsia="方正仿宋_GBK" w:cs="方正仿宋_GBK" w:hint="eastAsia"/>
          <w:sz w:val="32"/>
          <w:szCs w:val="32"/>
        </w:rPr>
      </w:pPr>
      <w:r>
        <w:rPr>
          <w:rFonts w:ascii="方正仿宋_GBK" w:eastAsia="方正仿宋_GBK" w:cs="方正仿宋_GBK" w:hint="eastAsia"/>
          <w:sz w:val="32"/>
          <w:szCs w:val="32"/>
        </w:rPr>
        <w:t>针对投诉举报内容，属于政策措施应审未审的，根据“谁制定、谁审查”的原则，由政策措施起草科室及时补审；属于涉嫌违反审查标准出台的，应当按照相关程序停止执行或者调整相应政策措施，并依法向社会公开（其中规范性文件类除涉密文件外，应依法通过区政府网站公示；其他政策措施类，可视情况通过区政府网站公示）。按照“谁制定、谁回应”的原则，政策措施起草科室需依法将处理结果告知投诉举报人，同时书面反馈办公室。</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4"/>
        <w:jc w:val="both"/>
        <w:textAlignment w:val="auto"/>
        <w:rPr>
          <w:rFonts w:ascii="方正仿宋_GBK" w:eastAsia="方正仿宋_GBK" w:cs="方正仿宋_GBK"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仿宋_GBK" w:eastAsia="方正仿宋_GBK" w:cs="方正仿宋_GBK" w:hint="eastAsia"/>
          <w:sz w:val="32"/>
          <w:szCs w:val="32"/>
        </w:rPr>
      </w:pPr>
      <w:r>
        <w:rPr>
          <w:rFonts w:ascii="方正仿宋_GBK" w:eastAsia="方正仿宋_GBK" w:cs="方正仿宋_GBK" w:hint="eastAsia"/>
          <w:sz w:val="32"/>
          <w:szCs w:val="32"/>
          <w:lang w:eastAsia="zh-CN"/>
        </w:rPr>
        <w:t>附件：</w:t>
      </w:r>
      <w:r>
        <w:rPr>
          <w:rFonts w:ascii="方正仿宋_GBK" w:eastAsia="方正仿宋_GBK" w:cs="方正仿宋_GBK" w:hint="eastAsia"/>
          <w:spacing w:val="-20"/>
          <w:sz w:val="32"/>
          <w:szCs w:val="32"/>
          <w:lang w:eastAsia="zh-CN"/>
        </w:rPr>
        <w:t>重庆市涪陵区医疗保障局公平竞争审查投诉举报信息登记表</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jc w:val="both"/>
        <w:textAlignment w:val="auto"/>
        <w:rPr>
          <w:rFonts w:hint="eastAsia"/>
          <w:sz w:val="32"/>
          <w:szCs w:val="32"/>
          <w:lang w:val="en-US" w:eastAsia="zh-CN"/>
        </w:rPr>
      </w:pPr>
    </w:p>
    <w:p>
      <w:pPr>
        <w:pStyle w:val="29"/>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jc w:val="both"/>
        <w:textAlignment w:val="auto"/>
        <w:rPr>
          <w:rFonts w:eastAsia="方正仿宋_GBK" w:hint="eastAsia"/>
          <w:sz w:val="32"/>
        </w:rPr>
      </w:pPr>
      <w:r>
        <w:rPr>
          <w:rFonts w:ascii="方正仿宋_GBK" w:eastAsia="方正仿宋_GBK" w:cs="方正仿宋_GBK" w:hint="eastAsia"/>
          <w:sz w:val="32"/>
          <w:szCs w:val="32"/>
          <w:lang w:val="en-US" w:eastAsia="zh-CN"/>
        </w:rPr>
        <w:t xml:space="preserve">                         </w:t>
      </w:r>
      <w:r>
        <w:rPr>
          <w:rFonts w:eastAsia="方正仿宋_GBK" w:hint="eastAsia"/>
          <w:sz w:val="32"/>
          <w:lang w:val="en-US" w:eastAsia="zh-CN"/>
        </w:rPr>
        <w:t xml:space="preserve"> </w:t>
      </w:r>
      <w:r>
        <w:rPr>
          <w:rFonts w:eastAsia="方正仿宋_GBK" w:hint="eastAsia"/>
          <w:sz w:val="32"/>
        </w:rPr>
        <w:t>重庆市涪陵区医疗</w:t>
      </w:r>
      <w:r>
        <w:rPr>
          <w:rFonts w:eastAsia="方正仿宋_GBK" w:hint="eastAsia"/>
          <w:sz w:val="32"/>
          <w:lang w:val="en-US" w:eastAsia="zh-CN"/>
        </w:rPr>
        <w:t>保障</w:t>
      </w:r>
      <w:r>
        <w:rPr>
          <w:rFonts w:eastAsia="方正仿宋_GBK" w:hint="eastAsia"/>
          <w:sz w:val="32"/>
        </w:rPr>
        <w:t>局</w:t>
      </w:r>
    </w:p>
    <w:p>
      <w:pPr>
        <w:pStyle w:val="1"/>
        <w:keepNext w:val="0"/>
        <w:keepLines w:val="0"/>
        <w:pageBreakBefore w:val="0"/>
        <w:widowControl w:val="0"/>
        <w:kinsoku/>
        <w:wordWrap/>
        <w:overflowPunct/>
        <w:topLinePunct w:val="0"/>
        <w:autoSpaceDE/>
        <w:autoSpaceDN/>
        <w:bidi w:val="0"/>
        <w:adjustRightInd/>
        <w:snapToGrid/>
        <w:spacing w:before="0" w:after="0" w:line="570" w:lineRule="exact"/>
        <w:ind w:left="0" w:right="0"/>
        <w:jc w:val="both"/>
        <w:textAlignment w:val="auto"/>
        <w:rPr>
          <w:rFonts w:ascii="方正仿宋_GBK" w:eastAsia="方正仿宋_GBK" w:cs="方正仿宋_GBK" w:hint="eastAsia"/>
          <w:b w:val="0"/>
          <w:kern w:val="2"/>
          <w:sz w:val="32"/>
          <w:szCs w:val="22"/>
          <w:lang w:val="en-US" w:eastAsia="zh-CN" w:bidi="ar-SA"/>
        </w:rPr>
      </w:pPr>
      <w:r>
        <w:rPr>
          <w:rFonts w:eastAsia="方正仿宋_GBK" w:hint="eastAsia"/>
          <w:sz w:val="32"/>
        </w:rPr>
        <w:t xml:space="preserve">               </w:t>
      </w:r>
      <w:r>
        <w:rPr>
          <w:rFonts w:eastAsia="方正仿宋_GBK" w:hint="eastAsia"/>
          <w:sz w:val="32"/>
          <w:lang w:val="en-US" w:eastAsia="zh-CN"/>
        </w:rPr>
        <w:t xml:space="preserve">            </w:t>
      </w:r>
      <w:r>
        <w:rPr>
          <w:rFonts w:ascii="方正仿宋_GBK" w:eastAsia="方正仿宋_GBK" w:cs="方正仿宋_GBK" w:hint="eastAsia"/>
          <w:sz w:val="32"/>
          <w:lang w:val="en-US" w:eastAsia="zh-CN"/>
        </w:rPr>
        <w:t xml:space="preserve">  </w:t>
      </w:r>
      <w:r>
        <w:rPr>
          <w:rFonts w:ascii="Calibri" w:eastAsia="方正仿宋_GBK" w:cs="Arial" w:hAnsi="Calibri" w:hint="eastAsia"/>
          <w:b w:val="0"/>
          <w:kern w:val="2"/>
          <w:sz w:val="32"/>
          <w:szCs w:val="22"/>
          <w:lang w:val="en-US" w:eastAsia="zh-CN" w:bidi="ar-SA"/>
        </w:rPr>
        <w:t xml:space="preserve"> </w:t>
      </w:r>
      <w:r>
        <w:rPr>
          <w:rFonts w:eastAsia="方正仿宋_GBK" w:cs="Arial" w:hint="eastAsia"/>
          <w:b w:val="0"/>
          <w:kern w:val="2"/>
          <w:sz w:val="32"/>
          <w:szCs w:val="22"/>
          <w:lang w:val="en-US" w:eastAsia="zh-CN" w:bidi="ar-SA"/>
        </w:rPr>
        <w:t xml:space="preserve">   </w:t>
      </w:r>
      <w:r>
        <w:rPr>
          <w:rFonts w:ascii="方正仿宋_GBK" w:eastAsia="方正仿宋_GBK" w:cs="方正仿宋_GBK" w:hint="eastAsia"/>
          <w:b w:val="0"/>
          <w:kern w:val="2"/>
          <w:sz w:val="32"/>
          <w:szCs w:val="22"/>
          <w:lang w:val="en-US" w:eastAsia="zh-CN" w:bidi="ar-SA"/>
        </w:rPr>
        <w:t xml:space="preserve"> 2024年12月31日</w:t>
      </w:r>
    </w:p>
    <w:p>
      <w:pPr>
        <w:ind w:firstLineChars="200" w:firstLine="640"/>
        <w:rPr>
          <w:rFonts w:ascii="方正仿宋_GBK" w:eastAsia="方正仿宋_GBK" w:cs="方正仿宋_GBK"/>
          <w:b w:val="0"/>
          <w:kern w:val="2"/>
          <w:sz w:val="32"/>
          <w:szCs w:val="22"/>
          <w:lang w:val="en-US" w:eastAsia="zh-CN" w:bidi="ar-SA"/>
        </w:rPr>
      </w:pPr>
      <w:r>
        <w:rPr>
          <w:rFonts w:ascii="方正仿宋_GBK" w:eastAsia="方正仿宋_GBK" w:cs="方正仿宋_GBK"/>
          <w:b w:val="0"/>
          <w:kern w:val="2"/>
          <w:sz w:val="32"/>
          <w:szCs w:val="22"/>
          <w:lang w:val="en-US" w:eastAsia="zh-CN" w:bidi="ar-SA"/>
        </w:rPr>
        <w:t>（此件公开发布）</w:t>
      </w:r>
    </w:p>
    <w:p>
      <w:pPr>
        <w:rPr>
          <w:rFonts w:ascii="方正黑体_GBK" w:eastAsia="方正黑体_GBK"/>
          <w:sz w:val="32"/>
          <w:szCs w:val="32"/>
        </w:rPr>
      </w:pPr>
      <w:r>
        <w:rPr>
          <w:rFonts w:ascii="方正黑体_GBK" w:eastAsia="方正黑体_GBK" w:cs="方正黑体_GBK" w:hint="eastAsia"/>
          <w:sz w:val="32"/>
          <w:szCs w:val="32"/>
        </w:rPr>
        <w:t>附件</w:t>
      </w:r>
    </w:p>
    <w:p>
      <w:pPr>
        <w:spacing w:line="560" w:lineRule="exact"/>
        <w:jc w:val="center"/>
        <w:rPr>
          <w:rFonts w:ascii="方正小标宋_GBK" w:eastAsia="方正小标宋_GBK" w:hint="eastAsia"/>
          <w:sz w:val="40"/>
          <w:szCs w:val="40"/>
          <w:lang w:eastAsia="zh-CN"/>
        </w:rPr>
      </w:pPr>
      <w:r>
        <w:rPr>
          <w:rFonts w:ascii="方正小标宋_GBK" w:eastAsia="方正小标宋_GBK" w:cs="方正小标宋_GBK" w:hint="eastAsia"/>
          <w:sz w:val="40"/>
          <w:szCs w:val="40"/>
        </w:rPr>
        <w:t>重庆市涪陵区</w:t>
      </w:r>
      <w:r>
        <w:rPr>
          <w:rFonts w:ascii="方正小标宋_GBK" w:eastAsia="方正小标宋_GBK" w:cs="方正小标宋_GBK" w:hint="eastAsia"/>
          <w:sz w:val="40"/>
          <w:szCs w:val="40"/>
          <w:lang w:eastAsia="zh-CN"/>
        </w:rPr>
        <w:t>医疗保障局</w:t>
      </w:r>
    </w:p>
    <w:p>
      <w:pPr>
        <w:spacing w:line="560" w:lineRule="exact"/>
        <w:jc w:val="center"/>
        <w:rPr>
          <w:rFonts w:ascii="方正小标宋_GBK" w:eastAsia="方正小标宋_GBK" w:hint="eastAsia"/>
          <w:sz w:val="40"/>
          <w:szCs w:val="40"/>
        </w:rPr>
      </w:pPr>
      <w:r>
        <w:rPr>
          <w:rFonts w:ascii="方正小标宋_GBK" w:eastAsia="方正小标宋_GBK" w:cs="方正小标宋_GBK" w:hint="eastAsia"/>
          <w:sz w:val="40"/>
          <w:szCs w:val="40"/>
        </w:rPr>
        <w:t>公平竞争审查投诉举报信息登记表</w:t>
      </w:r>
    </w:p>
    <w:p>
      <w:pPr>
        <w:spacing w:line="560" w:lineRule="exact"/>
        <w:jc w:val="center"/>
        <w:rPr>
          <w:rFonts w:ascii="方正小标宋_GBK" w:eastAsia="方正小标宋_GBK" w:hint="eastAsia"/>
          <w:sz w:val="44"/>
          <w:szCs w:val="44"/>
        </w:rPr>
      </w:pPr>
    </w:p>
    <w:p>
      <w:pPr>
        <w:pStyle w:val="28"/>
        <w:widowControl/>
        <w:shd w:val="clear" w:color="auto" w:fill="FFFFFF"/>
        <w:spacing w:before="0" w:beforeAutospacing="0" w:after="0" w:afterAutospacing="0" w:line="560" w:lineRule="exact"/>
        <w:jc w:val="left"/>
        <w:rPr>
          <w:rFonts w:ascii="微软雅黑" w:eastAsia="微软雅黑" w:cs="微软雅黑" w:hint="eastAsia"/>
          <w:kern w:val="0"/>
          <w:sz w:val="24"/>
          <w:szCs w:val="24"/>
        </w:rPr>
      </w:pPr>
      <w:r>
        <w:rPr>
          <w:rFonts w:ascii="微软雅黑" w:eastAsia="微软雅黑" w:cs="微软雅黑" w:hint="eastAsia"/>
          <w:kern w:val="0"/>
          <w:sz w:val="24"/>
          <w:szCs w:val="24"/>
          <w:shd w:val="clear" w:color="auto" w:fill="FFFFFF"/>
        </w:rPr>
        <w:t>填表时间：                           年       月       日</w:t>
      </w:r>
    </w:p>
    <w:tbl>
      <w:tblPr>
        <w:jc w:val="center"/>
        <w:tblW w:w="90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0" w:type="dxa"/>
          <w:bottom w:w="0" w:type="dxa"/>
          <w:right w:w="0" w:type="dxa"/>
        </w:tblCellMar>
      </w:tblPr>
      <w:tblGrid>
        <w:gridCol w:w="1513"/>
        <w:gridCol w:w="5739"/>
        <w:gridCol w:w="869"/>
        <w:gridCol w:w="879"/>
      </w:tblGrid>
      <w:tr>
        <w:trPr>
          <w:trHeight w:val="498"/>
        </w:trPr>
        <w:tc>
          <w:tcPr>
            <w:tcW w:w="1513"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信息来源</w:t>
            </w:r>
          </w:p>
        </w:tc>
        <w:tc>
          <w:tcPr>
            <w:tcW w:w="7487" w:type="dxa"/>
            <w:gridSpan w:val="3"/>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469"/>
        </w:trPr>
        <w:tc>
          <w:tcPr>
            <w:tcW w:w="1513"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举报内容</w:t>
            </w:r>
          </w:p>
        </w:tc>
        <w:tc>
          <w:tcPr>
            <w:tcW w:w="7487" w:type="dxa"/>
            <w:gridSpan w:val="3"/>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580"/>
        </w:trPr>
        <w:tc>
          <w:tcPr>
            <w:tcW w:w="1513"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相关文件</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名称</w:t>
            </w:r>
          </w:p>
        </w:tc>
        <w:tc>
          <w:tcPr>
            <w:tcW w:w="7487" w:type="dxa"/>
            <w:gridSpan w:val="3"/>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667"/>
        </w:trPr>
        <w:tc>
          <w:tcPr>
            <w:tcW w:w="1513"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相关文件</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性质</w:t>
            </w:r>
          </w:p>
        </w:tc>
        <w:tc>
          <w:tcPr>
            <w:tcW w:w="7487" w:type="dxa"/>
            <w:gridSpan w:val="3"/>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Chars="250" w:firstLine="60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□规范性文件      □其他政策措施 </w:t>
            </w:r>
          </w:p>
        </w:tc>
      </w:tr>
      <w:tr>
        <w:trPr>
          <w:trHeight w:val="570"/>
        </w:trPr>
        <w:tc>
          <w:tcPr>
            <w:tcW w:w="1513"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审批科</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初判意见</w:t>
            </w:r>
          </w:p>
        </w:tc>
        <w:tc>
          <w:tcPr>
            <w:tcW w:w="7487" w:type="dxa"/>
            <w:gridSpan w:val="3"/>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450"/>
        </w:trPr>
        <w:tc>
          <w:tcPr>
            <w:tcW w:w="9000" w:type="dxa"/>
            <w:gridSpan w:val="4"/>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初 判 依 据</w:t>
            </w:r>
          </w:p>
        </w:tc>
      </w:tr>
      <w:tr>
        <w:trPr>
          <w:trHeight w:val="438"/>
        </w:trPr>
        <w:tc>
          <w:tcPr>
            <w:tcW w:w="7252" w:type="dxa"/>
            <w:gridSpan w:val="2"/>
            <w:vMerge w:val="restar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一、应审未审</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是</w:t>
            </w: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否</w:t>
            </w:r>
          </w:p>
        </w:tc>
      </w:tr>
      <w:tr>
        <w:trPr>
          <w:trHeight w:val="277"/>
        </w:trPr>
        <w:tc>
          <w:tcPr>
            <w:tcW w:w="725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547"/>
        </w:trPr>
        <w:tc>
          <w:tcPr>
            <w:tcW w:w="9000" w:type="dxa"/>
            <w:gridSpan w:val="4"/>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二、审查标准</w:t>
            </w:r>
          </w:p>
        </w:tc>
      </w:tr>
      <w:tr>
        <w:trPr>
          <w:trHeight w:val="45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Chars="50" w:firstLine="120"/>
              <w:jc w:val="left"/>
              <w:textAlignment w:val="auto"/>
              <w:rPr>
                <w:rFonts w:ascii="微软雅黑" w:eastAsia="微软雅黑" w:cs="微软雅黑" w:hint="eastAsia"/>
                <w:b/>
                <w:bCs/>
                <w:kern w:val="0"/>
                <w:sz w:val="24"/>
                <w:szCs w:val="24"/>
              </w:rPr>
            </w:pPr>
            <w:r>
              <w:rPr>
                <w:rFonts w:ascii="微软雅黑" w:eastAsia="微软雅黑" w:cs="微软雅黑" w:hint="eastAsia"/>
                <w:b/>
                <w:bCs/>
                <w:kern w:val="0"/>
                <w:sz w:val="24"/>
                <w:szCs w:val="24"/>
              </w:rPr>
              <w:t>（一）违反市场准入与退出标准</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是</w:t>
            </w: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否</w:t>
            </w:r>
          </w:p>
        </w:tc>
      </w:tr>
      <w:tr>
        <w:trPr>
          <w:trHeight w:val="45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1.设置不合理和歧视性的准入和退出条件</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45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2.未经公平竞争授予经营者特许经营权</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505"/>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3.限定经营、购买、使用特定经营者提供的商品和服务</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707"/>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4.设置没有法律法规依据的审批或者具有行政审批性质的事前备案程序</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815"/>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5.对市场准入负面清单以外的行业、领域、业务等设置审批程序</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45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Chars="50" w:firstLine="120"/>
              <w:jc w:val="left"/>
              <w:textAlignment w:val="auto"/>
              <w:rPr>
                <w:rFonts w:ascii="微软雅黑" w:eastAsia="微软雅黑" w:cs="微软雅黑" w:hint="eastAsia"/>
                <w:kern w:val="0"/>
                <w:sz w:val="24"/>
                <w:szCs w:val="24"/>
              </w:rPr>
            </w:pPr>
            <w:r>
              <w:rPr>
                <w:rFonts w:ascii="微软雅黑" w:eastAsia="微软雅黑" w:cs="微软雅黑" w:hint="eastAsia"/>
                <w:b/>
                <w:bCs/>
                <w:kern w:val="0"/>
                <w:sz w:val="24"/>
                <w:szCs w:val="24"/>
              </w:rPr>
              <w:t>（二）违反商品和要素自由流动标准</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是</w:t>
            </w: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否</w:t>
            </w:r>
          </w:p>
        </w:tc>
      </w:tr>
      <w:tr>
        <w:trPr>
          <w:trHeight w:val="45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1.对外地和进口商品、服务实行歧视性价格和歧视性补贴政策</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45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2.限制外地和进口商品、服务进入本地市场或者阻碍本地商品运出、服务输出</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45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3.排斥或者限制外地经营者参加本地招标投标活动</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45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4.排斥、限制或强制外地经营者在本地投资或设立分支机构</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45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5.对外地经营者在本地投资或设立的分支机构实行歧视性待遇</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66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三、影响生产经营成本标准</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是</w:t>
            </w: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否</w:t>
            </w:r>
          </w:p>
        </w:tc>
      </w:tr>
      <w:tr>
        <w:trPr>
          <w:trHeight w:val="39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1.违法给予特定经营者优惠政策</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484"/>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2.将财政支出与企业缴纳的税收或非税收入挂钩</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807"/>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3.违法违规减免或者缓征特定经营者应当缴纳的社会保险费用</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743"/>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4.在法律规定之外要求经营者提供或扣留经营者各类保证金</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608"/>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四、影响生产经营行为标准</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是</w:t>
            </w: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否</w:t>
            </w:r>
          </w:p>
        </w:tc>
      </w:tr>
      <w:tr>
        <w:trPr>
          <w:trHeight w:val="481"/>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1.强制经营者从事《反垄断法》规定的垄断行为</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961"/>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2.违法披露或者要求经营者披露生产经营敏感信息，为经营者实施垄断行为提供便利条件</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390"/>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3.超越定价权限进行政府定价</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615"/>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4.违法干预实行市场调节价的商品和服务的价格水平</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483"/>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五、违反兜底条款</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是</w:t>
            </w: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否</w:t>
            </w:r>
          </w:p>
        </w:tc>
      </w:tr>
      <w:tr>
        <w:trPr>
          <w:trHeight w:val="888"/>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1.没有法律、法规依据减损市场主体合法权益或者增加其义务</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r>
        <w:trPr>
          <w:trHeight w:val="745"/>
        </w:trPr>
        <w:tc>
          <w:tcPr>
            <w:tcW w:w="7252" w:type="dxa"/>
            <w:gridSpan w:val="2"/>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left"/>
              <w:textAlignment w:val="auto"/>
              <w:rPr>
                <w:rFonts w:ascii="微软雅黑" w:eastAsia="微软雅黑" w:cs="微软雅黑" w:hint="eastAsia"/>
                <w:kern w:val="0"/>
                <w:sz w:val="24"/>
                <w:szCs w:val="24"/>
              </w:rPr>
            </w:pPr>
            <w:r>
              <w:rPr>
                <w:rFonts w:ascii="微软雅黑" w:eastAsia="微软雅黑" w:cs="微软雅黑" w:hint="eastAsia"/>
                <w:kern w:val="0"/>
                <w:sz w:val="24"/>
                <w:szCs w:val="24"/>
              </w:rPr>
              <w:t>2.违反《反垄断法》制定含有排除、限制竞争内容的政策措施</w:t>
            </w:r>
          </w:p>
        </w:tc>
        <w:tc>
          <w:tcPr>
            <w:tcW w:w="86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c>
          <w:tcPr>
            <w:tcW w:w="879" w:type="dxa"/>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微软雅黑" w:eastAsia="微软雅黑" w:cs="微软雅黑" w:hint="eastAsia"/>
                <w:sz w:val="24"/>
                <w:szCs w:val="24"/>
              </w:rPr>
            </w:pPr>
          </w:p>
        </w:tc>
      </w:tr>
    </w:tbl>
    <w:p>
      <w:pPr>
        <w:pStyle w:val="1"/>
        <w:rPr>
          <w:lang w:val="en-US" w:eastAsia="zh-CN"/>
        </w:rPr>
      </w:pPr>
    </w:p>
    <w:sectPr>
      <w:headerReference w:type="default" r:id="rId2"/>
      <w:footerReference w:type="default" r:id="rId3"/>
      <w:pgSz w:w="11906" w:h="16838"/>
      <w:pgMar w:top="2098" w:right="1474" w:bottom="1984" w:left="1587" w:header="851" w:footer="1134" w:gutter="0"/>
      <w:pgNumType w:fmt="numberInDash"/>
      <w:docGrid w:type="lines" w:linePitch="442"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script"/>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方正黑体_GBK">
    <w:panose1 w:val="03000509000000000000"/>
    <w:charset w:val="86"/>
    <w:family w:val="script"/>
    <w:pitch w:val="variable"/>
    <w:sig w:usb0="00000001" w:usb1="080E0000" w:usb2="00000000" w:usb3="00000000" w:csb0="00040000"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微软雅黑">
    <w:panose1 w:val="020B0503020204020204"/>
    <w:charset w:val="86"/>
    <w:family w:val="auto"/>
    <w:pitch w:val="variable"/>
    <w:sig w:usb0="80000287" w:usb1="280F3C52" w:usb2="00000016" w:usb3="00000000" w:csb0="0004001F" w:csb1="00000000"/>
  </w:font>
  <w:font w:name="方正楷体_GBK">
    <w:panose1 w:val="03000509000000000000"/>
    <w:charset w:val="86"/>
    <w:family w:val="script"/>
    <w:pitch w:val="variable"/>
    <w:sig w:usb0="00000001" w:usb1="080E0000" w:usb2="00000000" w:usb3="00000000" w:csb0="00040000" w:csb1="00000000"/>
  </w:font>
  <w:font w:name="仿宋_GB2312">
    <w:altName w:val="仿宋"/>
    <w:panose1 w:val="02010609030101010101"/>
    <w:charset w:val="86"/>
    <w:family w:val="modern"/>
    <w:pitch w:val="variable"/>
    <w:sig w:usb0="00000000" w:usb1="00000000" w:usb2="00000000" w:usb3="00000000" w:csb0="00040000" w:csb1="00000000"/>
  </w:font>
  <w:font w:name="Cambria">
    <w:panose1 w:val="02040503050406030204"/>
    <w:charset w:val="00"/>
    <w:family w:val="auto"/>
    <w:pitch w:val="variable"/>
    <w:sig w:usb0="E00002FF" w:usb1="400004FF" w:usb2="00000000" w:usb3="00000000" w:csb0="2000019F" w:csb1="00000000"/>
  </w:font>
  <w:font w:name="Consolas">
    <w:panose1 w:val="020B0609020204030204"/>
    <w:charset w:val="00"/>
    <w:family w:val="modern"/>
    <w:pitch w:val="variable"/>
    <w:sig w:usb0="E10002FF" w:usb1="4000FCFF" w:usb2="00000009" w:usb3="00000000" w:csb0="6000019F" w:csb1="DFD70000"/>
  </w:font>
  <w:font w:name="黑体">
    <w:panose1 w:val="02010609060101010101"/>
    <w:charset w:val="86"/>
    <w:family w:val="auto"/>
    <w:pitch w:val="variable"/>
    <w:sig w:usb0="800002BF" w:usb1="38CF7CFA" w:usb2="00000016" w:usb3="00000000" w:csb0="00040001" w:csb1="00000000"/>
  </w:font>
  <w:font w:name="TNR">
    <w:altName w:val="Segoe Print"/>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w:rPr>
        <w:sz w:val="18"/>
      </w:rP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0</wp:posOffset>
              </wp:positionV>
              <wp:extent cx="370179" cy="26656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370179" cy="266560"/>
                      </a:xfrm>
                      <a:prstGeom prst="rect"/>
                      <a:noFill/>
                      <a:ln w="6350" cmpd="sng" cap="flat">
                        <a:noFill/>
                        <a:prstDash val="solid"/>
                        <a:round/>
                      </a:ln>
                    </wps:spPr>
                    <wps:txbx id="2">
                      <w:txbxContent>
                        <w:p>
                          <w:pPr>
                            <w:pStyle w:val="16"/>
                            <w:tabs>
                              <w:tab w:val="center" w:pos="4153"/>
                              <w:tab w:val="right" w:pos="8306"/>
                            </w:tabs>
                            <w:rPr>
                              <w:rFonts w:eastAsia="宋体" w:hint="eastAsia"/>
                              <w:lang w:eastAsia="zh-CN"/>
                            </w:rPr>
                          </w:pPr>
                          <w:r>
                            <w:rPr>
                              <w:rFonts w:ascii="方正仿宋_GBK" w:eastAsia="方正仿宋_GBK" w:cs="方正仿宋_GBK" w:hint="eastAsia"/>
                              <w:sz w:val="28"/>
                              <w:szCs w:val="28"/>
                              <w:lang w:eastAsia="zh-CN"/>
                            </w:rPr>
                            <w:fldChar w:fldCharType="begin"/>
                          </w:r>
                          <w:r>
                            <w:rPr>
                              <w:rFonts w:ascii="方正仿宋_GBK" w:eastAsia="方正仿宋_GBK" w:cs="方正仿宋_GBK" w:hint="eastAsia"/>
                              <w:sz w:val="28"/>
                              <w:szCs w:val="28"/>
                              <w:lang w:eastAsia="zh-CN"/>
                            </w:rPr>
                            <w:instrText xml:space="preserve"> PAGE  \* MERGEFORMAT </w:instrText>
                          </w:r>
                          <w:r>
                            <w:rPr>
                              <w:rFonts w:ascii="方正仿宋_GBK" w:eastAsia="方正仿宋_GBK" w:cs="方正仿宋_GBK" w:hint="eastAsia"/>
                              <w:sz w:val="28"/>
                              <w:szCs w:val="28"/>
                              <w:lang w:eastAsia="zh-CN"/>
                            </w:rPr>
                            <w:fldChar w:fldCharType="separate"/>
                          </w:r>
                          <w:r>
                            <w:rPr>
                              <w:rFonts w:ascii="方正仿宋_GBK" w:eastAsia="方正仿宋_GBK" w:cs="方正仿宋_GBK" w:hint="eastAsia"/>
                              <w:sz w:val="28"/>
                              <w:szCs w:val="28"/>
                              <w:lang w:eastAsia="zh-CN"/>
                            </w:rPr>
                            <w:t>- 5 -</w:t>
                          </w:r>
                          <w:r>
                            <w:rPr>
                              <w:rFonts w:ascii="方正仿宋_GBK" w:eastAsia="方正仿宋_GBK" w:cs="方正仿宋_GBK"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3" o:spid="_x0000_s3" filled="f" stroked="f" strokeweight="0.5pt" style="position:absolute;margin-left:0.0pt;margin-top:0.0pt;width:29.148pt;height:20.989048pt;z-index:1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Fonts w:eastAsia="宋体" w:hint="eastAsia"/>
                        <w:lang w:eastAsia="zh-CN"/>
                      </w:rPr>
                    </w:pPr>
                    <w:r>
                      <w:rPr>
                        <w:rFonts w:ascii="方正仿宋_GBK" w:eastAsia="方正仿宋_GBK" w:cs="方正仿宋_GBK" w:hint="eastAsia"/>
                        <w:sz w:val="28"/>
                        <w:szCs w:val="28"/>
                        <w:lang w:eastAsia="zh-CN"/>
                      </w:rPr>
                      <w:fldChar w:fldCharType="begin"/>
                    </w:r>
                    <w:r>
                      <w:rPr>
                        <w:rFonts w:ascii="方正仿宋_GBK" w:eastAsia="方正仿宋_GBK" w:cs="方正仿宋_GBK" w:hint="eastAsia"/>
                        <w:sz w:val="28"/>
                        <w:szCs w:val="28"/>
                        <w:lang w:eastAsia="zh-CN"/>
                      </w:rPr>
                      <w:instrText xml:space="preserve"> PAGE  \* MERGEFORMAT </w:instrText>
                    </w:r>
                    <w:r>
                      <w:rPr>
                        <w:rFonts w:ascii="方正仿宋_GBK" w:eastAsia="方正仿宋_GBK" w:cs="方正仿宋_GBK" w:hint="eastAsia"/>
                        <w:sz w:val="28"/>
                        <w:szCs w:val="28"/>
                        <w:lang w:eastAsia="zh-CN"/>
                      </w:rPr>
                      <w:fldChar w:fldCharType="separate"/>
                    </w:r>
                    <w:r>
                      <w:rPr>
                        <w:rFonts w:ascii="方正仿宋_GBK" w:eastAsia="方正仿宋_GBK" w:cs="方正仿宋_GBK" w:hint="eastAsia"/>
                        <w:sz w:val="28"/>
                        <w:szCs w:val="28"/>
                        <w:lang w:eastAsia="zh-CN"/>
                      </w:rPr>
                      <w:t>- 5 -</w:t>
                    </w:r>
                    <w:r>
                      <w:rPr>
                        <w:rFonts w:ascii="方正仿宋_GBK" w:eastAsia="方正仿宋_GBK" w:cs="方正仿宋_GBK" w:hint="eastAsia"/>
                        <w:sz w:val="28"/>
                        <w:szCs w:val="28"/>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3"/>
      <w:pBdr>
        <w:bottom w:val="none" w:sz="0" w:space="0" w:color="auto"/>
      </w:pBdr>
      <w:tabs>
        <w:tab w:val="clear" w:pos="4153"/>
        <w:tab w:val="left" w:pos="1738"/>
        <w:tab w:val="right" w:pos="8306"/>
      </w:tabs>
      <w:jc w:val="left"/>
    </w:pPr>
    <w:r>
      <w:rPr>
        <w:rFonts w:hint="eastAsia"/>
      </w:rPr>
      <w:tab/>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oNotDisplayPageBoundaries/>
  <w:bordersDoNotSurroundHeader w:val="0"/>
  <w:bordersDoNotSurroundFooter w:val="0"/>
  <w:defaultTabStop w:val="420"/>
  <w:drawingGridHorizontalSpacing w:val="160"/>
  <w:drawingGridVerticalSpacing w:val="221"/>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docVars>
    <w:docVars w:name="commondata" w:val="eyJoZGlkIjoiMWQ4NDRiMzM3MzE0YzE2NGNiMTgyYjI2ZjYzMjUzNm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
    <w:pPr>
      <w:widowControl w:val="0"/>
      <w:spacing w:line="420" w:lineRule="exact"/>
      <w:jc w:val="both"/>
    </w:pPr>
    <w:rPr>
      <w:rFonts w:ascii="Calibri" w:eastAsia="宋体" w:cs="Arial" w:hAnsi="Calibri"/>
      <w:kern w:val="2"/>
      <w:sz w:val="32"/>
      <w:szCs w:val="22"/>
      <w:lang w:val="en-US" w:eastAsia="zh-CN" w:bidi="ar-SA"/>
    </w:rPr>
  </w:style>
  <w:style w:type="paragraph" w:styleId="1">
    <w:name w:val="heading 1"/>
    <w:basedOn w:val="0"/>
    <w:next w:val="0"/>
    <w:pPr>
      <w:keepNext/>
      <w:keepLines/>
      <w:widowControl w:val="0"/>
      <w:spacing w:before="340" w:after="330" w:line="576" w:lineRule="auto"/>
      <w:jc w:val="both"/>
      <w:outlineLvl w:val="0"/>
    </w:pPr>
    <w:rPr>
      <w:rFonts w:ascii="Calibri" w:eastAsia="宋体" w:cs="Times New Roman" w:hAnsi="Calibri"/>
      <w:b/>
      <w:kern w:val="44"/>
      <w:sz w:val="44"/>
      <w:szCs w:val="22"/>
      <w:lang w:val="en-US" w:eastAsia="zh-CN" w:bidi="ar-SA"/>
    </w:rPr>
  </w:style>
  <w:style w:type="paragraph" w:styleId="2">
    <w:name w:val="heading 2"/>
    <w:next w:val="0"/>
    <w:pPr>
      <w:widowControl w:val="0"/>
      <w:overflowPunct w:val="0"/>
      <w:spacing w:line="600" w:lineRule="exact"/>
      <w:ind w:firstLineChars="200" w:firstLine="200"/>
      <w:jc w:val="left"/>
      <w:outlineLvl w:val="1"/>
    </w:pPr>
    <w:rPr>
      <w:rFonts w:ascii="宋体" w:eastAsia="方正楷体_GBK" w:cs="Times New Roman" w:hAnsi="宋体"/>
      <w:bCs/>
      <w:kern w:val="0"/>
      <w:sz w:val="32"/>
      <w:szCs w:val="36"/>
      <w:lang w:val="en-US" w:eastAsia="zh-CN" w:bidi="ar-SA"/>
    </w:rPr>
  </w:style>
  <w:style w:type="paragraph" w:styleId="3">
    <w:name w:val="heading 3"/>
    <w:basedOn w:val="0"/>
    <w:next w:val="0"/>
    <w:pPr>
      <w:keepNext/>
      <w:keepLines/>
      <w:widowControl w:val="0"/>
      <w:ind w:firstLineChars="200" w:firstLine="200"/>
      <w:outlineLvl w:val="2"/>
    </w:pPr>
    <w:rPr>
      <w:rFonts w:ascii="Times New Roman" w:eastAsia="仿宋_GB2312" w:cs="Times New Roman" w:hAnsi="Times New Roman"/>
      <w:b/>
      <w:sz w:val="32"/>
      <w:szCs w:val="32"/>
    </w:rPr>
  </w:style>
  <w:style w:type="paragraph" w:styleId="4">
    <w:name w:val="heading 4"/>
    <w:basedOn w:val="0"/>
    <w:next w:val="0"/>
    <w:pPr>
      <w:keepNext/>
      <w:keepLines/>
      <w:widowControl w:val="0"/>
      <w:spacing w:before="280" w:after="290" w:line="374" w:lineRule="auto"/>
      <w:outlineLvl w:val="3"/>
    </w:pPr>
    <w:rPr>
      <w:rFonts w:ascii="Cambria" w:eastAsia="宋体" w:cs="Times New Roman" w:hAnsi="Cambria"/>
      <w:b/>
      <w:bCs/>
      <w:sz w:val="28"/>
      <w:szCs w:val="28"/>
    </w:rPr>
  </w:style>
  <w:style w:type="character" w:default="1" w:styleId="10">
    <w:name w:val="Default Paragraph Font"/>
  </w:style>
  <w:style w:type="paragraph" w:styleId="15">
    <w:name w:val="E-mail Signature"/>
    <w:next w:val="16"/>
    <w:pPr>
      <w:widowControl w:val="0"/>
      <w:jc w:val="both"/>
    </w:pPr>
    <w:rPr>
      <w:rFonts w:ascii="Calibri" w:eastAsia="宋体" w:cs="Arial" w:hAnsi="Calibri"/>
      <w:kern w:val="2"/>
      <w:sz w:val="21"/>
      <w:szCs w:val="22"/>
      <w:lang w:val="en-US" w:eastAsia="zh-CN" w:bidi="ar-SA"/>
    </w:rPr>
  </w:style>
  <w:style w:type="paragraph" w:styleId="16">
    <w:name w:val="footer"/>
    <w:basedOn w:val="0"/>
    <w:pPr>
      <w:tabs>
        <w:tab w:val="center" w:pos="4153"/>
        <w:tab w:val="right" w:pos="8306"/>
      </w:tabs>
      <w:snapToGrid w:val="0"/>
      <w:spacing w:line="240" w:lineRule="atLeast"/>
      <w:jc w:val="left"/>
    </w:pPr>
    <w:rPr>
      <w:sz w:val="18"/>
      <w:szCs w:val="18"/>
    </w:rPr>
  </w:style>
  <w:style w:type="paragraph" w:styleId="17">
    <w:name w:val="Normal Indent"/>
    <w:basedOn w:val="0"/>
    <w:next w:val="0"/>
    <w:pPr>
      <w:widowControl w:val="0"/>
      <w:spacing w:line="520" w:lineRule="atLeast"/>
      <w:ind w:firstLine="510"/>
      <w:jc w:val="both"/>
    </w:pPr>
    <w:rPr>
      <w:rFonts w:ascii="Times New Roman" w:eastAsia="宋体" w:cs="Times New Roman" w:hAnsi="Times New Roman"/>
      <w:kern w:val="2"/>
      <w:sz w:val="28"/>
      <w:szCs w:val="24"/>
      <w:lang w:val="en-US" w:eastAsia="zh-CN" w:bidi="ar-SA"/>
    </w:rPr>
  </w:style>
  <w:style w:type="paragraph" w:styleId="18">
    <w:name w:val="index 5"/>
    <w:basedOn w:val="0"/>
    <w:next w:val="0"/>
    <w:pPr>
      <w:ind w:leftChars="800" w:left="800"/>
    </w:pPr>
  </w:style>
  <w:style w:type="paragraph" w:styleId="19">
    <w:name w:val="Body Text"/>
    <w:basedOn w:val="0"/>
    <w:next w:val="0"/>
    <w:pPr>
      <w:spacing w:after="120"/>
    </w:pPr>
  </w:style>
  <w:style w:type="paragraph" w:styleId="20">
    <w:name w:val="Body Text Indent"/>
    <w:basedOn w:val="0"/>
    <w:pPr>
      <w:spacing w:before="240" w:line="400" w:lineRule="exact"/>
      <w:ind w:firstLine="505"/>
    </w:pPr>
  </w:style>
  <w:style w:type="paragraph" w:styleId="21">
    <w:name w:val="toc 5"/>
    <w:basedOn w:val="0"/>
    <w:next w:val="0"/>
    <w:pPr>
      <w:ind w:leftChars="800" w:left="800"/>
    </w:pPr>
    <w:rPr>
      <w:rFonts w:eastAsia="方正仿宋_GBK"/>
      <w:sz w:val="32"/>
    </w:rPr>
  </w:style>
  <w:style w:type="paragraph" w:styleId="22">
    <w:name w:val="Balloon Text"/>
    <w:basedOn w:val="0"/>
    <w:pPr>
      <w:spacing w:line="240" w:lineRule="auto"/>
    </w:pPr>
    <w:rPr>
      <w:sz w:val="18"/>
      <w:szCs w:val="18"/>
    </w:rPr>
  </w:style>
  <w:style w:type="paragraph" w:styleId="23">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24">
    <w:name w:val="footnote text"/>
    <w:basedOn w:val="0"/>
    <w:next w:val="25"/>
    <w:pPr>
      <w:snapToGrid w:val="0"/>
      <w:jc w:val="left"/>
    </w:pPr>
    <w:rPr>
      <w:sz w:val="18"/>
    </w:rPr>
  </w:style>
  <w:style w:type="paragraph" w:styleId="25">
    <w:name w:val="Body Text First Indent 2"/>
    <w:basedOn w:val="20"/>
    <w:next w:val="0"/>
    <w:pPr>
      <w:ind w:firstLineChars="200" w:firstLine="200"/>
    </w:pPr>
  </w:style>
  <w:style w:type="paragraph" w:styleId="26">
    <w:name w:val="index 7"/>
    <w:basedOn w:val="0"/>
    <w:next w:val="0"/>
    <w:pPr>
      <w:ind w:left="2520"/>
      <w:jc w:val="left"/>
    </w:pPr>
    <w:rPr>
      <w:rFonts w:ascii="方正黑体_GBK" w:eastAsia="方正黑体_GBK"/>
      <w:sz w:val="32"/>
      <w:szCs w:val="32"/>
      <w:u w:val="none"/>
    </w:rPr>
  </w:style>
  <w:style w:type="paragraph" w:styleId="27">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28">
    <w:name w:val="Normal (Web)"/>
    <w:basedOn w:val="0"/>
    <w:next w:val="20"/>
    <w:pPr>
      <w:widowControl w:val="0"/>
      <w:spacing w:before="100" w:beforeAutospacing="1" w:after="100" w:afterAutospacing="1"/>
    </w:pPr>
    <w:rPr>
      <w:rFonts w:ascii="宋体" w:eastAsia="宋体" w:cs="Times New Roman"/>
      <w:kern w:val="2"/>
      <w:sz w:val="24"/>
      <w:szCs w:val="21"/>
      <w:lang w:val="en-US" w:eastAsia="zh-CN" w:bidi="ar-SA"/>
    </w:rPr>
  </w:style>
  <w:style w:type="paragraph" w:styleId="29">
    <w:name w:val="Title"/>
    <w:basedOn w:val="0"/>
    <w:next w:val="0"/>
    <w:pPr>
      <w:spacing w:before="240" w:after="60"/>
      <w:jc w:val="center"/>
      <w:outlineLvl w:val="0"/>
    </w:pPr>
    <w:rPr>
      <w:rFonts w:ascii="Cambria" w:hAnsi="Cambria"/>
      <w:b/>
      <w:bCs/>
      <w:sz w:val="32"/>
      <w:szCs w:val="32"/>
    </w:rPr>
  </w:style>
  <w:style w:type="character" w:styleId="30">
    <w:name w:val="Strong"/>
    <w:basedOn w:val="10"/>
    <w:rPr>
      <w:b/>
      <w:bCs/>
    </w:rPr>
  </w:style>
  <w:style w:type="character" w:styleId="31">
    <w:name w:val="page number"/>
    <w:basedOn w:val="10"/>
  </w:style>
  <w:style w:type="character" w:styleId="32">
    <w:name w:val="FollowedHyperlink"/>
    <w:basedOn w:val="10"/>
    <w:rPr>
      <w:color w:val="428BCA"/>
      <w:u w:val="none"/>
    </w:rPr>
  </w:style>
  <w:style w:type="character" w:styleId="33">
    <w:name w:val="Emphasis"/>
    <w:basedOn w:val="10"/>
    <w:rPr>
      <w:i/>
      <w:iCs/>
    </w:rPr>
  </w:style>
  <w:style w:type="character" w:styleId="34">
    <w:name w:val="Hyperlink"/>
    <w:basedOn w:val="10"/>
    <w:rPr>
      <w:color w:val="428BCA"/>
      <w:u w:val="none"/>
    </w:rPr>
  </w:style>
  <w:style w:type="character" w:styleId="35">
    <w:name w:val="HTML Code"/>
    <w:basedOn w:val="10"/>
    <w:rPr>
      <w:rFonts w:ascii="Consolas" w:eastAsia="Consolas" w:cs="Consolas" w:hAnsi="Consolas"/>
      <w:color w:val="DD1144"/>
      <w:sz w:val="18"/>
      <w:szCs w:val="18"/>
      <w:bdr w:val="single" w:sz="6" w:space="0" w:color="E1E1E8"/>
      <w:shd w:val="clear" w:color="auto" w:fill="F7F7F9"/>
    </w:rPr>
  </w:style>
  <w:style w:type="character" w:styleId="36">
    <w:name w:val="HTML Cite"/>
    <w:basedOn w:val="10"/>
  </w:style>
  <w:style w:type="paragraph" w:customStyle="1" w:styleId="37">
    <w:name w:val="索引 51"/>
    <w:basedOn w:val="0"/>
    <w:next w:val="0"/>
    <w:pPr>
      <w:ind w:left="1680"/>
    </w:pPr>
    <w:rPr>
      <w:rFonts w:ascii="Times New Roman" w:eastAsia="宋体" w:cs="Times New Roman" w:hAnsi="Times New Roman"/>
    </w:rPr>
  </w:style>
  <w:style w:type="paragraph" w:customStyle="1" w:styleId="38">
    <w:name w:val="正文-公1"/>
    <w:basedOn w:val="0"/>
    <w:pPr>
      <w:ind w:firstLineChars="200" w:firstLine="200"/>
      <w:jc w:val="left"/>
    </w:pPr>
  </w:style>
  <w:style w:type="character" w:customStyle="1" w:styleId="39">
    <w:name w:val="NormalCharacter"/>
  </w:style>
  <w:style w:type="character" w:customStyle="1" w:styleId="40">
    <w:name w:val="size"/>
    <w:basedOn w:val="10"/>
    <w:rPr>
      <w:i/>
      <w:iCs/>
      <w:sz w:val="15"/>
      <w:szCs w:val="15"/>
    </w:rPr>
  </w:style>
  <w:style w:type="character" w:customStyle="1" w:styleId="41">
    <w:name w:val="me_close"/>
    <w:basedOn w:val="10"/>
    <w:rPr>
      <w:b/>
      <w:bCs/>
      <w:color w:val="FFFFFF"/>
      <w:sz w:val="18"/>
      <w:szCs w:val="18"/>
      <w:shd w:val="clear" w:color="auto" w:fill="6843FF"/>
    </w:rPr>
  </w:style>
  <w:style w:type="paragraph" w:customStyle="1" w:styleId="42">
    <w:name w:val="contentfont"/>
    <w:basedOn w:val="0"/>
    <w:pPr>
      <w:jc w:val="left"/>
    </w:pPr>
    <w:rPr>
      <w:rFonts w:cs="Times New Roman"/>
      <w:kern w:val="0"/>
    </w:rPr>
  </w:style>
  <w:style w:type="paragraph" w:customStyle="1" w:styleId="43">
    <w:name w:val="Style 2"/>
    <w:basedOn w:val="0"/>
    <w:pPr>
      <w:widowControl w:val="0"/>
      <w:shd w:val="clear" w:color="auto" w:fill="auto"/>
      <w:spacing w:line="350" w:lineRule="auto"/>
      <w:ind w:firstLine="400"/>
    </w:pPr>
    <w:rPr>
      <w:rFonts w:ascii="宋体" w:eastAsia="宋体" w:cs="宋体"/>
      <w:sz w:val="30"/>
      <w:szCs w:val="30"/>
      <w:u w:val="none"/>
      <w:lang w:val="zh-CN" w:eastAsia="zh-CN" w:bidi="zh-CN"/>
    </w:rPr>
  </w:style>
  <w:style w:type="paragraph" w:customStyle="1" w:styleId="44">
    <w:name w:val="Style 13"/>
    <w:basedOn w:val="0"/>
    <w:pPr>
      <w:widowControl w:val="0"/>
      <w:shd w:val="clear" w:color="auto" w:fill="auto"/>
      <w:spacing w:line="529" w:lineRule="exact"/>
      <w:ind w:firstLine="680"/>
    </w:pPr>
    <w:rPr>
      <w:rFonts w:ascii="黑体" w:eastAsia="黑体" w:cs="黑体"/>
      <w:sz w:val="30"/>
      <w:szCs w:val="30"/>
      <w:u w:val="none"/>
      <w:lang w:val="zh-CN" w:eastAsia="zh-CN" w:bidi="zh-CN"/>
    </w:rPr>
  </w:style>
  <w:style w:type="paragraph" w:customStyle="1" w:styleId="45">
    <w:name w:val="List Paragraph"/>
    <w:basedOn w:val="0"/>
    <w:pPr>
      <w:widowControl w:val="0"/>
      <w:ind w:firstLineChars="200" w:firstLine="200"/>
      <w:jc w:val="both"/>
    </w:pPr>
    <w:rPr>
      <w:rFonts w:ascii="Calibri" w:eastAsia="宋体" w:cs="Arial" w:hAnsi="Calibri"/>
      <w:kern w:val="2"/>
      <w:sz w:val="21"/>
      <w:szCs w:val="24"/>
      <w:lang w:val="en-US" w:eastAsia="zh-CN" w:bidi="ar-SA"/>
    </w:rPr>
  </w:style>
  <w:style w:type="paragraph" w:customStyle="1" w:styleId="46">
    <w:name w:val="列出段落1"/>
    <w:next w:val="16"/>
    <w:pPr>
      <w:widowControl w:val="0"/>
      <w:ind w:firstLineChars="200" w:firstLine="200"/>
      <w:jc w:val="both"/>
    </w:pPr>
    <w:rPr>
      <w:rFonts w:ascii="Times New Roman" w:eastAsia="仿宋_GB2312" w:cs="Times New Roman" w:hAnsi="Times New Roman"/>
      <w:kern w:val="2"/>
      <w:sz w:val="32"/>
      <w:szCs w:val="24"/>
      <w:lang w:val="en-US" w:eastAsia="zh-CN" w:bidi="ar-SA"/>
    </w:rPr>
  </w:style>
  <w:style w:type="paragraph" w:customStyle="1" w:styleId="47">
    <w:name w:val="p0"/>
    <w:basedOn w:val="0"/>
    <w:next w:val="18"/>
    <w:pPr>
      <w:keepNext w:val="0"/>
      <w:keepLines w:val="0"/>
      <w:widowControl/>
      <w:suppressLineNumbers w:val="0"/>
      <w:spacing w:before="0" w:beforeAutospacing="0" w:after="0" w:afterAutospacing="0" w:line="240" w:lineRule="auto"/>
      <w:ind w:left="0" w:firstLine="0"/>
      <w:jc w:val="both"/>
    </w:pPr>
    <w:rPr>
      <w:rFonts w:ascii="Times New Roman" w:eastAsia="宋体" w:cs="Times New Roman" w:hAnsi="Times New Roman"/>
      <w:kern w:val="0"/>
      <w:sz w:val="21"/>
      <w:szCs w:val="21"/>
      <w:lang w:val="en-US" w:eastAsia="zh-CN"/>
    </w:rPr>
  </w:style>
  <w:style w:type="paragraph" w:customStyle="1" w:styleId="48">
    <w:name w:val="Body text|1"/>
    <w:basedOn w:val="0"/>
    <w:pPr>
      <w:widowControl w:val="0"/>
      <w:shd w:val="clear" w:color="auto" w:fill="auto"/>
      <w:spacing w:line="415" w:lineRule="auto"/>
      <w:ind w:firstLine="400"/>
    </w:pPr>
    <w:rPr>
      <w:rFonts w:ascii="宋体" w:eastAsia="宋体" w:cs="宋体"/>
      <w:sz w:val="28"/>
      <w:szCs w:val="28"/>
      <w:u w:val="none"/>
      <w:shd w:val="clear" w:color="auto" w:fill="auto"/>
      <w:lang w:val="zh-TW" w:eastAsia="zh-TW" w:bidi="zh-TW"/>
    </w:rPr>
  </w:style>
  <w:style w:type="character" w:customStyle="1" w:styleId="49">
    <w:name w:val="font11"/>
    <w:basedOn w:val="10"/>
    <w:rPr>
      <w:rFonts w:ascii="宋体" w:eastAsia="宋体" w:cs="宋体"/>
      <w:color w:val="000000"/>
      <w:sz w:val="22"/>
      <w:szCs w:val="22"/>
      <w:u w:val="none"/>
    </w:rPr>
  </w:style>
  <w:style w:type="character" w:customStyle="1" w:styleId="50">
    <w:name w:val="font31"/>
    <w:basedOn w:val="10"/>
    <w:rPr>
      <w:rFonts w:ascii="Times New Roman" w:cs="Times New Roman" w:hAnsi="Times New Roman"/>
      <w:color w:val="000000"/>
      <w:sz w:val="22"/>
      <w:szCs w:val="22"/>
      <w:u w:val="none"/>
    </w:rPr>
  </w:style>
  <w:style w:type="paragraph" w:customStyle="1" w:styleId="51">
    <w:name w:val="Default"/>
    <w:pPr>
      <w:widowControl w:val="0"/>
      <w:autoSpaceDE w:val="0"/>
      <w:autoSpaceDN w:val="0"/>
      <w:adjustRightInd w:val="0"/>
      <w:spacing w:line="578" w:lineRule="exact"/>
      <w:ind w:firstLine="720"/>
      <w:jc w:val="both"/>
    </w:pPr>
    <w:rPr>
      <w:rFonts w:ascii="宋体" w:eastAsia="宋体" w:cs="宋体"/>
      <w:color w:val="000000"/>
      <w:sz w:val="24"/>
      <w:szCs w:val="24"/>
      <w:lang w:val="en-US" w:eastAsia="zh-CN" w:bidi="ar-SA"/>
    </w:rPr>
  </w:style>
  <w:style w:type="character" w:customStyle="1" w:styleId="52">
    <w:name w:val="font21"/>
    <w:basedOn w:val="10"/>
    <w:rPr>
      <w:rFonts w:ascii="宋体" w:eastAsia="宋体" w:cs="宋体"/>
      <w:b/>
      <w:bCs/>
      <w:color w:val="000000"/>
      <w:sz w:val="26"/>
      <w:szCs w:val="26"/>
      <w:u w:val="none"/>
    </w:rPr>
  </w:style>
  <w:style w:type="character" w:customStyle="1" w:styleId="53">
    <w:name w:val="font51"/>
    <w:basedOn w:val="10"/>
    <w:rPr>
      <w:rFonts w:ascii="宋体" w:eastAsia="宋体" w:cs="宋体"/>
      <w:color w:val="000000"/>
      <w:sz w:val="26"/>
      <w:szCs w:val="26"/>
      <w:u w:val="none"/>
    </w:rPr>
  </w:style>
  <w:style w:type="character" w:customStyle="1" w:styleId="54">
    <w:name w:val="15"/>
    <w:rPr>
      <w:rFonts w:ascii="Times New Roman" w:cs="Times New Roman" w:hAnsi="Times New Roman"/>
      <w:b/>
      <w:bCs/>
      <w:lang w:bidi="ar-SA"/>
    </w:rPr>
  </w:style>
  <w:style w:type="paragraph" w:customStyle="1" w:styleId="55">
    <w:name w:val="Table Text"/>
    <w:basedOn w:val="0"/>
    <w:rPr>
      <w:rFonts w:ascii="宋体" w:eastAsia="宋体" w:cs="宋体"/>
      <w:sz w:val="27"/>
      <w:szCs w:val="27"/>
      <w:lang w:val="en-US" w:eastAsia="en-US" w:bidi="ar-SA"/>
    </w:rPr>
  </w:style>
  <w:style w:type="character" w:customStyle="1" w:styleId="56">
    <w:name w:val="font71"/>
    <w:basedOn w:val="10"/>
    <w:rPr>
      <w:rFonts w:ascii="宋体" w:eastAsia="宋体" w:cs="宋体"/>
      <w:color w:val="000000"/>
      <w:sz w:val="22"/>
      <w:szCs w:val="22"/>
      <w:u w:val="none"/>
    </w:rPr>
  </w:style>
  <w:style w:type="character" w:customStyle="1" w:styleId="57">
    <w:name w:val="font61"/>
    <w:basedOn w:val="10"/>
    <w:rPr>
      <w:rFonts w:ascii="TNR" w:eastAsia="TNR" w:cs="TNR" w:hAnsi="TNR"/>
      <w:color w:val="000000"/>
      <w:sz w:val="22"/>
      <w:szCs w:val="22"/>
      <w:u w:val="none"/>
    </w:rPr>
  </w:style>
  <w:style w:type="character" w:customStyle="1" w:styleId="58">
    <w:name w:val="font91"/>
    <w:basedOn w:val="10"/>
    <w:rPr>
      <w:rFonts w:ascii="宋体" w:eastAsia="宋体" w:cs="宋体"/>
      <w:color w:val="000000"/>
      <w:sz w:val="21"/>
      <w:szCs w:val="21"/>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Application>
  <Pages>1</Pages>
  <Words>8</Words>
  <Characters>8</Characters>
  <Lines>1</Lines>
  <Paragraphs>0</Paragraphs>
  <CharactersWithSpaces>8</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李茂</dc:creator>
  <cp:lastModifiedBy>admin</cp:lastModifiedBy>
  <cp:revision>14</cp:revision>
  <cp:lastPrinted>2024-09-14T07:09:00Z</cp:lastPrinted>
  <dcterms:created xsi:type="dcterms:W3CDTF">2021-02-03T07:36:00Z</dcterms:created>
  <dcterms:modified xsi:type="dcterms:W3CDTF">2024-12-31T10:11:55Z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21B546F45EB949EEA5A1F4ECFA148053</vt:lpwstr>
  </property>
  <property fmtid="{D5CDD505-2E9C-101B-9397-08002B2CF9AE}" pid="4" name="KSOTemplateDocerSaveRecord">
    <vt:lpwstr>eyJoZGlkIjoiMTcyOTdmYjBjOTBjNjM5MmNjOWZjOTEwYTUzY2UwZGMifQ==</vt:lpwstr>
  </property>
</Properties>
</file>