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80" w:lineRule="atLeas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重庆市涪陵区人</w:t>
      </w:r>
      <w:bookmarkStart w:id="0" w:name="_GoBack"/>
      <w:bookmarkEnd w:id="0"/>
      <w:r>
        <w:rPr>
          <w:rFonts w:hint="eastAsia" w:ascii="方正小标宋_GBK" w:eastAsia="方正小标宋_GBK"/>
          <w:color w:val="000000" w:themeColor="text1"/>
          <w:sz w:val="44"/>
          <w:szCs w:val="44"/>
        </w:rPr>
        <w:t>民政府李渡街道办事处</w:t>
      </w:r>
    </w:p>
    <w:p>
      <w:pPr>
        <w:snapToGrid w:val="0"/>
        <w:spacing w:line="680" w:lineRule="atLeas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关于2020年预算执行情况和2021年预算草案的报告</w:t>
      </w:r>
    </w:p>
    <w:p>
      <w:pPr>
        <w:jc w:val="center"/>
        <w:rPr>
          <w:rFonts w:ascii="方正楷体_GBK" w:hAnsi="Calibri" w:eastAsia="方正楷体_GBK"/>
          <w:b/>
          <w:color w:val="000000" w:themeColor="text1"/>
          <w:sz w:val="30"/>
          <w:szCs w:val="30"/>
        </w:rPr>
      </w:pPr>
    </w:p>
    <w:p>
      <w:pPr>
        <w:jc w:val="center"/>
        <w:rPr>
          <w:rFonts w:ascii="方正楷体_GBK" w:eastAsia="方正楷体_GBK"/>
          <w:sz w:val="28"/>
          <w:szCs w:val="28"/>
        </w:rPr>
      </w:pPr>
      <w:r>
        <w:rPr>
          <w:rFonts w:hint="eastAsia" w:ascii="方正楷体_GBK" w:eastAsia="方正楷体_GBK"/>
          <w:sz w:val="28"/>
          <w:szCs w:val="28"/>
        </w:rPr>
        <w:t>（2021年3月）</w:t>
      </w:r>
    </w:p>
    <w:p>
      <w:pPr>
        <w:pStyle w:val="12"/>
        <w:spacing w:line="240" w:lineRule="auto"/>
        <w:ind w:firstLine="632"/>
        <w:rPr>
          <w:rFonts w:ascii="方正仿宋简体" w:hAnsi="方正仿宋简体" w:eastAsia="方正仿宋简体" w:cs="方正仿宋简体"/>
        </w:rPr>
      </w:pPr>
    </w:p>
    <w:p>
      <w:pPr>
        <w:ind w:firstLine="632" w:firstLineChars="200"/>
        <w:rPr>
          <w:rFonts w:hint="eastAsia" w:ascii="方正黑体_GBK" w:hAnsi="方正黑体_GBK" w:eastAsia="方正黑体_GBK" w:cs="方正黑体_GBK"/>
          <w:b/>
          <w:bCs/>
        </w:rPr>
      </w:pPr>
      <w:r>
        <w:rPr>
          <w:rFonts w:hint="eastAsia" w:ascii="方正黑体_GBK" w:hAnsi="方正黑体_GBK" w:eastAsia="方正黑体_GBK" w:cs="方正黑体_GBK"/>
          <w:b/>
          <w:bCs/>
        </w:rPr>
        <w:t>一、2020年预算执行落实情况</w:t>
      </w:r>
    </w:p>
    <w:p>
      <w:pPr>
        <w:ind w:firstLine="632" w:firstLineChars="200"/>
        <w:rPr>
          <w:rFonts w:hAnsi="方正仿宋_GBK" w:cs="方正仿宋_GBK"/>
        </w:rPr>
      </w:pPr>
      <w:r>
        <w:rPr>
          <w:rFonts w:hint="eastAsia" w:hAnsi="方正仿宋_GBK" w:cs="方正仿宋_GBK"/>
        </w:rPr>
        <w:t>2020年，街道党工委、办事处紧紧围绕“服务新区、做美城镇、振兴乡村、建强队伍”工作思路，强化责任担当，努力推进街道内部控制制度，狠抓收入管理，严格控制支出，在上级各部门的大力支持和帮助下，较好完成保工资、保运转、保基本民生“三保”工作任务，保障街道各项事业有序发展和社会和谐稳定，较好的完成了街道各项工作任务。</w:t>
      </w:r>
    </w:p>
    <w:p>
      <w:pPr>
        <w:numPr>
          <w:ilvl w:val="0"/>
          <w:numId w:val="1"/>
        </w:numPr>
        <w:ind w:firstLine="63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rPr>
        <w:t>2020年财政主要工作</w:t>
      </w:r>
    </w:p>
    <w:p>
      <w:pPr>
        <w:ind w:firstLine="632" w:firstLineChars="200"/>
        <w:rPr>
          <w:rFonts w:hAnsi="方正仿宋_GBK" w:cs="方正仿宋_GBK"/>
          <w:b/>
          <w:bCs/>
        </w:rPr>
      </w:pPr>
      <w:r>
        <w:rPr>
          <w:rFonts w:hint="eastAsia" w:hAnsi="方正仿宋_GBK" w:cs="方正仿宋_GBK"/>
          <w:b/>
          <w:bCs/>
        </w:rPr>
        <w:t>1.建立健全财政内控制度，提高内控水平。</w:t>
      </w:r>
    </w:p>
    <w:p>
      <w:pPr>
        <w:ind w:firstLine="632" w:firstLineChars="200"/>
        <w:rPr>
          <w:rFonts w:hAnsi="方正仿宋_GBK" w:cs="方正仿宋_GBK"/>
          <w:kern w:val="0"/>
        </w:rPr>
      </w:pPr>
      <w:r>
        <w:rPr>
          <w:rFonts w:hint="eastAsia" w:hAnsi="方正仿宋_GBK" w:cs="方正仿宋_GBK"/>
          <w:kern w:val="0"/>
        </w:rPr>
        <w:t>为提高我街内部管理水平，规范内部控制，加强廉政风险防控建设，街道成立了内部控制领导小组，制定了街道内部控制实施方案，做到内部控制建设规范，有组织架构及相应的工作机制，并督促落地落细落实。</w:t>
      </w:r>
    </w:p>
    <w:p>
      <w:pPr>
        <w:pStyle w:val="12"/>
        <w:spacing w:line="240" w:lineRule="auto"/>
        <w:rPr>
          <w:rFonts w:ascii="方正仿宋_GBK" w:hAnsi="方正仿宋_GBK" w:cs="方正仿宋_GBK"/>
          <w:b/>
          <w:bCs/>
        </w:rPr>
      </w:pPr>
      <w:r>
        <w:rPr>
          <w:rFonts w:hint="eastAsia" w:ascii="方正仿宋_GBK" w:hAnsi="方正仿宋_GBK" w:cs="方正仿宋_GBK"/>
          <w:b/>
          <w:bCs/>
        </w:rPr>
        <w:t>2.严格各项预算支出，加强财务管理。</w:t>
      </w:r>
    </w:p>
    <w:p>
      <w:pPr>
        <w:pStyle w:val="12"/>
        <w:spacing w:line="240" w:lineRule="auto"/>
        <w:ind w:firstLine="632"/>
        <w:rPr>
          <w:rFonts w:ascii="方正仿宋_GBK" w:hAnsi="方正仿宋_GBK" w:cs="方正仿宋_GBK"/>
        </w:rPr>
      </w:pPr>
      <w:r>
        <w:rPr>
          <w:rFonts w:hint="eastAsia" w:ascii="方正仿宋_GBK" w:hAnsi="方正仿宋_GBK" w:cs="方正仿宋_GBK"/>
        </w:rPr>
        <w:t>认真按照区财政局的工作要求，以“保工资、保运转、保基本民生”的原则来安排各项支出，不挤占挪用专款，建立内部控制制度长效机制，确保财政工作的正常运转。</w:t>
      </w:r>
    </w:p>
    <w:p>
      <w:pPr>
        <w:pStyle w:val="12"/>
        <w:spacing w:line="240" w:lineRule="auto"/>
        <w:ind w:firstLine="634"/>
        <w:rPr>
          <w:rFonts w:ascii="方正仿宋_GBK" w:hAnsi="方正仿宋_GBK" w:cs="方正仿宋_GBK"/>
        </w:rPr>
      </w:pPr>
      <w:r>
        <w:rPr>
          <w:rFonts w:hint="eastAsia" w:ascii="方正仿宋_GBK" w:hAnsi="方正仿宋_GBK" w:cs="方正仿宋_GBK"/>
          <w:b/>
          <w:bCs/>
        </w:rPr>
        <w:t>3.做好后勤服务，保障疫情期间防疫物资充足。</w:t>
      </w:r>
    </w:p>
    <w:p>
      <w:pPr>
        <w:pStyle w:val="12"/>
        <w:spacing w:line="240" w:lineRule="auto"/>
        <w:ind w:firstLine="632"/>
        <w:rPr>
          <w:rFonts w:ascii="方正仿宋_GBK" w:hAnsi="方正仿宋_GBK" w:cs="方正仿宋_GBK"/>
        </w:rPr>
      </w:pPr>
      <w:r>
        <w:rPr>
          <w:rFonts w:hint="eastAsia" w:ascii="方正仿宋_GBK" w:hAnsi="方正仿宋_GBK" w:cs="方正仿宋_GBK"/>
        </w:rPr>
        <w:t>2月份疫情发生以来，街道积极协调，多方筹措，共计花费40余万元购买一次性口罩85600个，75%消毒酒精（喷壶）860瓶，84消毒液（20L)24瓶，扩音器149个，藿香正气液1890盒等，充分保障了疫情期间防疫物资的使用。</w:t>
      </w:r>
    </w:p>
    <w:p>
      <w:pPr>
        <w:pStyle w:val="12"/>
        <w:spacing w:line="240" w:lineRule="auto"/>
        <w:rPr>
          <w:rFonts w:ascii="方正仿宋_GBK" w:hAnsi="方正仿宋_GBK" w:cs="方正仿宋_GBK"/>
          <w:b/>
          <w:bCs/>
        </w:rPr>
      </w:pPr>
      <w:r>
        <w:rPr>
          <w:rFonts w:hint="eastAsia" w:ascii="方正仿宋_GBK" w:hAnsi="方正仿宋_GBK" w:cs="方正仿宋_GBK"/>
          <w:b/>
          <w:bCs/>
        </w:rPr>
        <w:t>4.做好行政事业单位房屋资产确权处置有关工作。</w:t>
      </w:r>
    </w:p>
    <w:p>
      <w:pPr>
        <w:pStyle w:val="12"/>
        <w:spacing w:line="240" w:lineRule="auto"/>
        <w:ind w:firstLine="632"/>
        <w:rPr>
          <w:rFonts w:ascii="方正仿宋_GBK" w:hAnsi="方正仿宋_GBK" w:cs="方正仿宋_GBK"/>
        </w:rPr>
      </w:pPr>
      <w:r>
        <w:rPr>
          <w:rFonts w:hint="eastAsia" w:ascii="方正仿宋_GBK" w:hAnsi="方正仿宋_GBK" w:cs="方正仿宋_GBK"/>
        </w:rPr>
        <w:t>街道资产清理小组从2月下旬开始对未在街道辖区的原高岩口、大堰河、太乙门、金银等地所有房屋资产进行全面清理，经过一个多月的逐一核对、实物盘查发现，未在街道辖区的办公楼、住宿楼及门面等共计50处，总占地面积65958m²，总建筑面积82524.54 m²。其中办公住宅41处，门面9处。现有经营性出租房屋门面12处，2020年收取租金317527元。</w:t>
      </w:r>
    </w:p>
    <w:p>
      <w:pPr>
        <w:ind w:firstLine="632" w:firstLineChars="200"/>
        <w:rPr>
          <w:rFonts w:hint="eastAsia" w:ascii="方正楷体_GBK" w:hAnsi="方正楷体_GBK" w:eastAsia="方正楷体_GBK" w:cs="方正楷体_GBK"/>
          <w:b/>
        </w:rPr>
      </w:pPr>
      <w:r>
        <w:rPr>
          <w:rFonts w:hint="eastAsia" w:ascii="方正楷体_GBK" w:hAnsi="方正楷体_GBK" w:eastAsia="方正楷体_GBK" w:cs="方正楷体_GBK"/>
          <w:b/>
        </w:rPr>
        <w:t>（二）预算收支执行情况</w:t>
      </w:r>
    </w:p>
    <w:p>
      <w:pPr>
        <w:ind w:firstLine="632" w:firstLineChars="200"/>
        <w:rPr>
          <w:rFonts w:hAnsi="方正仿宋_GBK" w:cs="方正仿宋_GBK"/>
          <w:b/>
          <w:bCs/>
        </w:rPr>
      </w:pPr>
      <w:r>
        <w:rPr>
          <w:rFonts w:hint="eastAsia" w:hAnsi="方正仿宋_GBK" w:cs="方正仿宋_GBK"/>
          <w:b/>
          <w:bCs/>
        </w:rPr>
        <w:t>1.一般公共预算收支执行情况</w:t>
      </w:r>
    </w:p>
    <w:p>
      <w:pPr>
        <w:ind w:firstLine="632" w:firstLineChars="200"/>
        <w:rPr>
          <w:rFonts w:hAnsi="方正仿宋_GBK" w:cs="方正仿宋_GBK"/>
        </w:rPr>
      </w:pPr>
      <w:r>
        <w:rPr>
          <w:rFonts w:hint="eastAsia" w:hAnsi="方正仿宋_GBK" w:cs="方正仿宋_GBK"/>
        </w:rPr>
        <w:t>2020年街道一般公共预算收入6634万元，同口径（下同）下降15.1%，其中本级公共预算收入1370万元，下降31.6%，上级补助收入5258万元，增长8.1%，2019年年终结余6万元。</w:t>
      </w:r>
    </w:p>
    <w:p>
      <w:pPr>
        <w:ind w:firstLine="632" w:firstLineChars="200"/>
        <w:rPr>
          <w:rFonts w:hAnsi="方正仿宋_GBK" w:cs="方正仿宋_GBK"/>
        </w:rPr>
      </w:pPr>
      <w:r>
        <w:rPr>
          <w:rFonts w:hint="eastAsia" w:hAnsi="方正仿宋_GBK" w:cs="方正仿宋_GBK"/>
        </w:rPr>
        <w:t>2020年街道本级支出5961万元，下降29.6%。分项支出如下：</w:t>
      </w:r>
    </w:p>
    <w:p>
      <w:pPr>
        <w:ind w:firstLine="632" w:firstLineChars="200"/>
        <w:rPr>
          <w:rFonts w:hAnsi="方正仿宋_GBK" w:cs="方正仿宋_GBK"/>
        </w:rPr>
      </w:pPr>
      <w:r>
        <w:rPr>
          <w:rFonts w:hint="eastAsia" w:hAnsi="方正仿宋_GBK" w:cs="方正仿宋_GBK"/>
        </w:rPr>
        <w:t>（1）一般公共服务支出1964万元，下降38.1%，</w:t>
      </w:r>
      <w:r>
        <w:rPr>
          <w:rFonts w:hint="eastAsia" w:hAnsi="方正仿宋_GBK" w:cs="方正仿宋_GBK"/>
          <w:color w:val="333333"/>
          <w:kern w:val="0"/>
        </w:rPr>
        <w:t>主要用于保障党政机关、人大、</w:t>
      </w:r>
      <w:r>
        <w:rPr>
          <w:rFonts w:hint="eastAsia" w:hAnsi="方正仿宋_GBK" w:cs="方正仿宋_GBK"/>
        </w:rPr>
        <w:t>政府办公室、纪检、群团、财政</w:t>
      </w:r>
      <w:r>
        <w:rPr>
          <w:rFonts w:hint="eastAsia" w:hAnsi="方正仿宋_GBK" w:cs="方正仿宋_GBK"/>
          <w:color w:val="333333"/>
          <w:kern w:val="0"/>
        </w:rPr>
        <w:t>正常运转</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（2）文化旅游体育与传媒支出148万元，下降45.3%，</w:t>
      </w:r>
      <w:r>
        <w:rPr>
          <w:rFonts w:hint="eastAsia" w:hAnsi="方正仿宋_GBK" w:cs="方正仿宋_GBK"/>
          <w:color w:val="333333"/>
          <w:kern w:val="0"/>
        </w:rPr>
        <w:t>主要用于保障</w:t>
      </w:r>
      <w:r>
        <w:rPr>
          <w:rFonts w:hint="eastAsia" w:hAnsi="方正仿宋_GBK" w:cs="方正仿宋_GBK"/>
        </w:rPr>
        <w:t>文化体育活动、广播事业、乡村旅游发展及村级文化阵地建设等</w:t>
      </w:r>
      <w:r>
        <w:rPr>
          <w:rFonts w:hint="eastAsia" w:hAnsi="方正仿宋_GBK" w:cs="方正仿宋_GBK"/>
          <w:color w:val="333333"/>
          <w:kern w:val="0"/>
        </w:rPr>
        <w:t>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（3）社会保障和就业事务支出759万元，下降35.9%，主要用于民政和社区事务管理、</w:t>
      </w:r>
      <w:r>
        <w:rPr>
          <w:rFonts w:hint="eastAsia" w:hAnsi="方正仿宋_GBK" w:cs="方正仿宋_GBK"/>
          <w:color w:val="333333"/>
          <w:kern w:val="0"/>
        </w:rPr>
        <w:t>退役安置、社会福利、残疾人事业、</w:t>
      </w:r>
      <w:r>
        <w:rPr>
          <w:rFonts w:hint="eastAsia" w:hAnsi="方正仿宋_GBK" w:cs="方正仿宋_GBK"/>
        </w:rPr>
        <w:t>职工养老保险、职业年金、行政事业单位离退休职工、村（社区）干部社会保障缴费和就业支出等。</w:t>
      </w:r>
    </w:p>
    <w:p>
      <w:pPr>
        <w:ind w:firstLine="632" w:firstLineChars="200"/>
        <w:rPr>
          <w:rFonts w:hAnsi="方正仿宋_GBK" w:cs="方正仿宋_GBK"/>
        </w:rPr>
      </w:pPr>
      <w:r>
        <w:rPr>
          <w:rFonts w:hint="eastAsia" w:hAnsi="方正仿宋_GBK" w:cs="方正仿宋_GBK"/>
        </w:rPr>
        <w:t>（4）卫生健康支出237万元，增长2.5%，主要用于行政事业单位医疗保障及疫情防控支出。</w:t>
      </w:r>
    </w:p>
    <w:p>
      <w:pPr>
        <w:ind w:firstLine="632" w:firstLineChars="200"/>
        <w:rPr>
          <w:rFonts w:hAnsi="方正仿宋_GBK" w:cs="方正仿宋_GBK"/>
        </w:rPr>
      </w:pPr>
      <w:r>
        <w:rPr>
          <w:rFonts w:hint="eastAsia" w:hAnsi="方正仿宋_GBK" w:cs="方正仿宋_GBK"/>
        </w:rPr>
        <w:t>（5）节能环保支出189万元，下降7.4%，主要用于</w:t>
      </w:r>
      <w:r>
        <w:rPr>
          <w:rFonts w:hint="eastAsia" w:hAnsi="方正仿宋_GBK" w:cs="方正仿宋_GBK"/>
          <w:color w:val="333333"/>
          <w:kern w:val="0"/>
        </w:rPr>
        <w:t>保障节能环保事业支出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（6）城乡社区支出483万元，下降76.0%，主要用于综合执法、</w:t>
      </w:r>
      <w:r>
        <w:rPr>
          <w:rFonts w:hint="eastAsia" w:hAnsi="方正仿宋_GBK" w:cs="方正仿宋_GBK"/>
          <w:color w:val="333333"/>
          <w:kern w:val="0"/>
        </w:rPr>
        <w:t>市政设施维护、园林绿化、路灯照明、清扫保洁、</w:t>
      </w:r>
      <w:r>
        <w:rPr>
          <w:rFonts w:hint="eastAsia" w:hAnsi="方正仿宋_GBK" w:cs="方正仿宋_GBK"/>
        </w:rPr>
        <w:t>人居环境整治、创文创卫、农贸市场建设支出。</w:t>
      </w:r>
    </w:p>
    <w:p>
      <w:pPr>
        <w:ind w:firstLine="632" w:firstLineChars="200"/>
        <w:rPr>
          <w:rFonts w:hAnsi="方正仿宋_GBK" w:cs="方正仿宋_GBK"/>
        </w:rPr>
      </w:pPr>
      <w:r>
        <w:rPr>
          <w:rFonts w:hint="eastAsia" w:hAnsi="方正仿宋_GBK" w:cs="方正仿宋_GBK"/>
        </w:rPr>
        <w:t>（7）农林水支出1442万元，下降22.1%，主要用于农业、林业、畜牧等部门事业人员支出、村社干部工资、大学生村官、本土人才、农村公益事业、扶贫、一事一议支出。</w:t>
      </w:r>
    </w:p>
    <w:p>
      <w:pPr>
        <w:ind w:firstLine="632" w:firstLineChars="200"/>
        <w:rPr>
          <w:rFonts w:hAnsi="方正仿宋_GBK" w:cs="方正仿宋_GBK"/>
        </w:rPr>
      </w:pPr>
      <w:r>
        <w:rPr>
          <w:rFonts w:hint="eastAsia" w:hAnsi="方正仿宋_GBK" w:cs="方正仿宋_GBK"/>
        </w:rPr>
        <w:t>（8）交通运输支出38万元，增长5.3%，主要用于公路新建及改扩建支出。</w:t>
      </w:r>
    </w:p>
    <w:p>
      <w:pPr>
        <w:ind w:firstLine="632" w:firstLineChars="200"/>
        <w:rPr>
          <w:rFonts w:hAnsi="方正仿宋_GBK" w:cs="方正仿宋_GBK"/>
        </w:rPr>
      </w:pPr>
      <w:r>
        <w:rPr>
          <w:rFonts w:hint="eastAsia" w:hAnsi="方正仿宋_GBK" w:cs="方正仿宋_GBK"/>
        </w:rPr>
        <w:t>（9）资源勘探信息等支出401万元，增长2.3%，主要用于中小企业发展管理和企业扶持支出。</w:t>
      </w:r>
    </w:p>
    <w:p>
      <w:pPr>
        <w:ind w:firstLine="632" w:firstLineChars="200"/>
        <w:rPr>
          <w:rFonts w:hAnsi="方正仿宋_GBK" w:cs="方正仿宋_GBK"/>
        </w:rPr>
      </w:pPr>
      <w:r>
        <w:rPr>
          <w:rFonts w:hint="eastAsia" w:hAnsi="方正仿宋_GBK" w:cs="方正仿宋_GBK"/>
        </w:rPr>
        <w:t>（10）住房保障支出300万元，增长3.3%，主要用于住房公积金支出。</w:t>
      </w:r>
    </w:p>
    <w:p>
      <w:pPr>
        <w:ind w:firstLine="632" w:firstLineChars="200"/>
        <w:rPr>
          <w:rFonts w:hAnsi="方正仿宋_GBK" w:cs="方正仿宋_GBK"/>
          <w:b/>
          <w:bCs/>
        </w:rPr>
      </w:pPr>
      <w:r>
        <w:rPr>
          <w:rFonts w:hint="eastAsia" w:hAnsi="方正仿宋_GBK" w:cs="方正仿宋_GBK"/>
          <w:b/>
          <w:bCs/>
        </w:rPr>
        <w:t>2.政府性基金收支执行情况。</w:t>
      </w:r>
      <w:r>
        <w:rPr>
          <w:rFonts w:hint="eastAsia" w:hAnsi="方正仿宋_GBK" w:cs="方正仿宋_GBK"/>
          <w:b/>
          <w:bCs/>
        </w:rPr>
        <w:tab/>
      </w:r>
    </w:p>
    <w:p>
      <w:pPr>
        <w:ind w:firstLine="632" w:firstLineChars="200"/>
        <w:rPr>
          <w:rFonts w:hAnsi="方正仿宋_GBK" w:cs="方正仿宋_GBK"/>
        </w:rPr>
      </w:pPr>
      <w:r>
        <w:rPr>
          <w:rFonts w:hint="eastAsia" w:hAnsi="方正仿宋_GBK" w:cs="方正仿宋_GBK"/>
        </w:rPr>
        <w:t>2020年街道政府性基金收入354万元，下降156.2%；政府性基金支出247万元，下降152.2%，结余上解107万元。</w:t>
      </w:r>
    </w:p>
    <w:p>
      <w:pPr>
        <w:ind w:firstLine="632" w:firstLineChars="200"/>
        <w:rPr>
          <w:rFonts w:hint="eastAsia" w:ascii="方正黑体_GBK" w:hAnsi="方正黑体_GBK" w:eastAsia="方正黑体_GBK" w:cs="方正黑体_GBK"/>
          <w:b/>
        </w:rPr>
      </w:pPr>
      <w:r>
        <w:rPr>
          <w:rFonts w:hint="eastAsia" w:ascii="方正黑体_GBK" w:hAnsi="方正黑体_GBK" w:eastAsia="方正黑体_GBK" w:cs="方正黑体_GBK"/>
          <w:b/>
        </w:rPr>
        <w:t>二、2021年财政预算草案</w:t>
      </w:r>
    </w:p>
    <w:p>
      <w:pPr>
        <w:widowControl/>
        <w:shd w:val="clear" w:color="auto" w:fill="FFFFFF"/>
        <w:ind w:firstLine="632" w:firstLineChars="200"/>
        <w:jc w:val="left"/>
        <w:rPr>
          <w:rFonts w:hAnsi="方正仿宋_GBK" w:cs="方正仿宋_GBK"/>
          <w:color w:val="333333"/>
          <w:kern w:val="0"/>
        </w:rPr>
      </w:pPr>
      <w:r>
        <w:rPr>
          <w:rFonts w:hint="eastAsia" w:hAnsi="方正仿宋_GBK" w:cs="方正仿宋_GBK"/>
        </w:rPr>
        <w:t>2021年街道财政预算编制和财政工作的指导思想是：</w:t>
      </w:r>
      <w:r>
        <w:rPr>
          <w:rFonts w:hint="eastAsia" w:hAnsi="方正仿宋_GBK" w:cs="方正仿宋_GBK"/>
          <w:color w:val="333333"/>
          <w:kern w:val="0"/>
        </w:rPr>
        <w:t>坚持以习近平新时代中国特色社会主义思想为指导，全面贯彻党的十九大和十九届二中、三中、四中、五中全会精神</w:t>
      </w:r>
      <w:r>
        <w:rPr>
          <w:rFonts w:hint="eastAsia" w:hAnsi="方正仿宋_GBK" w:cs="方正仿宋_GBK"/>
        </w:rPr>
        <w:t>，紧紧围绕区委、区政府决策部署、区财政工作要求和街道2021年经济工作重点任务，</w:t>
      </w:r>
      <w:r>
        <w:rPr>
          <w:rFonts w:hint="eastAsia" w:hAnsi="方正仿宋_GBK" w:cs="方正仿宋_GBK"/>
          <w:color w:val="333333"/>
          <w:kern w:val="0"/>
        </w:rPr>
        <w:t>坚持政府带头过“紧日子”，始终坚守“底线”思维。继续调整优化财政支出结构，优先保障“三保”支出，提高财政可持续发展能力；继续深入实施预算绩效管理，提高资金使用效益。全年牢牢守住“三保”支出红线和不发生政府性债务风险底线。努力促进全街经济社会持续健康发展。</w:t>
      </w:r>
    </w:p>
    <w:p>
      <w:pPr>
        <w:ind w:firstLine="63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rPr>
        <w:t>（一）2021年财政重点工作</w:t>
      </w:r>
    </w:p>
    <w:p>
      <w:pPr>
        <w:pStyle w:val="12"/>
        <w:spacing w:line="240" w:lineRule="auto"/>
        <w:ind w:firstLine="634"/>
        <w:rPr>
          <w:rFonts w:ascii="方正仿宋_GBK" w:hAnsi="方正仿宋_GBK" w:cs="方正仿宋_GBK"/>
        </w:rPr>
      </w:pPr>
      <w:r>
        <w:rPr>
          <w:rFonts w:hint="eastAsia" w:ascii="方正仿宋_GBK" w:hAnsi="方正仿宋_GBK" w:cs="方正仿宋_GBK"/>
          <w:b/>
          <w:bCs/>
        </w:rPr>
        <w:t>1.转变观念，牢固树立过“紧日子”思想。</w:t>
      </w:r>
    </w:p>
    <w:p>
      <w:pPr>
        <w:pStyle w:val="12"/>
        <w:spacing w:line="240" w:lineRule="auto"/>
        <w:ind w:firstLine="0" w:firstLineChars="0"/>
        <w:rPr>
          <w:rFonts w:ascii="方正仿宋_GBK" w:hAnsi="方正仿宋_GBK" w:cs="方正仿宋_GBK"/>
        </w:rPr>
      </w:pPr>
      <w:r>
        <w:rPr>
          <w:rFonts w:hint="eastAsia" w:ascii="方正仿宋_GBK" w:hAnsi="方正仿宋_GBK" w:cs="方正仿宋_GBK"/>
        </w:rPr>
        <w:t xml:space="preserve">    安排财政支出一定要从全街经济社会协调发展大局出发，正确处理吃饭与建设的关系，牢固树立过“紧日子”的思想，进一步开源节流、以收定支，按照“压缩一般，确保重点”的原则，调整和优化支出结构，合理安排支出预算，同时要坚守底线，对财力、债务、“三保”情况，做到心中有数，不乱铺摊子、不乱上项目。要保障工资发放、机关正常运转等刚性支出；切实安排社会保障支出；支持社会事业发展和社会稳定，合理安排好教育、文化、卫生等重点支出；千方百计筹措、调度、挤出资金，确保重点项目、重点工作资金支出需要。</w:t>
      </w:r>
    </w:p>
    <w:p>
      <w:pPr>
        <w:pStyle w:val="12"/>
        <w:spacing w:line="240" w:lineRule="auto"/>
        <w:ind w:firstLine="634"/>
        <w:rPr>
          <w:rFonts w:ascii="方正仿宋_GBK" w:hAnsi="方正仿宋_GBK" w:cs="方正仿宋_GBK"/>
          <w:b/>
          <w:bCs/>
        </w:rPr>
      </w:pPr>
      <w:r>
        <w:rPr>
          <w:rFonts w:hint="eastAsia" w:ascii="方正仿宋_GBK" w:hAnsi="方正仿宋_GBK" w:cs="方正仿宋_GBK"/>
          <w:b/>
          <w:bCs/>
        </w:rPr>
        <w:t>2.着力财政管理制度建设，确保财政资金安全有效使用。</w:t>
      </w:r>
    </w:p>
    <w:p>
      <w:pPr>
        <w:pStyle w:val="12"/>
        <w:spacing w:line="240" w:lineRule="auto"/>
        <w:ind w:firstLine="632"/>
        <w:rPr>
          <w:rFonts w:ascii="方正仿宋_GBK" w:hAnsi="方正仿宋_GBK" w:cs="方正仿宋_GBK"/>
        </w:rPr>
      </w:pPr>
      <w:r>
        <w:rPr>
          <w:rFonts w:hint="eastAsia" w:ascii="方正仿宋_GBK" w:hAnsi="方正仿宋_GBK" w:cs="方正仿宋_GBK"/>
        </w:rPr>
        <w:t>围绕增收节支目标，创新思路，规范管理。一是切实推行综合财政预算，统筹安排，发挥资金的统配合力作用；二是进一步做好财政管理体制探讨调研工作，各部门积极争取上级项目资金加大对街道财政的转移支付；三是建立完善财务管理制度，规范财政收支行为，保证街道机关正常运转，预防和化解财政风险和区域性金融风险，缓解街道财政困难；四是严格控制本级财政供养人员，加强本级财政供养人员的经常性监督和管理；五是结合街道实际情况，深入调研现行的财政管理体制，探索摆脱街道财政困境的发展思路。</w:t>
      </w:r>
    </w:p>
    <w:p>
      <w:pPr>
        <w:pStyle w:val="12"/>
        <w:spacing w:line="240" w:lineRule="auto"/>
        <w:ind w:firstLine="634"/>
        <w:rPr>
          <w:rFonts w:ascii="方正仿宋_GBK" w:hAnsi="方正仿宋_GBK" w:cs="方正仿宋_GBK"/>
          <w:b/>
          <w:bCs/>
        </w:rPr>
      </w:pPr>
      <w:r>
        <w:rPr>
          <w:rFonts w:hint="eastAsia" w:ascii="方正仿宋_GBK" w:hAnsi="方正仿宋_GBK" w:cs="方正仿宋_GBK"/>
          <w:b/>
          <w:bCs/>
        </w:rPr>
        <w:t>3.狠抓增收节支工作，确保财政稳健运行。</w:t>
      </w:r>
    </w:p>
    <w:p>
      <w:pPr>
        <w:pStyle w:val="12"/>
        <w:spacing w:line="240" w:lineRule="auto"/>
        <w:ind w:firstLine="632"/>
        <w:rPr>
          <w:rFonts w:ascii="方正仿宋_GBK" w:hAnsi="方正仿宋_GBK" w:cs="方正仿宋_GBK"/>
        </w:rPr>
      </w:pPr>
      <w:r>
        <w:rPr>
          <w:rFonts w:hint="eastAsia" w:ascii="方正仿宋_GBK" w:hAnsi="方正仿宋_GBK" w:cs="方正仿宋_GBK"/>
        </w:rPr>
        <w:t>做好财政增收节支工作，事关财政的稳健运行。一方面，将积极采取切实有效的措施，进一步完善征管机制，加大服务企业水平，大力招商引资，全力组织财政收入，确保收入预算的实现。另一方面，认真贯彻落实中央“八项规定”和《党政机关厉行节约反对浪费条例》，树立财政“过紧日子”的思想，严控“三公”经费，硬化预算约束，大力压缩一般性支出，切实降低行政运行成本，努力实现财政收支平衡。</w:t>
      </w:r>
    </w:p>
    <w:p>
      <w:pPr>
        <w:ind w:firstLine="632" w:firstLineChars="200"/>
        <w:rPr>
          <w:rFonts w:hint="eastAsia" w:ascii="方正楷体_GBK" w:hAnsi="方正楷体_GBK" w:eastAsia="方正楷体_GBK" w:cs="方正楷体_GBK"/>
          <w:b/>
          <w:bCs/>
        </w:rPr>
      </w:pPr>
      <w:r>
        <w:rPr>
          <w:rFonts w:hint="eastAsia" w:ascii="方正楷体_GBK" w:hAnsi="方正楷体_GBK" w:eastAsia="方正楷体_GBK" w:cs="方正楷体_GBK"/>
          <w:b/>
          <w:bCs/>
          <w:lang w:eastAsia="zh-CN"/>
        </w:rPr>
        <w:t>（</w:t>
      </w:r>
      <w:r>
        <w:rPr>
          <w:rFonts w:hint="eastAsia" w:ascii="方正楷体_GBK" w:hAnsi="方正楷体_GBK" w:eastAsia="方正楷体_GBK" w:cs="方正楷体_GBK"/>
          <w:b/>
          <w:bCs/>
        </w:rPr>
        <w:t>二）2021年财政收支预算情况</w:t>
      </w:r>
    </w:p>
    <w:p>
      <w:pPr>
        <w:ind w:firstLine="632" w:firstLineChars="200"/>
        <w:rPr>
          <w:rFonts w:hAnsi="方正仿宋_GBK" w:cs="方正仿宋_GBK"/>
        </w:rPr>
      </w:pPr>
      <w:r>
        <w:rPr>
          <w:rFonts w:hint="eastAsia" w:hAnsi="方正仿宋_GBK" w:cs="方正仿宋_GBK"/>
        </w:rPr>
        <w:t>2021年街道财政一般公共预算收入7570万元，其中：税收1385万元，非税21万元，上级补助收入5531万元,2020年年终结余633万元。</w:t>
      </w:r>
    </w:p>
    <w:p>
      <w:pPr>
        <w:ind w:firstLine="632" w:firstLineChars="200"/>
        <w:jc w:val="both"/>
        <w:rPr>
          <w:rFonts w:hAnsi="方正仿宋_GBK" w:cs="方正仿宋_GBK"/>
        </w:rPr>
      </w:pPr>
      <w:r>
        <w:rPr>
          <w:rFonts w:hint="eastAsia" w:hAnsi="方正仿宋_GBK" w:cs="方正仿宋_GBK"/>
        </w:rPr>
        <w:t>2021年街道预算支出7489万元，分项预算支出如下：</w:t>
      </w:r>
    </w:p>
    <w:p>
      <w:pPr>
        <w:ind w:firstLine="632" w:firstLineChars="200"/>
        <w:rPr>
          <w:rFonts w:hAnsi="方正仿宋_GBK" w:cs="方正仿宋_GBK"/>
        </w:rPr>
      </w:pPr>
      <w:r>
        <w:rPr>
          <w:rFonts w:hint="eastAsia" w:hAnsi="方正仿宋_GBK" w:cs="方正仿宋_GBK"/>
        </w:rPr>
        <w:t>（1）一般公共服务支出2431万元，增长4.5%，</w:t>
      </w:r>
      <w:r>
        <w:rPr>
          <w:rFonts w:hint="eastAsia" w:hAnsi="方正仿宋_GBK" w:cs="方正仿宋_GBK"/>
          <w:color w:val="333333"/>
          <w:kern w:val="0"/>
        </w:rPr>
        <w:t>主要用于保障党政机关、人大、</w:t>
      </w:r>
      <w:r>
        <w:rPr>
          <w:rFonts w:hint="eastAsia" w:hAnsi="方正仿宋_GBK" w:cs="方正仿宋_GBK"/>
        </w:rPr>
        <w:t>政府办公室、纪检、群团、财政</w:t>
      </w:r>
      <w:r>
        <w:rPr>
          <w:rFonts w:hint="eastAsia" w:hAnsi="方正仿宋_GBK" w:cs="方正仿宋_GBK"/>
          <w:color w:val="333333"/>
          <w:kern w:val="0"/>
        </w:rPr>
        <w:t>正常运转</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（2）文化旅游体育与传媒支出170万元，增长17.3%，</w:t>
      </w:r>
      <w:r>
        <w:rPr>
          <w:rFonts w:hint="eastAsia" w:hAnsi="方正仿宋_GBK" w:cs="方正仿宋_GBK"/>
          <w:color w:val="333333"/>
          <w:kern w:val="0"/>
        </w:rPr>
        <w:t>主要用于保障</w:t>
      </w:r>
      <w:r>
        <w:rPr>
          <w:rFonts w:hint="eastAsia" w:hAnsi="方正仿宋_GBK" w:cs="方正仿宋_GBK"/>
        </w:rPr>
        <w:t>文化体育活动、广播事业、乡村旅游发展及村级文化阵地建设等</w:t>
      </w:r>
      <w:r>
        <w:rPr>
          <w:rFonts w:hint="eastAsia" w:hAnsi="方正仿宋_GBK" w:cs="方正仿宋_GBK"/>
          <w:color w:val="333333"/>
          <w:kern w:val="0"/>
        </w:rPr>
        <w:t>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（3）社会保障和就业事务支出1100万元，增长13.4%，主要用于民政和社区事务管理、</w:t>
      </w:r>
      <w:r>
        <w:rPr>
          <w:rFonts w:hint="eastAsia" w:hAnsi="方正仿宋_GBK" w:cs="方正仿宋_GBK"/>
          <w:color w:val="333333"/>
          <w:kern w:val="0"/>
        </w:rPr>
        <w:t>退役安置、社会福利、残疾人事业、</w:t>
      </w:r>
      <w:r>
        <w:rPr>
          <w:rFonts w:hint="eastAsia" w:hAnsi="方正仿宋_GBK" w:cs="方正仿宋_GBK"/>
        </w:rPr>
        <w:t>职工养老保险、职业年金、行政事业单位离退休职工、村（社区）干部社会保障缴费和就业支出等。</w:t>
      </w:r>
    </w:p>
    <w:p>
      <w:pPr>
        <w:ind w:firstLine="632" w:firstLineChars="200"/>
        <w:rPr>
          <w:rFonts w:hAnsi="方正仿宋_GBK" w:cs="方正仿宋_GBK"/>
        </w:rPr>
      </w:pPr>
      <w:r>
        <w:rPr>
          <w:rFonts w:hint="eastAsia" w:hAnsi="方正仿宋_GBK" w:cs="方正仿宋_GBK"/>
        </w:rPr>
        <w:t>（4）卫生健康支出270万元，下降20.6%，主要用于行政事业单位医疗保障及疫情防控支出。</w:t>
      </w:r>
    </w:p>
    <w:p>
      <w:pPr>
        <w:ind w:firstLine="632" w:firstLineChars="200"/>
        <w:rPr>
          <w:rFonts w:hAnsi="方正仿宋_GBK" w:cs="方正仿宋_GBK"/>
        </w:rPr>
      </w:pPr>
      <w:r>
        <w:rPr>
          <w:rFonts w:hint="eastAsia" w:hAnsi="方正仿宋_GBK" w:cs="方正仿宋_GBK"/>
        </w:rPr>
        <w:t>（5）节能环保支出211万元，增长0.5%，主要用于</w:t>
      </w:r>
      <w:r>
        <w:rPr>
          <w:rFonts w:hint="eastAsia" w:hAnsi="方正仿宋_GBK" w:cs="方正仿宋_GBK"/>
          <w:color w:val="333333"/>
          <w:kern w:val="0"/>
        </w:rPr>
        <w:t>保障节能环保事业支出</w:t>
      </w:r>
      <w:r>
        <w:rPr>
          <w:rFonts w:hint="eastAsia" w:hAnsi="方正仿宋_GBK" w:cs="方正仿宋_GBK"/>
        </w:rPr>
        <w:t>。</w:t>
      </w:r>
    </w:p>
    <w:p>
      <w:pPr>
        <w:ind w:firstLine="632" w:firstLineChars="200"/>
        <w:rPr>
          <w:rFonts w:hAnsi="方正仿宋_GBK" w:cs="方正仿宋_GBK"/>
        </w:rPr>
      </w:pPr>
      <w:r>
        <w:rPr>
          <w:rFonts w:hint="eastAsia" w:hAnsi="方正仿宋_GBK" w:cs="方正仿宋_GBK"/>
        </w:rPr>
        <w:t>（6）城乡社区事务支出580万元，增长23.4%，主要用于综合执法、</w:t>
      </w:r>
      <w:r>
        <w:rPr>
          <w:rFonts w:hint="eastAsia" w:hAnsi="方正仿宋_GBK" w:cs="方正仿宋_GBK"/>
          <w:color w:val="333333"/>
          <w:kern w:val="0"/>
        </w:rPr>
        <w:t>市政设施维护、园林绿化、路灯照明、清扫保洁、</w:t>
      </w:r>
      <w:r>
        <w:rPr>
          <w:rFonts w:hint="eastAsia" w:hAnsi="方正仿宋_GBK" w:cs="方正仿宋_GBK"/>
        </w:rPr>
        <w:t>人居环境整治、创文创卫、农贸市场建设支出。</w:t>
      </w:r>
    </w:p>
    <w:p>
      <w:pPr>
        <w:ind w:firstLine="632" w:firstLineChars="200"/>
        <w:rPr>
          <w:rFonts w:hAnsi="方正仿宋_GBK" w:cs="方正仿宋_GBK"/>
        </w:rPr>
      </w:pPr>
      <w:r>
        <w:rPr>
          <w:rFonts w:hint="eastAsia" w:hAnsi="方正仿宋_GBK" w:cs="方正仿宋_GBK"/>
        </w:rPr>
        <w:t>（7）农林水事务支出1777万元，增长24.3%，主要用于农业、林业、畜牧等部门事业人员支出、村社干部工资、大学生村官、本土人才、农村公益事业、一事一议支出。</w:t>
      </w:r>
    </w:p>
    <w:p>
      <w:pPr>
        <w:ind w:firstLine="632" w:firstLineChars="200"/>
        <w:rPr>
          <w:rFonts w:hAnsi="方正仿宋_GBK" w:cs="方正仿宋_GBK"/>
        </w:rPr>
      </w:pPr>
      <w:r>
        <w:rPr>
          <w:rFonts w:hint="eastAsia" w:hAnsi="方正仿宋_GBK" w:cs="方正仿宋_GBK"/>
        </w:rPr>
        <w:t>（8）交通运输支出200万元，用于公路新建及改扩建支出。</w:t>
      </w:r>
    </w:p>
    <w:p>
      <w:pPr>
        <w:ind w:firstLine="632" w:firstLineChars="200"/>
        <w:rPr>
          <w:rFonts w:hAnsi="方正仿宋_GBK" w:cs="方正仿宋_GBK"/>
        </w:rPr>
      </w:pPr>
      <w:r>
        <w:rPr>
          <w:rFonts w:hint="eastAsia" w:hAnsi="方正仿宋_GBK" w:cs="方正仿宋_GBK"/>
        </w:rPr>
        <w:t>（9）资源勘探信息等支出300万元，下降6.3%，主要用于中小企业发展管理和企业扶持支出。</w:t>
      </w:r>
    </w:p>
    <w:p>
      <w:pPr>
        <w:ind w:firstLine="632" w:firstLineChars="200"/>
        <w:rPr>
          <w:rFonts w:hAnsi="方正仿宋_GBK" w:cs="方正仿宋_GBK"/>
        </w:rPr>
      </w:pPr>
      <w:r>
        <w:rPr>
          <w:rFonts w:hint="eastAsia" w:hAnsi="方正仿宋_GBK" w:cs="方正仿宋_GBK"/>
        </w:rPr>
        <w:t>（10）住房保障支出350万元，增长16.7%，主要用于住房公积金支出。</w:t>
      </w:r>
    </w:p>
    <w:p>
      <w:pPr>
        <w:ind w:firstLine="632" w:firstLineChars="200"/>
        <w:rPr>
          <w:rFonts w:hAnsi="方正仿宋_GBK" w:cs="方正仿宋_GBK"/>
        </w:rPr>
      </w:pPr>
      <w:r>
        <w:rPr>
          <w:rFonts w:hint="eastAsia" w:hAnsi="方正仿宋_GBK" w:cs="方正仿宋_GBK"/>
        </w:rPr>
        <w:t>（11）街道预留预备费100万元，用于应急保障。</w:t>
      </w:r>
    </w:p>
    <w:p>
      <w:pPr>
        <w:spacing w:line="600" w:lineRule="exact"/>
        <w:jc w:val="center"/>
        <w:rPr>
          <w:rFonts w:ascii="方正小标宋_GBK" w:eastAsia="方正小标宋_GBK"/>
          <w:color w:val="000000" w:themeColor="text1"/>
          <w:sz w:val="44"/>
          <w:szCs w:val="44"/>
        </w:rPr>
      </w:pPr>
    </w:p>
    <w:p>
      <w:pPr>
        <w:spacing w:line="600" w:lineRule="exact"/>
        <w:jc w:val="center"/>
        <w:rPr>
          <w:rFonts w:ascii="方正小标宋_GBK" w:eastAsia="方正小标宋_GBK"/>
          <w:color w:val="000000" w:themeColor="text1"/>
          <w:sz w:val="44"/>
          <w:szCs w:val="44"/>
        </w:rPr>
      </w:pPr>
    </w:p>
    <w:p>
      <w:pPr>
        <w:spacing w:line="600" w:lineRule="exact"/>
        <w:jc w:val="center"/>
        <w:rPr>
          <w:rFonts w:ascii="方正小标宋_GBK" w:eastAsia="方正小标宋_GBK"/>
          <w:color w:val="000000" w:themeColor="text1"/>
          <w:sz w:val="44"/>
          <w:szCs w:val="44"/>
        </w:rPr>
      </w:pPr>
      <w:r>
        <w:rPr>
          <w:rFonts w:hint="eastAsia" w:ascii="方正小标宋_GBK" w:eastAsia="方正小标宋_GBK"/>
          <w:color w:val="000000" w:themeColor="text1"/>
          <w:sz w:val="44"/>
          <w:szCs w:val="44"/>
        </w:rPr>
        <w:t>名 词 解 释</w:t>
      </w:r>
    </w:p>
    <w:p>
      <w:pPr>
        <w:ind w:firstLine="632" w:firstLineChars="200"/>
        <w:rPr>
          <w:color w:val="000000" w:themeColor="text1"/>
        </w:rPr>
      </w:pPr>
    </w:p>
    <w:p>
      <w:pPr>
        <w:ind w:firstLine="632" w:firstLineChars="200"/>
        <w:rPr>
          <w:color w:val="000000" w:themeColor="text1"/>
        </w:rPr>
      </w:pPr>
      <w:r>
        <w:rPr>
          <w:rFonts w:hint="eastAsia"/>
          <w:color w:val="000000" w:themeColor="text1"/>
        </w:rPr>
        <w:t>1. “六</w:t>
      </w:r>
      <w:r>
        <w:rPr>
          <w:color w:val="000000" w:themeColor="text1"/>
        </w:rPr>
        <w:t>稳</w:t>
      </w:r>
      <w:r>
        <w:rPr>
          <w:rFonts w:hint="eastAsia"/>
          <w:color w:val="000000" w:themeColor="text1"/>
        </w:rPr>
        <w:t>”：</w:t>
      </w:r>
      <w:r>
        <w:rPr>
          <w:color w:val="000000" w:themeColor="text1"/>
        </w:rPr>
        <w:t>指稳就业、稳金融、稳外贸、稳外资、稳投资、稳预期</w:t>
      </w:r>
      <w:r>
        <w:rPr>
          <w:rFonts w:hint="eastAsia"/>
          <w:color w:val="000000" w:themeColor="text1"/>
        </w:rPr>
        <w:t>。</w:t>
      </w:r>
    </w:p>
    <w:p>
      <w:pPr>
        <w:ind w:firstLine="632" w:firstLineChars="200"/>
        <w:rPr>
          <w:color w:val="000000" w:themeColor="text1"/>
        </w:rPr>
      </w:pPr>
      <w:r>
        <w:rPr>
          <w:rFonts w:hint="eastAsia"/>
          <w:color w:val="000000" w:themeColor="text1"/>
        </w:rPr>
        <w:t>2. “六保”：</w:t>
      </w:r>
      <w:r>
        <w:rPr>
          <w:color w:val="000000" w:themeColor="text1"/>
        </w:rPr>
        <w:t>指保居民就业、保基本民生、保市场主体、保粮食能源安全、保产业链供应链稳定、保基层运转。</w:t>
      </w:r>
    </w:p>
    <w:p>
      <w:pPr>
        <w:ind w:firstLine="632" w:firstLineChars="200"/>
        <w:rPr>
          <w:color w:val="000000" w:themeColor="text1"/>
        </w:rPr>
      </w:pPr>
      <w:r>
        <w:rPr>
          <w:rFonts w:hint="eastAsia"/>
          <w:color w:val="000000" w:themeColor="text1"/>
        </w:rPr>
        <w:t>3. 三保支出：指保工资、保运转和保基本民生。</w:t>
      </w:r>
    </w:p>
    <w:p>
      <w:pPr>
        <w:ind w:firstLine="632" w:firstLineChars="200"/>
        <w:rPr>
          <w:color w:val="000000" w:themeColor="text1"/>
        </w:rPr>
      </w:pPr>
      <w:r>
        <w:rPr>
          <w:rFonts w:hint="eastAsia"/>
          <w:color w:val="000000" w:themeColor="text1"/>
        </w:rPr>
        <w:t>4. 特殊转移支付：指为贯彻党中央、国务院决策部署，统筹推进新冠肺炎疫情防控和经济社会发展工作，支持基层政府保基本民生、保工资、保运转，做好“六稳”工作，落实“六保”任务，中央财政设立的特殊转支付。中央财政通过新增财政赤字、发行抗疫特别国债等渠道，统筹安排特殊转移支付资金。</w:t>
      </w:r>
    </w:p>
    <w:p>
      <w:pPr>
        <w:ind w:firstLine="632" w:firstLineChars="200"/>
        <w:rPr>
          <w:color w:val="000000" w:themeColor="text1"/>
        </w:rPr>
      </w:pPr>
      <w:r>
        <w:rPr>
          <w:rFonts w:hint="eastAsia"/>
          <w:color w:val="000000" w:themeColor="text1"/>
        </w:rPr>
        <w:t>5. 抗疫特别国债：指2020年在应对新冠肺炎疫情特殊时期，由中央财政统一发行用于支持地方基础设施建设和疫情防控的特别国债。</w:t>
      </w:r>
    </w:p>
    <w:p>
      <w:pPr>
        <w:ind w:firstLine="632" w:firstLineChars="200"/>
        <w:rPr>
          <w:color w:val="000000" w:themeColor="text1"/>
        </w:rPr>
      </w:pPr>
      <w:r>
        <w:rPr>
          <w:rFonts w:hint="eastAsia"/>
          <w:color w:val="000000" w:themeColor="text1"/>
        </w:rPr>
        <w:t>6. 一般公共预算：指政府凭借国家政治权力，以社会管理者身份筹集以税收为主体的财政收入，用于保障和改善民生、维持国家行政职能正常运转、保障国家安全等方面的收支预算。</w:t>
      </w:r>
    </w:p>
    <w:p>
      <w:pPr>
        <w:ind w:firstLine="632" w:firstLineChars="200"/>
        <w:rPr>
          <w:color w:val="000000" w:themeColor="text1"/>
        </w:rPr>
      </w:pPr>
      <w:r>
        <w:rPr>
          <w:rFonts w:hint="eastAsia"/>
          <w:color w:val="000000" w:themeColor="text1"/>
        </w:rPr>
        <w:t>7. 政府性基金预算：指国家通过向社会征收以及出让土地、发行彩票等方式取得收入，并专项用于支持特定基础设施建设和社会事业发展的财政收支预算，是政府预算体系的重要组成部分。</w:t>
      </w:r>
    </w:p>
    <w:p>
      <w:pPr>
        <w:ind w:firstLine="632" w:firstLineChars="200"/>
        <w:rPr>
          <w:color w:val="000000" w:themeColor="text1"/>
        </w:rPr>
      </w:pPr>
      <w:r>
        <w:rPr>
          <w:rFonts w:hint="eastAsia"/>
          <w:color w:val="000000" w:themeColor="text1"/>
        </w:rPr>
        <w:t>8.绩效评价：指财政部门和预算部门（单位）根据设定的绩效目标，运用科学、合理的绩效评价指标、评价标准和评价方法，对财政支出的经济性、效率性和效益性进行客观、公正的评价。财政支出绩效评价是市场经济条件下现代财政科学管理的重要手段，建立和健全财政支出的追踪问效和问责制度，对提高财政资金的规范高效运作程度、增加财政资金的使用效果和效益、促进政府财力的可持续发展以及有效转变政府职能等都具有重大意义。</w:t>
      </w:r>
    </w:p>
    <w:p>
      <w:pPr>
        <w:spacing w:line="540" w:lineRule="exact"/>
        <w:rPr>
          <w:color w:val="000000"/>
          <w:szCs w:val="44"/>
        </w:rPr>
      </w:pPr>
    </w:p>
    <w:p>
      <w:pPr>
        <w:ind w:firstLine="632" w:firstLineChars="200"/>
        <w:rPr>
          <w:color w:val="000000" w:themeColor="text1"/>
        </w:rPr>
      </w:pPr>
    </w:p>
    <w:sectPr>
      <w:footerReference r:id="rId3" w:type="default"/>
      <w:footerReference r:id="rId4" w:type="even"/>
      <w:pgSz w:w="11907" w:h="16840"/>
      <w:pgMar w:top="1701" w:right="1474" w:bottom="1701" w:left="1588" w:header="1418" w:footer="1701" w:gutter="0"/>
      <w:cols w:space="425"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ight="320" w:rightChars="1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6</w:t>
    </w:r>
    <w:r>
      <w:rPr>
        <w:rStyle w:val="8"/>
        <w:sz w:val="28"/>
        <w:szCs w:val="28"/>
      </w:rPr>
      <w:fldChar w:fldCharType="end"/>
    </w:r>
    <w:r>
      <w:rPr>
        <w:rStyle w:val="8"/>
        <w:rFonts w:hint="eastAsia"/>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19</w:t>
    </w:r>
    <w:r>
      <w:rPr>
        <w:rStyle w:val="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5077A"/>
    <w:multiLevelType w:val="singleLevel"/>
    <w:tmpl w:val="8165077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Q2ZmNkMTkwM2Y1YzgxMjcwNjc2ZGY4ZDJjYTY3MWEifQ=="/>
  </w:docVars>
  <w:rsids>
    <w:rsidRoot w:val="003879AA"/>
    <w:rsid w:val="0000118B"/>
    <w:rsid w:val="00002A13"/>
    <w:rsid w:val="000035EC"/>
    <w:rsid w:val="000049F9"/>
    <w:rsid w:val="00017058"/>
    <w:rsid w:val="000319E4"/>
    <w:rsid w:val="000441ED"/>
    <w:rsid w:val="00045DA9"/>
    <w:rsid w:val="000552D2"/>
    <w:rsid w:val="00057467"/>
    <w:rsid w:val="00060944"/>
    <w:rsid w:val="0006242D"/>
    <w:rsid w:val="00065031"/>
    <w:rsid w:val="000673C3"/>
    <w:rsid w:val="00067F0F"/>
    <w:rsid w:val="00070CF0"/>
    <w:rsid w:val="00071EF6"/>
    <w:rsid w:val="00081F0B"/>
    <w:rsid w:val="00085C0A"/>
    <w:rsid w:val="00090F76"/>
    <w:rsid w:val="000932C3"/>
    <w:rsid w:val="00093863"/>
    <w:rsid w:val="00094BEB"/>
    <w:rsid w:val="000A0A0E"/>
    <w:rsid w:val="000A1632"/>
    <w:rsid w:val="000A2C8C"/>
    <w:rsid w:val="000A5860"/>
    <w:rsid w:val="000B4628"/>
    <w:rsid w:val="000C10D2"/>
    <w:rsid w:val="000D1EAC"/>
    <w:rsid w:val="000D5F67"/>
    <w:rsid w:val="000E268E"/>
    <w:rsid w:val="000F4165"/>
    <w:rsid w:val="000F48B8"/>
    <w:rsid w:val="001141A3"/>
    <w:rsid w:val="001141D5"/>
    <w:rsid w:val="00115371"/>
    <w:rsid w:val="00116DF1"/>
    <w:rsid w:val="00120F59"/>
    <w:rsid w:val="00126185"/>
    <w:rsid w:val="00126261"/>
    <w:rsid w:val="00130CF4"/>
    <w:rsid w:val="00131E6A"/>
    <w:rsid w:val="0013420E"/>
    <w:rsid w:val="00134BD8"/>
    <w:rsid w:val="00137248"/>
    <w:rsid w:val="00145EC6"/>
    <w:rsid w:val="0014758C"/>
    <w:rsid w:val="00147778"/>
    <w:rsid w:val="00154F05"/>
    <w:rsid w:val="00156720"/>
    <w:rsid w:val="001669A7"/>
    <w:rsid w:val="00167823"/>
    <w:rsid w:val="001817C4"/>
    <w:rsid w:val="001863F4"/>
    <w:rsid w:val="0019680E"/>
    <w:rsid w:val="001C1675"/>
    <w:rsid w:val="001C4EE7"/>
    <w:rsid w:val="001C7BDC"/>
    <w:rsid w:val="001D6155"/>
    <w:rsid w:val="001E4138"/>
    <w:rsid w:val="001F02BE"/>
    <w:rsid w:val="00202E45"/>
    <w:rsid w:val="00203A6E"/>
    <w:rsid w:val="00203D85"/>
    <w:rsid w:val="00206FE9"/>
    <w:rsid w:val="00210BEA"/>
    <w:rsid w:val="00210CF7"/>
    <w:rsid w:val="00211C25"/>
    <w:rsid w:val="00215157"/>
    <w:rsid w:val="0022319B"/>
    <w:rsid w:val="00227F71"/>
    <w:rsid w:val="00230875"/>
    <w:rsid w:val="002322F1"/>
    <w:rsid w:val="00235021"/>
    <w:rsid w:val="002416A6"/>
    <w:rsid w:val="002418B0"/>
    <w:rsid w:val="00241C4D"/>
    <w:rsid w:val="00244E8E"/>
    <w:rsid w:val="00247980"/>
    <w:rsid w:val="00253996"/>
    <w:rsid w:val="002550C3"/>
    <w:rsid w:val="00255652"/>
    <w:rsid w:val="00261DFE"/>
    <w:rsid w:val="00264DF6"/>
    <w:rsid w:val="00271ECE"/>
    <w:rsid w:val="00290BD6"/>
    <w:rsid w:val="00293816"/>
    <w:rsid w:val="002A3C4D"/>
    <w:rsid w:val="002B11BC"/>
    <w:rsid w:val="002B1B99"/>
    <w:rsid w:val="002B2B12"/>
    <w:rsid w:val="002B49B8"/>
    <w:rsid w:val="002B5D4D"/>
    <w:rsid w:val="002B5FF9"/>
    <w:rsid w:val="002B6C01"/>
    <w:rsid w:val="002B6D50"/>
    <w:rsid w:val="002B78BA"/>
    <w:rsid w:val="002C5289"/>
    <w:rsid w:val="002E4A5E"/>
    <w:rsid w:val="002F3BCA"/>
    <w:rsid w:val="00305501"/>
    <w:rsid w:val="003163F2"/>
    <w:rsid w:val="003240B8"/>
    <w:rsid w:val="00332651"/>
    <w:rsid w:val="00333F95"/>
    <w:rsid w:val="003358D5"/>
    <w:rsid w:val="00342931"/>
    <w:rsid w:val="00344C32"/>
    <w:rsid w:val="00347214"/>
    <w:rsid w:val="003478D0"/>
    <w:rsid w:val="003503F6"/>
    <w:rsid w:val="00350894"/>
    <w:rsid w:val="00355180"/>
    <w:rsid w:val="00355D01"/>
    <w:rsid w:val="00361379"/>
    <w:rsid w:val="00362AE2"/>
    <w:rsid w:val="003643F0"/>
    <w:rsid w:val="003737AE"/>
    <w:rsid w:val="00373CDC"/>
    <w:rsid w:val="00376D22"/>
    <w:rsid w:val="00381975"/>
    <w:rsid w:val="003854CF"/>
    <w:rsid w:val="00386BF3"/>
    <w:rsid w:val="003879AA"/>
    <w:rsid w:val="003941D1"/>
    <w:rsid w:val="00395D15"/>
    <w:rsid w:val="003974F3"/>
    <w:rsid w:val="003A3336"/>
    <w:rsid w:val="003A4778"/>
    <w:rsid w:val="003A70A0"/>
    <w:rsid w:val="003B4BCA"/>
    <w:rsid w:val="003B5B84"/>
    <w:rsid w:val="003B723C"/>
    <w:rsid w:val="003C2F35"/>
    <w:rsid w:val="003D1836"/>
    <w:rsid w:val="003D5E26"/>
    <w:rsid w:val="003E105B"/>
    <w:rsid w:val="003E400E"/>
    <w:rsid w:val="003E71DD"/>
    <w:rsid w:val="003F0617"/>
    <w:rsid w:val="003F0E4D"/>
    <w:rsid w:val="003F2EB2"/>
    <w:rsid w:val="0040218F"/>
    <w:rsid w:val="00411022"/>
    <w:rsid w:val="00413E40"/>
    <w:rsid w:val="004306F8"/>
    <w:rsid w:val="004307AB"/>
    <w:rsid w:val="004308F8"/>
    <w:rsid w:val="00440FBB"/>
    <w:rsid w:val="004464F9"/>
    <w:rsid w:val="00447F39"/>
    <w:rsid w:val="00451FD5"/>
    <w:rsid w:val="00466120"/>
    <w:rsid w:val="0046617F"/>
    <w:rsid w:val="00467179"/>
    <w:rsid w:val="004716EB"/>
    <w:rsid w:val="00472930"/>
    <w:rsid w:val="0048440A"/>
    <w:rsid w:val="00490743"/>
    <w:rsid w:val="00493D43"/>
    <w:rsid w:val="00496CA1"/>
    <w:rsid w:val="00497137"/>
    <w:rsid w:val="004A2693"/>
    <w:rsid w:val="004A2E37"/>
    <w:rsid w:val="004A6904"/>
    <w:rsid w:val="004B025C"/>
    <w:rsid w:val="004B0E43"/>
    <w:rsid w:val="004B7C91"/>
    <w:rsid w:val="004B7FE6"/>
    <w:rsid w:val="004D0B2B"/>
    <w:rsid w:val="004D33E0"/>
    <w:rsid w:val="004E0614"/>
    <w:rsid w:val="004E5505"/>
    <w:rsid w:val="004E62D7"/>
    <w:rsid w:val="004E6EB7"/>
    <w:rsid w:val="004E7E9F"/>
    <w:rsid w:val="004F14B8"/>
    <w:rsid w:val="004F55C4"/>
    <w:rsid w:val="00500C1E"/>
    <w:rsid w:val="00502BEF"/>
    <w:rsid w:val="00503BD3"/>
    <w:rsid w:val="005060ED"/>
    <w:rsid w:val="00513A30"/>
    <w:rsid w:val="00524133"/>
    <w:rsid w:val="00524238"/>
    <w:rsid w:val="005264A1"/>
    <w:rsid w:val="005277F9"/>
    <w:rsid w:val="0052798F"/>
    <w:rsid w:val="005317F9"/>
    <w:rsid w:val="00532CB4"/>
    <w:rsid w:val="00536235"/>
    <w:rsid w:val="0054357C"/>
    <w:rsid w:val="00553C08"/>
    <w:rsid w:val="00556464"/>
    <w:rsid w:val="00560CD5"/>
    <w:rsid w:val="00562A9D"/>
    <w:rsid w:val="00563FA5"/>
    <w:rsid w:val="00571019"/>
    <w:rsid w:val="00573815"/>
    <w:rsid w:val="005739F4"/>
    <w:rsid w:val="00575EB2"/>
    <w:rsid w:val="00581321"/>
    <w:rsid w:val="005817D6"/>
    <w:rsid w:val="0058320A"/>
    <w:rsid w:val="00592DC0"/>
    <w:rsid w:val="0059516B"/>
    <w:rsid w:val="005A0799"/>
    <w:rsid w:val="005A1EA2"/>
    <w:rsid w:val="005A70F2"/>
    <w:rsid w:val="005B1962"/>
    <w:rsid w:val="005B68BF"/>
    <w:rsid w:val="005C46FA"/>
    <w:rsid w:val="005C74FF"/>
    <w:rsid w:val="005E2CEF"/>
    <w:rsid w:val="005E5935"/>
    <w:rsid w:val="005F620D"/>
    <w:rsid w:val="005F7711"/>
    <w:rsid w:val="0060057A"/>
    <w:rsid w:val="006049E9"/>
    <w:rsid w:val="00606792"/>
    <w:rsid w:val="006100A7"/>
    <w:rsid w:val="006145F3"/>
    <w:rsid w:val="00617B92"/>
    <w:rsid w:val="00622030"/>
    <w:rsid w:val="00622B5A"/>
    <w:rsid w:val="00623CCF"/>
    <w:rsid w:val="00624536"/>
    <w:rsid w:val="006245DC"/>
    <w:rsid w:val="00627A12"/>
    <w:rsid w:val="00630006"/>
    <w:rsid w:val="006329D8"/>
    <w:rsid w:val="00636118"/>
    <w:rsid w:val="00645A0B"/>
    <w:rsid w:val="00646BB2"/>
    <w:rsid w:val="00646BC0"/>
    <w:rsid w:val="00647C64"/>
    <w:rsid w:val="00653B55"/>
    <w:rsid w:val="00661291"/>
    <w:rsid w:val="00662468"/>
    <w:rsid w:val="00662506"/>
    <w:rsid w:val="006650DE"/>
    <w:rsid w:val="00674A32"/>
    <w:rsid w:val="0068080A"/>
    <w:rsid w:val="006819F5"/>
    <w:rsid w:val="006820A3"/>
    <w:rsid w:val="00683F81"/>
    <w:rsid w:val="006922B0"/>
    <w:rsid w:val="006A3463"/>
    <w:rsid w:val="006A7F95"/>
    <w:rsid w:val="006B023B"/>
    <w:rsid w:val="006B4FEB"/>
    <w:rsid w:val="006C5CC5"/>
    <w:rsid w:val="006C60BD"/>
    <w:rsid w:val="006D0BA3"/>
    <w:rsid w:val="006E40A0"/>
    <w:rsid w:val="006E5D31"/>
    <w:rsid w:val="006E79F0"/>
    <w:rsid w:val="006F1145"/>
    <w:rsid w:val="006F5738"/>
    <w:rsid w:val="006F6950"/>
    <w:rsid w:val="00713A13"/>
    <w:rsid w:val="0071666B"/>
    <w:rsid w:val="0072534B"/>
    <w:rsid w:val="00734E41"/>
    <w:rsid w:val="00736A69"/>
    <w:rsid w:val="00742145"/>
    <w:rsid w:val="007476DD"/>
    <w:rsid w:val="007579CE"/>
    <w:rsid w:val="007660E1"/>
    <w:rsid w:val="007666AC"/>
    <w:rsid w:val="00772037"/>
    <w:rsid w:val="00775DDE"/>
    <w:rsid w:val="00776995"/>
    <w:rsid w:val="007770BA"/>
    <w:rsid w:val="00777562"/>
    <w:rsid w:val="007812F7"/>
    <w:rsid w:val="007926E2"/>
    <w:rsid w:val="00793865"/>
    <w:rsid w:val="007A2C14"/>
    <w:rsid w:val="007A6692"/>
    <w:rsid w:val="007B3115"/>
    <w:rsid w:val="007C57F7"/>
    <w:rsid w:val="007C5B48"/>
    <w:rsid w:val="007C7495"/>
    <w:rsid w:val="007D0D83"/>
    <w:rsid w:val="007D1BCB"/>
    <w:rsid w:val="007D41E5"/>
    <w:rsid w:val="007D5268"/>
    <w:rsid w:val="007D70E7"/>
    <w:rsid w:val="007E40CA"/>
    <w:rsid w:val="007E61D6"/>
    <w:rsid w:val="007F103E"/>
    <w:rsid w:val="007F605A"/>
    <w:rsid w:val="008020BA"/>
    <w:rsid w:val="00803BFF"/>
    <w:rsid w:val="00813523"/>
    <w:rsid w:val="00813B00"/>
    <w:rsid w:val="00820281"/>
    <w:rsid w:val="008210C3"/>
    <w:rsid w:val="00821EE7"/>
    <w:rsid w:val="00824757"/>
    <w:rsid w:val="00825F0D"/>
    <w:rsid w:val="008300F0"/>
    <w:rsid w:val="008325AD"/>
    <w:rsid w:val="00841A7E"/>
    <w:rsid w:val="00841C9F"/>
    <w:rsid w:val="0084384B"/>
    <w:rsid w:val="00860518"/>
    <w:rsid w:val="008615CA"/>
    <w:rsid w:val="00864064"/>
    <w:rsid w:val="008768EE"/>
    <w:rsid w:val="008833A1"/>
    <w:rsid w:val="008A65E7"/>
    <w:rsid w:val="008A730C"/>
    <w:rsid w:val="008B1D12"/>
    <w:rsid w:val="008B7312"/>
    <w:rsid w:val="008C51FC"/>
    <w:rsid w:val="008C7D53"/>
    <w:rsid w:val="008C7FAC"/>
    <w:rsid w:val="008D017D"/>
    <w:rsid w:val="008E5C0A"/>
    <w:rsid w:val="00905AEE"/>
    <w:rsid w:val="009063B7"/>
    <w:rsid w:val="00911225"/>
    <w:rsid w:val="009146BD"/>
    <w:rsid w:val="009174E4"/>
    <w:rsid w:val="00922055"/>
    <w:rsid w:val="00926BD3"/>
    <w:rsid w:val="009371A0"/>
    <w:rsid w:val="0094485C"/>
    <w:rsid w:val="00955ED5"/>
    <w:rsid w:val="00956757"/>
    <w:rsid w:val="00956F9B"/>
    <w:rsid w:val="00957B2E"/>
    <w:rsid w:val="009610DF"/>
    <w:rsid w:val="00961EBC"/>
    <w:rsid w:val="00964E9F"/>
    <w:rsid w:val="00970E94"/>
    <w:rsid w:val="0099375F"/>
    <w:rsid w:val="009A3B28"/>
    <w:rsid w:val="009A4200"/>
    <w:rsid w:val="009A47C3"/>
    <w:rsid w:val="009A6B25"/>
    <w:rsid w:val="009C4AB2"/>
    <w:rsid w:val="009D0641"/>
    <w:rsid w:val="009D1FD7"/>
    <w:rsid w:val="009D3FC4"/>
    <w:rsid w:val="009E423C"/>
    <w:rsid w:val="009E44DC"/>
    <w:rsid w:val="009F0A38"/>
    <w:rsid w:val="009F26B8"/>
    <w:rsid w:val="009F2DAC"/>
    <w:rsid w:val="009F4A62"/>
    <w:rsid w:val="009F5E77"/>
    <w:rsid w:val="009F6466"/>
    <w:rsid w:val="00A03955"/>
    <w:rsid w:val="00A0696F"/>
    <w:rsid w:val="00A06EF8"/>
    <w:rsid w:val="00A07E55"/>
    <w:rsid w:val="00A10BF0"/>
    <w:rsid w:val="00A1206F"/>
    <w:rsid w:val="00A13EFE"/>
    <w:rsid w:val="00A1783C"/>
    <w:rsid w:val="00A17AC3"/>
    <w:rsid w:val="00A206E9"/>
    <w:rsid w:val="00A23E7A"/>
    <w:rsid w:val="00A30C0F"/>
    <w:rsid w:val="00A320BF"/>
    <w:rsid w:val="00A33407"/>
    <w:rsid w:val="00A33EE9"/>
    <w:rsid w:val="00A37B07"/>
    <w:rsid w:val="00A46B3D"/>
    <w:rsid w:val="00A475E0"/>
    <w:rsid w:val="00A54E7F"/>
    <w:rsid w:val="00A56792"/>
    <w:rsid w:val="00A606D4"/>
    <w:rsid w:val="00A659C6"/>
    <w:rsid w:val="00A66C9C"/>
    <w:rsid w:val="00A702F5"/>
    <w:rsid w:val="00A715D2"/>
    <w:rsid w:val="00A747DC"/>
    <w:rsid w:val="00A764C1"/>
    <w:rsid w:val="00A8038C"/>
    <w:rsid w:val="00A92B4F"/>
    <w:rsid w:val="00A95D28"/>
    <w:rsid w:val="00A9627E"/>
    <w:rsid w:val="00AA730F"/>
    <w:rsid w:val="00AC6C09"/>
    <w:rsid w:val="00AD1424"/>
    <w:rsid w:val="00AD32E6"/>
    <w:rsid w:val="00AD7F36"/>
    <w:rsid w:val="00AE14B8"/>
    <w:rsid w:val="00AE2EA8"/>
    <w:rsid w:val="00AE5197"/>
    <w:rsid w:val="00AE7ACC"/>
    <w:rsid w:val="00AF30EF"/>
    <w:rsid w:val="00AF4398"/>
    <w:rsid w:val="00AF7C44"/>
    <w:rsid w:val="00B068B9"/>
    <w:rsid w:val="00B127DD"/>
    <w:rsid w:val="00B147DC"/>
    <w:rsid w:val="00B21162"/>
    <w:rsid w:val="00B22D11"/>
    <w:rsid w:val="00B23E0A"/>
    <w:rsid w:val="00B30FD7"/>
    <w:rsid w:val="00B34C7F"/>
    <w:rsid w:val="00B4319A"/>
    <w:rsid w:val="00B44EA6"/>
    <w:rsid w:val="00B51DCD"/>
    <w:rsid w:val="00B5786A"/>
    <w:rsid w:val="00B64744"/>
    <w:rsid w:val="00B735F1"/>
    <w:rsid w:val="00B742BC"/>
    <w:rsid w:val="00B76F61"/>
    <w:rsid w:val="00B83668"/>
    <w:rsid w:val="00B8375E"/>
    <w:rsid w:val="00B83EFB"/>
    <w:rsid w:val="00B85CF8"/>
    <w:rsid w:val="00B86B27"/>
    <w:rsid w:val="00B939C7"/>
    <w:rsid w:val="00B93BA0"/>
    <w:rsid w:val="00B95C50"/>
    <w:rsid w:val="00B9732A"/>
    <w:rsid w:val="00BA27D5"/>
    <w:rsid w:val="00BA6A48"/>
    <w:rsid w:val="00BB335D"/>
    <w:rsid w:val="00BB3CDB"/>
    <w:rsid w:val="00BB461F"/>
    <w:rsid w:val="00BB75B0"/>
    <w:rsid w:val="00BC1E53"/>
    <w:rsid w:val="00BC2776"/>
    <w:rsid w:val="00BC41EA"/>
    <w:rsid w:val="00BD2BE2"/>
    <w:rsid w:val="00BD37DC"/>
    <w:rsid w:val="00BE390B"/>
    <w:rsid w:val="00BF4C02"/>
    <w:rsid w:val="00C01C1D"/>
    <w:rsid w:val="00C03B77"/>
    <w:rsid w:val="00C052E5"/>
    <w:rsid w:val="00C156A5"/>
    <w:rsid w:val="00C16959"/>
    <w:rsid w:val="00C21E7F"/>
    <w:rsid w:val="00C2312F"/>
    <w:rsid w:val="00C25A27"/>
    <w:rsid w:val="00C26FC4"/>
    <w:rsid w:val="00C37972"/>
    <w:rsid w:val="00C401A8"/>
    <w:rsid w:val="00C41DD0"/>
    <w:rsid w:val="00C52BD6"/>
    <w:rsid w:val="00C56BDD"/>
    <w:rsid w:val="00C573C6"/>
    <w:rsid w:val="00C711B9"/>
    <w:rsid w:val="00C74FEC"/>
    <w:rsid w:val="00C759B1"/>
    <w:rsid w:val="00C95D66"/>
    <w:rsid w:val="00C969FD"/>
    <w:rsid w:val="00CA28D5"/>
    <w:rsid w:val="00CA7A95"/>
    <w:rsid w:val="00CC1C9D"/>
    <w:rsid w:val="00CD0524"/>
    <w:rsid w:val="00CD2CB4"/>
    <w:rsid w:val="00CD5CB1"/>
    <w:rsid w:val="00CD6366"/>
    <w:rsid w:val="00CD685D"/>
    <w:rsid w:val="00CD70EB"/>
    <w:rsid w:val="00CE09DA"/>
    <w:rsid w:val="00CE0F4D"/>
    <w:rsid w:val="00CE4A16"/>
    <w:rsid w:val="00CF0DE4"/>
    <w:rsid w:val="00CF573A"/>
    <w:rsid w:val="00D01202"/>
    <w:rsid w:val="00D031E5"/>
    <w:rsid w:val="00D116FD"/>
    <w:rsid w:val="00D16DF8"/>
    <w:rsid w:val="00D228B9"/>
    <w:rsid w:val="00D31549"/>
    <w:rsid w:val="00D32DE4"/>
    <w:rsid w:val="00D35003"/>
    <w:rsid w:val="00D356E6"/>
    <w:rsid w:val="00D362DE"/>
    <w:rsid w:val="00D37AD7"/>
    <w:rsid w:val="00D53D12"/>
    <w:rsid w:val="00D66DB9"/>
    <w:rsid w:val="00D707BA"/>
    <w:rsid w:val="00D76A6A"/>
    <w:rsid w:val="00D80810"/>
    <w:rsid w:val="00D90530"/>
    <w:rsid w:val="00D92991"/>
    <w:rsid w:val="00D95B12"/>
    <w:rsid w:val="00DA29FE"/>
    <w:rsid w:val="00DA2AEF"/>
    <w:rsid w:val="00DB2CC7"/>
    <w:rsid w:val="00DB3736"/>
    <w:rsid w:val="00DB5518"/>
    <w:rsid w:val="00DC3249"/>
    <w:rsid w:val="00DC3B2A"/>
    <w:rsid w:val="00DC5581"/>
    <w:rsid w:val="00DD28CC"/>
    <w:rsid w:val="00DE1BB4"/>
    <w:rsid w:val="00DE4D12"/>
    <w:rsid w:val="00DF4AFE"/>
    <w:rsid w:val="00DF6A0D"/>
    <w:rsid w:val="00E0083A"/>
    <w:rsid w:val="00E01FB7"/>
    <w:rsid w:val="00E030AC"/>
    <w:rsid w:val="00E0440A"/>
    <w:rsid w:val="00E11F9F"/>
    <w:rsid w:val="00E12440"/>
    <w:rsid w:val="00E12839"/>
    <w:rsid w:val="00E130E6"/>
    <w:rsid w:val="00E16AF0"/>
    <w:rsid w:val="00E219B8"/>
    <w:rsid w:val="00E26BAB"/>
    <w:rsid w:val="00E41139"/>
    <w:rsid w:val="00E419DE"/>
    <w:rsid w:val="00E57B2A"/>
    <w:rsid w:val="00E625ED"/>
    <w:rsid w:val="00E635CC"/>
    <w:rsid w:val="00E6367A"/>
    <w:rsid w:val="00E715FA"/>
    <w:rsid w:val="00E72A51"/>
    <w:rsid w:val="00E7371B"/>
    <w:rsid w:val="00E73D1C"/>
    <w:rsid w:val="00E76A87"/>
    <w:rsid w:val="00E80B7E"/>
    <w:rsid w:val="00E821F5"/>
    <w:rsid w:val="00E92350"/>
    <w:rsid w:val="00EA22CB"/>
    <w:rsid w:val="00EA33AC"/>
    <w:rsid w:val="00EB203A"/>
    <w:rsid w:val="00EB4EEE"/>
    <w:rsid w:val="00EB7558"/>
    <w:rsid w:val="00EC1106"/>
    <w:rsid w:val="00EC3798"/>
    <w:rsid w:val="00EC68EA"/>
    <w:rsid w:val="00EC6BFD"/>
    <w:rsid w:val="00ED2A4B"/>
    <w:rsid w:val="00ED2D7B"/>
    <w:rsid w:val="00ED4AC9"/>
    <w:rsid w:val="00ED7258"/>
    <w:rsid w:val="00EE2920"/>
    <w:rsid w:val="00EE51AC"/>
    <w:rsid w:val="00EF1C2A"/>
    <w:rsid w:val="00EF5503"/>
    <w:rsid w:val="00EF5921"/>
    <w:rsid w:val="00F02EF5"/>
    <w:rsid w:val="00F06963"/>
    <w:rsid w:val="00F123B3"/>
    <w:rsid w:val="00F232B3"/>
    <w:rsid w:val="00F25949"/>
    <w:rsid w:val="00F30594"/>
    <w:rsid w:val="00F32602"/>
    <w:rsid w:val="00F3657A"/>
    <w:rsid w:val="00F377B5"/>
    <w:rsid w:val="00F40CC1"/>
    <w:rsid w:val="00F43170"/>
    <w:rsid w:val="00F44D64"/>
    <w:rsid w:val="00F4649C"/>
    <w:rsid w:val="00F5090D"/>
    <w:rsid w:val="00F53EB4"/>
    <w:rsid w:val="00F54962"/>
    <w:rsid w:val="00F64C62"/>
    <w:rsid w:val="00F65426"/>
    <w:rsid w:val="00F81A35"/>
    <w:rsid w:val="00F8308B"/>
    <w:rsid w:val="00F831DB"/>
    <w:rsid w:val="00F8791D"/>
    <w:rsid w:val="00F87C28"/>
    <w:rsid w:val="00F906C5"/>
    <w:rsid w:val="00F95D87"/>
    <w:rsid w:val="00F95F4E"/>
    <w:rsid w:val="00F96A14"/>
    <w:rsid w:val="00F977B8"/>
    <w:rsid w:val="00FA1073"/>
    <w:rsid w:val="00FA1455"/>
    <w:rsid w:val="00FA2995"/>
    <w:rsid w:val="00FB1825"/>
    <w:rsid w:val="00FB7EC5"/>
    <w:rsid w:val="00FC2373"/>
    <w:rsid w:val="00FC3D10"/>
    <w:rsid w:val="00FC6902"/>
    <w:rsid w:val="00FC72B1"/>
    <w:rsid w:val="00FD4D40"/>
    <w:rsid w:val="00FE3B77"/>
    <w:rsid w:val="00FE4C1E"/>
    <w:rsid w:val="00FE7952"/>
    <w:rsid w:val="00FF59C0"/>
    <w:rsid w:val="347B75A5"/>
    <w:rsid w:val="3B9052B1"/>
    <w:rsid w:val="3D353383"/>
    <w:rsid w:val="3EC97366"/>
    <w:rsid w:val="474E2BBB"/>
    <w:rsid w:val="50AB551E"/>
    <w:rsid w:val="63347E2A"/>
    <w:rsid w:val="7A2C10F5"/>
    <w:rsid w:val="7F174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方正仿宋_GBK" w:hAnsi="Times New Roman" w:eastAsia="方正仿宋_GBK" w:cs="Times New Roman"/>
      <w:kern w:val="2"/>
      <w:sz w:val="32"/>
      <w:szCs w:val="3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方正楷体_GBK"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basedOn w:val="7"/>
    <w:link w:val="3"/>
    <w:qFormat/>
    <w:uiPriority w:val="0"/>
    <w:rPr>
      <w:rFonts w:ascii="方正仿宋_GBK" w:hAnsi="Times New Roman" w:eastAsia="方正仿宋_GBK" w:cs="Times New Roman"/>
      <w:sz w:val="18"/>
      <w:szCs w:val="18"/>
    </w:rPr>
  </w:style>
  <w:style w:type="character" w:customStyle="1" w:styleId="10">
    <w:name w:val="页眉 Char"/>
    <w:basedOn w:val="7"/>
    <w:link w:val="4"/>
    <w:semiHidden/>
    <w:qFormat/>
    <w:uiPriority w:val="99"/>
    <w:rPr>
      <w:rFonts w:ascii="方正仿宋_GBK" w:hAnsi="Times New Roman" w:eastAsia="方正仿宋_GBK" w:cs="Times New Roman"/>
      <w:kern w:val="2"/>
      <w:sz w:val="18"/>
      <w:szCs w:val="18"/>
    </w:rPr>
  </w:style>
  <w:style w:type="character" w:customStyle="1" w:styleId="11">
    <w:name w:val="批注框文本 Char"/>
    <w:basedOn w:val="7"/>
    <w:link w:val="2"/>
    <w:semiHidden/>
    <w:qFormat/>
    <w:uiPriority w:val="99"/>
    <w:rPr>
      <w:rFonts w:ascii="方正仿宋_GBK" w:hAnsi="Times New Roman" w:eastAsia="方正仿宋_GBK" w:cs="Times New Roman"/>
      <w:kern w:val="2"/>
      <w:sz w:val="18"/>
      <w:szCs w:val="18"/>
    </w:rPr>
  </w:style>
  <w:style w:type="paragraph" w:customStyle="1" w:styleId="12">
    <w:name w:val="1正文"/>
    <w:basedOn w:val="1"/>
    <w:qFormat/>
    <w:uiPriority w:val="0"/>
    <w:pPr>
      <w:spacing w:line="590" w:lineRule="exact"/>
      <w:ind w:firstLine="200" w:firstLineChars="200"/>
    </w:pPr>
    <w:rPr>
      <w:rFonts w:asci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454FA-54E5-4BB9-A77A-BA016C1ECBD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3649</Words>
  <Characters>3944</Characters>
  <Lines>28</Lines>
  <Paragraphs>8</Paragraphs>
  <TotalTime>22</TotalTime>
  <ScaleCrop>false</ScaleCrop>
  <LinksUpToDate>false</LinksUpToDate>
  <CharactersWithSpaces>3960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2021-03-25T02:09:00Z</dcterms:created>
  <dc:creator>资义银</dc:creator>
  <cp:lastModifiedBy>Administrator</cp:lastModifiedBy>
  <cp:lastPrinted>2022-08-30T09:03:00Z</cp:lastPrinted>
  <dcterms:modified xsi:type="dcterms:W3CDTF">2022-10-28T02:01:57Z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C0826231D6564D5EA8DB62A0784BF6FE</vt:lpwstr>
  </property>
</Properties>
</file>