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0" w:firstLineChars="0"/>
        <w:jc w:val="center"/>
        <w:textAlignment w:val="auto"/>
        <w:rPr>
          <w:rFonts w:hint="eastAsia" w:ascii="方正小标宋_GBK" w:hAnsi="方正小标宋_GBK" w:eastAsia="方正小标宋_GBK" w:cs="方正小标宋_GBK"/>
          <w:b w:val="0"/>
          <w:bCs/>
          <w:sz w:val="44"/>
          <w:szCs w:val="44"/>
        </w:rPr>
      </w:pPr>
      <w:r>
        <w:rPr>
          <w:rStyle w:val="5"/>
          <w:rFonts w:hint="eastAsia" w:ascii="方正小标宋_GBK" w:hAnsi="方正小标宋_GBK" w:eastAsia="方正小标宋_GBK" w:cs="方正小标宋_GBK"/>
          <w:b w:val="0"/>
          <w:bCs/>
          <w:sz w:val="44"/>
          <w:szCs w:val="44"/>
          <w:shd w:val="clear" w:fill="FFFFFF"/>
        </w:rPr>
        <w:t>重庆市涪陵区荔枝街道社区文化服务中心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0" w:firstLineChars="0"/>
        <w:jc w:val="center"/>
        <w:textAlignment w:val="auto"/>
        <w:rPr>
          <w:rStyle w:val="5"/>
          <w:rFonts w:hint="eastAsia" w:ascii="方正小标宋_GBK" w:hAnsi="方正小标宋_GBK" w:eastAsia="方正小标宋_GBK" w:cs="方正小标宋_GBK"/>
          <w:b w:val="0"/>
          <w:bCs/>
          <w:sz w:val="44"/>
          <w:szCs w:val="44"/>
          <w:shd w:val="clear" w:fill="FFFFFF"/>
        </w:rPr>
      </w:pPr>
      <w:r>
        <w:rPr>
          <w:rStyle w:val="5"/>
          <w:rFonts w:hint="eastAsia" w:ascii="方正小标宋_GBK" w:hAnsi="方正小标宋_GBK" w:eastAsia="方正小标宋_GBK" w:cs="方正小标宋_GBK"/>
          <w:b w:val="0"/>
          <w:bCs/>
          <w:sz w:val="44"/>
          <w:szCs w:val="44"/>
          <w:shd w:val="clear" w:fill="FFFFFF"/>
        </w:rPr>
        <w:t>2022年度部门决算情况说明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883" w:firstLineChars="200"/>
        <w:jc w:val="center"/>
        <w:textAlignment w:val="auto"/>
        <w:rPr>
          <w:rStyle w:val="5"/>
          <w:rFonts w:hint="eastAsia" w:ascii="方正黑体_GBK" w:hAnsi="方正黑体_GBK" w:eastAsia="方正黑体_GBK" w:cs="方正黑体_GBK"/>
          <w:sz w:val="44"/>
          <w:szCs w:val="4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黑体_GBK" w:hAnsi="方正黑体_GBK" w:eastAsia="方正黑体_GBK" w:cs="方正黑体_GBK"/>
          <w:b w:val="0"/>
          <w:bCs/>
          <w:color w:val="auto"/>
          <w:sz w:val="32"/>
          <w:szCs w:val="32"/>
          <w:highlight w:val="none"/>
        </w:rPr>
      </w:pPr>
      <w:r>
        <w:rPr>
          <w:rStyle w:val="5"/>
          <w:rFonts w:hint="eastAsia" w:ascii="方正黑体_GBK" w:hAnsi="方正黑体_GBK" w:eastAsia="方正黑体_GBK" w:cs="方正黑体_GBK"/>
          <w:b w:val="0"/>
          <w:bCs/>
          <w:color w:val="auto"/>
          <w:sz w:val="32"/>
          <w:szCs w:val="32"/>
          <w:highlight w:val="none"/>
          <w:shd w:val="clear" w:fill="FFFFFF"/>
        </w:rPr>
        <w:t>一、部门基本情况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（一）职能职责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承担社区文化、体育等相关服务工作；完成街道党工委、办事处交办的其他任务。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（二）机构设置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重庆市涪陵区荔枝街道社区文化服务中心规格正科级，类别公益一类，经费形式全额拨款。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Style w:val="5"/>
          <w:rFonts w:hint="eastAsia" w:ascii="方正仿宋_GBK" w:hAnsi="方正仿宋_GBK" w:eastAsia="方正仿宋_GBK" w:cs="方正仿宋_GBK"/>
          <w:b w:val="0"/>
          <w:bCs/>
          <w:color w:val="auto"/>
          <w:sz w:val="32"/>
          <w:szCs w:val="32"/>
          <w:highlight w:val="none"/>
          <w:shd w:val="clear" w:fill="FFFFFF"/>
        </w:rPr>
        <w:t>1.总体情况。</w:t>
      </w:r>
      <w:r>
        <w:rPr>
          <w:rFonts w:hint="eastAsia" w:ascii="方正仿宋_GBK" w:hAnsi="方正仿宋_GBK" w:eastAsia="方正仿宋_GBK" w:cs="方正仿宋_GBK"/>
          <w:b w:val="0"/>
          <w:bCs/>
          <w:color w:val="auto"/>
          <w:sz w:val="32"/>
          <w:szCs w:val="32"/>
          <w:highlight w:val="none"/>
          <w:shd w:val="clear" w:fill="FFFFFF"/>
        </w:rPr>
        <w:t>2022年度收入总计137.10万元，支出总计137.10万元。收支较上年决算数增加137.10万元</w:t>
      </w:r>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Style w:val="5"/>
          <w:rFonts w:hint="eastAsia" w:ascii="方正仿宋_GBK" w:hAnsi="方正仿宋_GBK" w:eastAsia="方正仿宋_GBK" w:cs="方正仿宋_GBK"/>
          <w:b w:val="0"/>
          <w:bCs/>
          <w:color w:val="auto"/>
          <w:sz w:val="32"/>
          <w:szCs w:val="32"/>
          <w:highlight w:val="none"/>
          <w:shd w:val="clear" w:fill="FFFFFF"/>
        </w:rPr>
        <w:t>2.收入情况。</w:t>
      </w:r>
      <w:r>
        <w:rPr>
          <w:rFonts w:hint="eastAsia" w:ascii="方正仿宋_GBK" w:hAnsi="方正仿宋_GBK" w:eastAsia="方正仿宋_GBK" w:cs="方正仿宋_GBK"/>
          <w:b w:val="0"/>
          <w:bCs/>
          <w:color w:val="auto"/>
          <w:sz w:val="32"/>
          <w:szCs w:val="32"/>
          <w:highlight w:val="none"/>
          <w:shd w:val="clear" w:fill="FFFFFF"/>
        </w:rPr>
        <w:t>2022年度收入合计137.10万元，较上年决算数增加137.10万元</w:t>
      </w:r>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。其中：财政拨款收入137.10万元，占100%。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Style w:val="5"/>
          <w:rFonts w:hint="eastAsia" w:ascii="方正仿宋_GBK" w:hAnsi="方正仿宋_GBK" w:eastAsia="方正仿宋_GBK" w:cs="方正仿宋_GBK"/>
          <w:b w:val="0"/>
          <w:bCs/>
          <w:color w:val="auto"/>
          <w:sz w:val="32"/>
          <w:szCs w:val="32"/>
          <w:highlight w:val="none"/>
          <w:shd w:val="clear" w:fill="FFFFFF"/>
        </w:rPr>
        <w:t>3.支出情况。</w:t>
      </w:r>
      <w:r>
        <w:rPr>
          <w:rFonts w:hint="eastAsia" w:ascii="方正仿宋_GBK" w:hAnsi="方正仿宋_GBK" w:eastAsia="方正仿宋_GBK" w:cs="方正仿宋_GBK"/>
          <w:b w:val="0"/>
          <w:bCs/>
          <w:color w:val="auto"/>
          <w:sz w:val="32"/>
          <w:szCs w:val="32"/>
          <w:highlight w:val="none"/>
          <w:shd w:val="clear" w:fill="FFFFFF"/>
        </w:rPr>
        <w:t>2022年度支出合计136.99万元，较上年决算增加136.99万元，主要原因是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其中：基本支出136.99万元，占100%。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4.结转结余情况。</w:t>
      </w:r>
      <w:r>
        <w:rPr>
          <w:rFonts w:hint="eastAsia" w:ascii="方正仿宋_GBK" w:hAnsi="方正仿宋_GBK" w:eastAsia="方正仿宋_GBK" w:cs="方正仿宋_GBK"/>
          <w:b w:val="0"/>
          <w:bCs/>
          <w:color w:val="auto"/>
          <w:sz w:val="32"/>
          <w:szCs w:val="32"/>
          <w:highlight w:val="none"/>
          <w:shd w:val="clear" w:fill="FFFFFF"/>
        </w:rPr>
        <w:t>2022年度年末结转和结余0.10万元，较上年决算数增加0.10万元，主要原因是</w:t>
      </w:r>
      <w:r>
        <w:rPr>
          <w:rFonts w:hint="eastAsia" w:ascii="方正仿宋_GBK" w:hAnsi="方正仿宋_GBK" w:eastAsia="方正仿宋_GBK" w:cs="方正仿宋_GBK"/>
          <w:b w:val="0"/>
          <w:bCs/>
          <w:color w:val="auto"/>
          <w:sz w:val="32"/>
          <w:szCs w:val="32"/>
          <w:highlight w:val="none"/>
          <w:shd w:val="clear" w:fill="FFFFFF"/>
          <w:lang w:eastAsia="zh-CN"/>
        </w:rPr>
        <w:t>群众文化支出结转</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Fonts w:hint="eastAsia" w:ascii="方正仿宋_GBK" w:hAnsi="方正仿宋_GBK" w:eastAsia="方正仿宋_GBK" w:cs="方正仿宋_GBK"/>
          <w:b w:val="0"/>
          <w:bCs/>
          <w:color w:val="auto"/>
          <w:sz w:val="32"/>
          <w:szCs w:val="32"/>
          <w:highlight w:val="none"/>
          <w:shd w:val="clear" w:fill="FFFFFF"/>
        </w:rPr>
        <w:t>2022年度财政拨款收、支总计137.10万元。与2021年相比，财政拨款收、支总计各增加137.10万元。主要原因是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（三）一般公共预算财政拨款收入支出决算情况说明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1.收入情况。</w:t>
      </w:r>
      <w:r>
        <w:rPr>
          <w:rFonts w:hint="eastAsia" w:ascii="方正仿宋_GBK" w:hAnsi="方正仿宋_GBK" w:eastAsia="方正仿宋_GBK" w:cs="方正仿宋_GBK"/>
          <w:b w:val="0"/>
          <w:bCs/>
          <w:color w:val="auto"/>
          <w:sz w:val="32"/>
          <w:szCs w:val="32"/>
          <w:highlight w:val="none"/>
          <w:shd w:val="clear" w:fill="FFFFFF"/>
        </w:rPr>
        <w:t>2022年度一般公共预算财政拨款收入137.10万元，较上年决算数增加137.10万元。主要原因是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较年初预算数减少20.90万元，下降13.2%。主要原因是</w:t>
      </w:r>
      <w:r>
        <w:rPr>
          <w:rFonts w:hint="eastAsia" w:ascii="方正仿宋_GBK" w:hAnsi="方正仿宋_GBK" w:eastAsia="方正仿宋_GBK" w:cs="方正仿宋_GBK"/>
          <w:b w:val="0"/>
          <w:bCs/>
          <w:color w:val="auto"/>
          <w:sz w:val="32"/>
          <w:szCs w:val="32"/>
          <w:highlight w:val="none"/>
          <w:shd w:val="clear" w:color="auto" w:fill="FFFFFF"/>
          <w:lang w:eastAsia="zh-CN"/>
        </w:rPr>
        <w:t>受疫情影响，经济下滑，税收收入下降。</w:t>
      </w:r>
      <w:r>
        <w:rPr>
          <w:rFonts w:hint="eastAsia" w:ascii="方正仿宋_GBK" w:hAnsi="方正仿宋_GBK" w:eastAsia="方正仿宋_GBK" w:cs="方正仿宋_GBK"/>
          <w:b w:val="0"/>
          <w:bCs/>
          <w:color w:val="auto"/>
          <w:sz w:val="32"/>
          <w:szCs w:val="32"/>
          <w:highlight w:val="none"/>
          <w:shd w:val="clear" w:fill="FFFFFF"/>
        </w:rPr>
        <w:t>此外，年初财政拨款结转和结余0.00万元。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Style w:val="5"/>
          <w:rFonts w:hint="eastAsia" w:ascii="方正仿宋_GBK" w:hAnsi="方正仿宋_GBK" w:eastAsia="方正仿宋_GBK" w:cs="方正仿宋_GBK"/>
          <w:b w:val="0"/>
          <w:bCs/>
          <w:color w:val="auto"/>
          <w:sz w:val="32"/>
          <w:szCs w:val="32"/>
          <w:highlight w:val="none"/>
          <w:shd w:val="clear" w:fill="FFFFFF"/>
        </w:rPr>
        <w:t>2.支出情况。</w:t>
      </w:r>
      <w:r>
        <w:rPr>
          <w:rFonts w:hint="eastAsia" w:ascii="方正仿宋_GBK" w:hAnsi="方正仿宋_GBK" w:eastAsia="方正仿宋_GBK" w:cs="方正仿宋_GBK"/>
          <w:b w:val="0"/>
          <w:bCs/>
          <w:color w:val="auto"/>
          <w:sz w:val="32"/>
          <w:szCs w:val="32"/>
          <w:highlight w:val="none"/>
          <w:shd w:val="clear" w:fill="FFFFFF"/>
        </w:rPr>
        <w:t>2022年度一般公共预算财政拨款支出136.99万元，较上年决算数增加136.99万元</w:t>
      </w:r>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较年初预算数减少21.01万元，下降13.3%。主要原因是</w:t>
      </w:r>
      <w:r>
        <w:rPr>
          <w:rFonts w:hint="eastAsia" w:ascii="方正仿宋_GBK" w:hAnsi="方正仿宋_GBK" w:eastAsia="方正仿宋_GBK" w:cs="方正仿宋_GBK"/>
          <w:b w:val="0"/>
          <w:bCs/>
          <w:color w:val="auto"/>
          <w:sz w:val="32"/>
          <w:szCs w:val="32"/>
          <w:highlight w:val="none"/>
          <w:shd w:val="clear" w:fill="FFFFFF"/>
          <w:lang w:eastAsia="zh-CN"/>
        </w:rPr>
        <w:t>公用经费减少、年终目标考核奖调整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Style w:val="5"/>
          <w:rFonts w:hint="eastAsia" w:ascii="方正仿宋_GBK" w:hAnsi="方正仿宋_GBK" w:eastAsia="方正仿宋_GBK" w:cs="方正仿宋_GBK"/>
          <w:b w:val="0"/>
          <w:bCs/>
          <w:color w:val="auto"/>
          <w:sz w:val="32"/>
          <w:szCs w:val="32"/>
          <w:highlight w:val="none"/>
          <w:shd w:val="clear" w:fill="FFFFFF"/>
        </w:rPr>
        <w:t>3.结转结余情况。</w:t>
      </w:r>
      <w:r>
        <w:rPr>
          <w:rFonts w:hint="eastAsia" w:ascii="方正仿宋_GBK" w:hAnsi="方正仿宋_GBK" w:eastAsia="方正仿宋_GBK" w:cs="方正仿宋_GBK"/>
          <w:b w:val="0"/>
          <w:bCs/>
          <w:color w:val="auto"/>
          <w:sz w:val="32"/>
          <w:szCs w:val="32"/>
          <w:highlight w:val="none"/>
          <w:shd w:val="clear" w:fill="FFFFFF"/>
        </w:rPr>
        <w:t>2022年度年末一般公共预算财政拨款结转和结余0.10万元，较上年决算数增加0.10万元，主要原因是文服中心公用经费结转</w:t>
      </w:r>
      <w:r>
        <w:rPr>
          <w:rFonts w:hint="eastAsia" w:ascii="方正仿宋_GBK" w:hAnsi="方正仿宋_GBK" w:eastAsia="方正仿宋_GBK" w:cs="方正仿宋_GBK"/>
          <w:b w:val="0"/>
          <w:bCs/>
          <w:color w:val="auto"/>
          <w:sz w:val="32"/>
          <w:szCs w:val="32"/>
          <w:highlight w:val="none"/>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4.比较情况。</w:t>
      </w:r>
      <w:r>
        <w:rPr>
          <w:rFonts w:hint="eastAsia" w:ascii="方正仿宋_GBK" w:hAnsi="方正仿宋_GBK" w:eastAsia="方正仿宋_GBK" w:cs="方正仿宋_GBK"/>
          <w:b w:val="0"/>
          <w:bCs/>
          <w:color w:val="auto"/>
          <w:sz w:val="32"/>
          <w:szCs w:val="32"/>
          <w:highlight w:val="none"/>
          <w:shd w:val="clear" w:fill="FFFFFF"/>
        </w:rPr>
        <w:t>本部门2022年度一般公共预算财政拨款支出主要用于以下几个方面：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1</w:t>
      </w:r>
      <w:r>
        <w:rPr>
          <w:rFonts w:hint="eastAsia" w:ascii="方正仿宋_GBK" w:hAnsi="方正仿宋_GBK" w:eastAsia="方正仿宋_GBK" w:cs="方正仿宋_GBK"/>
          <w:b w:val="0"/>
          <w:bCs/>
          <w:color w:val="auto"/>
          <w:sz w:val="32"/>
          <w:szCs w:val="32"/>
          <w:highlight w:val="none"/>
          <w:shd w:val="clear" w:fill="FFFFFF"/>
        </w:rPr>
        <w:t>）文化旅游体育与传媒支出103.76万元，占75.7%，较年初预算数减少24.24万元，下降18.9%，主要原因是</w:t>
      </w:r>
      <w:r>
        <w:rPr>
          <w:rFonts w:hint="eastAsia" w:ascii="方正仿宋_GBK" w:hAnsi="方正仿宋_GBK" w:eastAsia="方正仿宋_GBK" w:cs="方正仿宋_GBK"/>
          <w:b w:val="0"/>
          <w:bCs/>
          <w:color w:val="auto"/>
          <w:sz w:val="32"/>
          <w:szCs w:val="32"/>
          <w:highlight w:val="none"/>
          <w:shd w:val="clear" w:fill="FFFFFF"/>
          <w:lang w:eastAsia="zh-CN"/>
        </w:rPr>
        <w:t>公用经费减少、年终目标考核奖调整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2</w:t>
      </w:r>
      <w:r>
        <w:rPr>
          <w:rFonts w:hint="eastAsia" w:ascii="方正仿宋_GBK" w:hAnsi="方正仿宋_GBK" w:eastAsia="方正仿宋_GBK" w:cs="方正仿宋_GBK"/>
          <w:b w:val="0"/>
          <w:bCs/>
          <w:color w:val="auto"/>
          <w:sz w:val="32"/>
          <w:szCs w:val="32"/>
          <w:highlight w:val="none"/>
          <w:shd w:val="clear" w:fill="FFFFFF"/>
        </w:rPr>
        <w:t>）社会保障与就业支出19.56万元，占14.3%，较年初预算数增加1.56万元，增长8.7%，主要原因是</w:t>
      </w:r>
      <w:r>
        <w:rPr>
          <w:rFonts w:hint="eastAsia" w:ascii="方正仿宋_GBK" w:hAnsi="方正仿宋_GBK" w:eastAsia="方正仿宋_GBK" w:cs="方正仿宋_GBK"/>
          <w:b w:val="0"/>
          <w:bCs/>
          <w:color w:val="auto"/>
          <w:sz w:val="32"/>
          <w:szCs w:val="32"/>
          <w:highlight w:val="none"/>
          <w:shd w:val="clear" w:fill="FFFFFF"/>
          <w:lang w:eastAsia="zh-CN"/>
        </w:rPr>
        <w:t>社保基数调整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3</w:t>
      </w:r>
      <w:r>
        <w:rPr>
          <w:rFonts w:hint="eastAsia" w:ascii="方正仿宋_GBK" w:hAnsi="方正仿宋_GBK" w:eastAsia="方正仿宋_GBK" w:cs="方正仿宋_GBK"/>
          <w:b w:val="0"/>
          <w:bCs/>
          <w:color w:val="auto"/>
          <w:sz w:val="32"/>
          <w:szCs w:val="32"/>
          <w:highlight w:val="none"/>
          <w:shd w:val="clear" w:fill="FFFFFF"/>
        </w:rPr>
        <w:t>）卫生健康支出7.03万元，占5.1%，较年初预算数增加1.03万元，增长17.2%，主要原因是</w:t>
      </w:r>
      <w:r>
        <w:rPr>
          <w:rFonts w:hint="eastAsia" w:ascii="方正仿宋_GBK" w:hAnsi="方正仿宋_GBK" w:eastAsia="方正仿宋_GBK" w:cs="方正仿宋_GBK"/>
          <w:b w:val="0"/>
          <w:bCs/>
          <w:color w:val="auto"/>
          <w:sz w:val="32"/>
          <w:szCs w:val="32"/>
          <w:highlight w:val="none"/>
          <w:shd w:val="clear" w:fill="FFFFFF"/>
          <w:lang w:eastAsia="zh-CN"/>
        </w:rPr>
        <w:t>社保基数调整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4</w:t>
      </w:r>
      <w:r>
        <w:rPr>
          <w:rFonts w:hint="eastAsia" w:ascii="方正仿宋_GBK" w:hAnsi="方正仿宋_GBK" w:eastAsia="方正仿宋_GBK" w:cs="方正仿宋_GBK"/>
          <w:b w:val="0"/>
          <w:bCs/>
          <w:color w:val="auto"/>
          <w:sz w:val="32"/>
          <w:szCs w:val="32"/>
          <w:highlight w:val="none"/>
          <w:shd w:val="clear" w:fill="FFFFFF"/>
        </w:rPr>
        <w:t>）住房保障支出6.65万元，占4.9%，较年初预算数增加0.65万元，增长10.8%，主要原因是</w:t>
      </w:r>
      <w:r>
        <w:rPr>
          <w:rFonts w:hint="eastAsia" w:ascii="方正仿宋_GBK" w:hAnsi="方正仿宋_GBK" w:eastAsia="方正仿宋_GBK" w:cs="方正仿宋_GBK"/>
          <w:b w:val="0"/>
          <w:bCs/>
          <w:color w:val="auto"/>
          <w:sz w:val="32"/>
          <w:szCs w:val="32"/>
          <w:highlight w:val="none"/>
          <w:shd w:val="clear" w:fill="FFFFFF"/>
          <w:lang w:eastAsia="zh-CN"/>
        </w:rPr>
        <w:t>公积金缴纳基数调整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（四）一般公共预算财政拨款基本支出决算情况说明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shd w:val="clear" w:fill="FFFFFF"/>
        </w:rPr>
        <w:t>2022年度一般公共预算财政拨款基本支出136.99万元。其中：人员经费131.87万元，较上年决算数增加131.87万元，主要原因是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人员经费用途主要包括</w:t>
      </w:r>
      <w:r>
        <w:rPr>
          <w:rFonts w:hint="eastAsia" w:ascii="方正仿宋_GBK" w:hAnsi="方正仿宋_GBK" w:eastAsia="方正仿宋_GBK" w:cs="方正仿宋_GBK"/>
          <w:b w:val="0"/>
          <w:bCs/>
          <w:color w:val="auto"/>
          <w:sz w:val="32"/>
          <w:szCs w:val="32"/>
          <w:highlight w:val="none"/>
          <w:lang w:eastAsia="zh-CN"/>
        </w:rPr>
        <w:t>单位开支的在职职工的各类劳动报酬及</w:t>
      </w:r>
      <w:r>
        <w:rPr>
          <w:rFonts w:hint="eastAsia" w:ascii="方正仿宋_GBK" w:hAnsi="方正仿宋_GBK" w:eastAsia="方正仿宋_GBK" w:cs="方正仿宋_GBK"/>
          <w:b w:val="0"/>
          <w:bCs/>
          <w:color w:val="auto"/>
          <w:sz w:val="32"/>
          <w:szCs w:val="32"/>
          <w:highlight w:val="none"/>
        </w:rPr>
        <w:t>社保、公积金缴纳，退休人员补助等</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shd w:val="clear" w:fill="FFFFFF"/>
        </w:rPr>
        <w:t>公用经费5.12万元，较上年决算数增加5.12万元，主要原因是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bookmarkStart w:id="0" w:name="_GoBack"/>
      <w:bookmarkEnd w:id="0"/>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公用经费用途主要包括</w:t>
      </w:r>
      <w:r>
        <w:rPr>
          <w:rFonts w:hint="eastAsia" w:ascii="方正仿宋_GBK" w:hAnsi="方正仿宋_GBK" w:eastAsia="方正仿宋_GBK" w:cs="方正仿宋_GBK"/>
          <w:b w:val="0"/>
          <w:bCs/>
          <w:color w:val="auto"/>
          <w:sz w:val="32"/>
          <w:szCs w:val="32"/>
          <w:highlight w:val="none"/>
          <w:shd w:val="clear" w:fill="FFFFFF"/>
          <w:lang w:eastAsia="zh-CN"/>
        </w:rPr>
        <w:t>办公费、水电费、工会经费等。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（五）政府性基金预算收支决算情况说明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Fonts w:hint="eastAsia" w:ascii="方正仿宋_GBK" w:hAnsi="方正仿宋_GBK" w:eastAsia="方正仿宋_GBK" w:cs="方正仿宋_GBK"/>
          <w:b w:val="0"/>
          <w:bCs/>
          <w:color w:val="auto"/>
          <w:sz w:val="32"/>
          <w:szCs w:val="32"/>
          <w:highlight w:val="none"/>
          <w:shd w:val="clear" w:fill="FFFFFF"/>
          <w:lang w:eastAsia="zh-CN"/>
        </w:rPr>
        <w:t>本部门2022年度无政府性基金预算财政拨款收支。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（六）国有资本经营预算财政拨款支出决算情况说明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Fonts w:hint="eastAsia" w:ascii="方正仿宋_GBK" w:hAnsi="方正仿宋_GBK" w:eastAsia="方正仿宋_GBK" w:cs="方正仿宋_GBK"/>
          <w:b w:val="0"/>
          <w:bCs/>
          <w:color w:val="auto"/>
          <w:sz w:val="32"/>
          <w:szCs w:val="32"/>
          <w:highlight w:val="none"/>
          <w:shd w:val="clear" w:fill="FFFFFF"/>
          <w:lang w:eastAsia="zh-CN"/>
        </w:rPr>
        <w:t>本部门2022年度无国有资本经营预算财政拨款支出。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三、“三公”经费情况说明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（一）“三公”经费支出总体情况说明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2022年度“三公”经费支出共计0.00万元，较年初预算数增加0.00万元，增长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2022年度本部门因公出国（境）费用0.00万元。费用支出较年初预算数增加0.00万元，增长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公务车购置费0.00万元。费用支出较年初预算数增加0.00万元，增长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公务车运行维护费0.00万元。费用支出较年初预算数增加0.00万元，增长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公务接待费0.00万元。费用支出较年初预算数增加0.00万元，增长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四、其他需要说明的事项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（一）财政拨款会议费和培训费情况说明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本年度会议费支出0.00万元，较上年决算数增加0.00万元，增长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%。本年度培训费支出0.00万元，较上年决算数增加0.00万元，增长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按照部门决算列报口径，我单位不在机关运行经费统计范围之内。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（四）政府采购支出说明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2022年度我单位未发生政府采购事项，无相关经费支出。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五、预算绩效管理情况说明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根据预算绩效管理要求，我</w:t>
      </w:r>
      <w:r>
        <w:rPr>
          <w:rFonts w:hint="eastAsia" w:ascii="方正仿宋_GBK" w:hAnsi="方正仿宋_GBK" w:eastAsia="方正仿宋_GBK" w:cs="方正仿宋_GBK"/>
          <w:b w:val="0"/>
          <w:bCs/>
          <w:color w:val="auto"/>
          <w:sz w:val="32"/>
          <w:szCs w:val="32"/>
          <w:highlight w:val="none"/>
          <w:shd w:val="clear" w:fill="FFFFFF"/>
          <w:lang w:eastAsia="zh-CN"/>
        </w:rPr>
        <w:t>单位</w:t>
      </w:r>
      <w:r>
        <w:rPr>
          <w:rFonts w:hint="eastAsia" w:ascii="方正仿宋_GBK" w:hAnsi="方正仿宋_GBK" w:eastAsia="方正仿宋_GBK" w:cs="方正仿宋_GBK"/>
          <w:b w:val="0"/>
          <w:bCs/>
          <w:color w:val="auto"/>
          <w:sz w:val="32"/>
          <w:szCs w:val="32"/>
          <w:highlight w:val="none"/>
          <w:shd w:val="clear" w:fill="FFFFFF"/>
        </w:rPr>
        <w:t>对</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个项目开展了绩效自评，其中，以填报自评表形式开展自评</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项，涉及资金</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万元；以委托第三方出具报告的方式开展绩效评价</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项，涉及资金</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（二）绩效自评结果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仿宋_GBK" w:hAnsi="方正仿宋_GBK" w:eastAsia="方正仿宋_GBK" w:cs="方正仿宋_GBK"/>
          <w:b w:val="0"/>
          <w:bCs/>
          <w:color w:val="auto"/>
          <w:sz w:val="32"/>
          <w:szCs w:val="32"/>
          <w:highlight w:val="none"/>
          <w:shd w:val="clear" w:fill="FFFFFF"/>
          <w:lang w:eastAsia="zh-CN"/>
        </w:rPr>
      </w:pPr>
      <w:r>
        <w:rPr>
          <w:rStyle w:val="5"/>
          <w:rFonts w:hint="eastAsia" w:ascii="方正仿宋_GBK" w:hAnsi="方正仿宋_GBK" w:eastAsia="方正仿宋_GBK" w:cs="方正仿宋_GBK"/>
          <w:b w:val="0"/>
          <w:bCs/>
          <w:color w:val="auto"/>
          <w:sz w:val="32"/>
          <w:szCs w:val="32"/>
          <w:highlight w:val="none"/>
          <w:shd w:val="clear" w:fill="FFFFFF"/>
        </w:rPr>
        <w:t>1.绩效目标自评表。</w:t>
      </w:r>
      <w:r>
        <w:rPr>
          <w:rStyle w:val="5"/>
          <w:rFonts w:hint="eastAsia" w:ascii="方正仿宋_GBK" w:hAnsi="方正仿宋_GBK" w:eastAsia="方正仿宋_GBK" w:cs="方正仿宋_GBK"/>
          <w:b w:val="0"/>
          <w:bCs/>
          <w:color w:val="auto"/>
          <w:sz w:val="32"/>
          <w:szCs w:val="32"/>
          <w:highlight w:val="none"/>
          <w:shd w:val="clear" w:fill="FFFFFF"/>
          <w:lang w:eastAsia="zh-CN"/>
        </w:rPr>
        <w:t>（详见附表）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本单位无重点项目或项目支出。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2.绩效自评报告或案例。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本单位没有委托第三方开展绩效自评。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3.关于绩效自评结果的说明。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本单位无重点项目或项目支出。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（三）重点绩效评价结果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本单位没有重点绩效评价项目。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六、专业名词解释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（一）财政拨款收入：</w:t>
      </w:r>
      <w:r>
        <w:rPr>
          <w:rFonts w:hint="eastAsia" w:ascii="方正仿宋_GBK" w:hAnsi="方正仿宋_GBK" w:eastAsia="方正仿宋_GBK" w:cs="方正仿宋_GBK"/>
          <w:b w:val="0"/>
          <w:bCs/>
          <w:color w:val="auto"/>
          <w:sz w:val="32"/>
          <w:szCs w:val="32"/>
          <w:highlight w:val="none"/>
          <w:shd w:val="clear" w:fill="FFFFFF"/>
        </w:rP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（二）事业收入：</w:t>
      </w:r>
      <w:r>
        <w:rPr>
          <w:rFonts w:hint="eastAsia" w:ascii="方正仿宋_GBK" w:hAnsi="方正仿宋_GBK" w:eastAsia="方正仿宋_GBK" w:cs="方正仿宋_GBK"/>
          <w:b w:val="0"/>
          <w:bCs/>
          <w:color w:val="auto"/>
          <w:sz w:val="32"/>
          <w:szCs w:val="32"/>
          <w:highlight w:val="none"/>
          <w:shd w:val="clear" w:fill="FFFFFF"/>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（三）经营收入：</w:t>
      </w:r>
      <w:r>
        <w:rPr>
          <w:rFonts w:hint="eastAsia" w:ascii="方正仿宋_GBK" w:hAnsi="方正仿宋_GBK" w:eastAsia="方正仿宋_GBK" w:cs="方正仿宋_GBK"/>
          <w:b w:val="0"/>
          <w:bCs/>
          <w:color w:val="auto"/>
          <w:sz w:val="32"/>
          <w:szCs w:val="32"/>
          <w:highlight w:val="none"/>
          <w:shd w:val="clear" w:fill="FFFFFF"/>
        </w:rP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（四）其他收入：</w:t>
      </w:r>
      <w:r>
        <w:rPr>
          <w:rFonts w:hint="eastAsia" w:ascii="方正仿宋_GBK" w:hAnsi="方正仿宋_GBK" w:eastAsia="方正仿宋_GBK" w:cs="方正仿宋_GBK"/>
          <w:b w:val="0"/>
          <w:bCs/>
          <w:color w:val="auto"/>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（五）使用非财政拨款结余：</w:t>
      </w:r>
      <w:r>
        <w:rPr>
          <w:rFonts w:hint="eastAsia" w:ascii="方正仿宋_GBK" w:hAnsi="方正仿宋_GBK" w:eastAsia="方正仿宋_GBK" w:cs="方正仿宋_GBK"/>
          <w:b w:val="0"/>
          <w:bCs/>
          <w:color w:val="auto"/>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（六）年初结转和结余：</w:t>
      </w:r>
      <w:r>
        <w:rPr>
          <w:rFonts w:hint="eastAsia" w:ascii="方正仿宋_GBK" w:hAnsi="方正仿宋_GBK" w:eastAsia="方正仿宋_GBK" w:cs="方正仿宋_GBK"/>
          <w:b w:val="0"/>
          <w:bCs/>
          <w:color w:val="auto"/>
          <w:sz w:val="32"/>
          <w:szCs w:val="32"/>
          <w:highlight w:val="none"/>
          <w:shd w:val="clear" w:fill="FFFFFF"/>
        </w:rP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（七）结余分配：</w:t>
      </w:r>
      <w:r>
        <w:rPr>
          <w:rFonts w:hint="eastAsia" w:ascii="方正仿宋_GBK" w:hAnsi="方正仿宋_GBK" w:eastAsia="方正仿宋_GBK" w:cs="方正仿宋_GBK"/>
          <w:b w:val="0"/>
          <w:bCs/>
          <w:color w:val="auto"/>
          <w:sz w:val="32"/>
          <w:szCs w:val="32"/>
          <w:highlight w:val="none"/>
          <w:shd w:val="clear" w:fill="FFFFFF"/>
        </w:rPr>
        <w:t>指单位按照国家有关规定，缴纳所得税、提取专用基金、转入非财政拨款结余等当年结余的分配情况。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（八）年末结转和结余：</w:t>
      </w:r>
      <w:r>
        <w:rPr>
          <w:rFonts w:hint="eastAsia" w:ascii="方正仿宋_GBK" w:hAnsi="方正仿宋_GBK" w:eastAsia="方正仿宋_GBK" w:cs="方正仿宋_GBK"/>
          <w:b w:val="0"/>
          <w:bCs/>
          <w:color w:val="auto"/>
          <w:sz w:val="32"/>
          <w:szCs w:val="32"/>
          <w:highlight w:val="none"/>
          <w:shd w:val="clear" w:fill="FFFFFF"/>
        </w:rP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（九）基本支出：</w:t>
      </w:r>
      <w:r>
        <w:rPr>
          <w:rFonts w:hint="eastAsia" w:ascii="方正仿宋_GBK" w:hAnsi="方正仿宋_GBK" w:eastAsia="方正仿宋_GBK" w:cs="方正仿宋_GBK"/>
          <w:b w:val="0"/>
          <w:bCs/>
          <w:color w:val="auto"/>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（十）项目支出：</w:t>
      </w:r>
      <w:r>
        <w:rPr>
          <w:rFonts w:hint="eastAsia" w:ascii="方正仿宋_GBK" w:hAnsi="方正仿宋_GBK" w:eastAsia="方正仿宋_GBK" w:cs="方正仿宋_GBK"/>
          <w:b w:val="0"/>
          <w:bCs/>
          <w:color w:val="auto"/>
          <w:sz w:val="32"/>
          <w:szCs w:val="32"/>
          <w:highlight w:val="none"/>
          <w:shd w:val="clear" w:fill="FFFFFF"/>
        </w:rP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（十一）经营支出：</w:t>
      </w:r>
      <w:r>
        <w:rPr>
          <w:rFonts w:hint="eastAsia" w:ascii="方正仿宋_GBK" w:hAnsi="方正仿宋_GBK" w:eastAsia="方正仿宋_GBK" w:cs="方正仿宋_GBK"/>
          <w:b w:val="0"/>
          <w:bCs/>
          <w:color w:val="auto"/>
          <w:sz w:val="32"/>
          <w:szCs w:val="32"/>
          <w:highlight w:val="none"/>
          <w:shd w:val="clear" w:fill="FFFFFF"/>
        </w:rP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（十二）“三公”经费：</w:t>
      </w:r>
      <w:r>
        <w:rPr>
          <w:rFonts w:hint="eastAsia" w:ascii="方正仿宋_GBK" w:hAnsi="方正仿宋_GBK" w:eastAsia="方正仿宋_GBK" w:cs="方正仿宋_GBK"/>
          <w:b w:val="0"/>
          <w:bCs/>
          <w:color w:val="auto"/>
          <w:sz w:val="32"/>
          <w:szCs w:val="32"/>
          <w:highlight w:val="none"/>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（十三）机关运行经费：</w:t>
      </w:r>
      <w:r>
        <w:rPr>
          <w:rFonts w:hint="eastAsia" w:ascii="方正仿宋_GBK" w:hAnsi="方正仿宋_GBK" w:eastAsia="方正仿宋_GBK" w:cs="方正仿宋_GBK"/>
          <w:b w:val="0"/>
          <w:bCs/>
          <w:color w:val="auto"/>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（十四）工资福利支出（支出经济分类科目类级）：</w:t>
      </w:r>
      <w:r>
        <w:rPr>
          <w:rFonts w:hint="eastAsia" w:ascii="方正仿宋_GBK" w:hAnsi="方正仿宋_GBK" w:eastAsia="方正仿宋_GBK" w:cs="方正仿宋_GBK"/>
          <w:b w:val="0"/>
          <w:bCs/>
          <w:color w:val="auto"/>
          <w:sz w:val="32"/>
          <w:szCs w:val="32"/>
          <w:highlight w:val="none"/>
          <w:shd w:val="clear" w:fill="FFFFFF"/>
        </w:rPr>
        <w:t>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（十五）商品和服务支出（支出经济分类科目类级）：</w:t>
      </w:r>
      <w:r>
        <w:rPr>
          <w:rFonts w:hint="eastAsia" w:ascii="方正仿宋_GBK" w:hAnsi="方正仿宋_GBK" w:eastAsia="方正仿宋_GBK" w:cs="方正仿宋_GBK"/>
          <w:b w:val="0"/>
          <w:bCs/>
          <w:color w:val="auto"/>
          <w:sz w:val="32"/>
          <w:szCs w:val="32"/>
          <w:highlight w:val="none"/>
          <w:shd w:val="clear" w:fill="FFFFFF"/>
        </w:rP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（十六）对个人和家庭的补助（支出经济分类科目类级）：</w:t>
      </w:r>
      <w:r>
        <w:rPr>
          <w:rFonts w:hint="eastAsia" w:ascii="方正仿宋_GBK" w:hAnsi="方正仿宋_GBK" w:eastAsia="方正仿宋_GBK" w:cs="方正仿宋_GBK"/>
          <w:b w:val="0"/>
          <w:bCs/>
          <w:color w:val="auto"/>
          <w:sz w:val="32"/>
          <w:szCs w:val="32"/>
          <w:highlight w:val="none"/>
          <w:shd w:val="clear" w:fill="FFFFFF"/>
        </w:rPr>
        <w:t>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（十七）其他资本性支出（支出经济分类科目类级）：</w:t>
      </w:r>
      <w:r>
        <w:rPr>
          <w:rFonts w:hint="eastAsia" w:ascii="方正仿宋_GBK" w:hAnsi="方正仿宋_GBK" w:eastAsia="方正仿宋_GBK" w:cs="方正仿宋_GBK"/>
          <w:b w:val="0"/>
          <w:bCs/>
          <w:color w:val="auto"/>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七、决算公开联系方式及信息反馈渠道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shd w:val="clear" w:fill="FFFFFF"/>
        </w:rPr>
        <w:t>本单位决算公开信息反馈和联系方式：</w:t>
      </w:r>
      <w:r>
        <w:rPr>
          <w:rFonts w:hint="eastAsia" w:ascii="方正仿宋_GBK" w:hAnsi="方正仿宋_GBK" w:eastAsia="方正仿宋_GBK" w:cs="方正仿宋_GBK"/>
          <w:b w:val="0"/>
          <w:bCs/>
          <w:color w:val="auto"/>
          <w:sz w:val="32"/>
          <w:szCs w:val="32"/>
          <w:highlight w:val="none"/>
          <w:shd w:val="clear" w:fill="FFFFFF"/>
          <w:lang w:eastAsia="zh-CN"/>
        </w:rPr>
        <w:t>黎同志</w:t>
      </w:r>
      <w:r>
        <w:rPr>
          <w:rFonts w:hint="eastAsia" w:ascii="方正仿宋_GBK" w:hAnsi="方正仿宋_GBK" w:eastAsia="方正仿宋_GBK" w:cs="方正仿宋_GBK"/>
          <w:b w:val="0"/>
          <w:bCs/>
          <w:color w:val="auto"/>
          <w:sz w:val="32"/>
          <w:szCs w:val="32"/>
          <w:highlight w:val="none"/>
          <w:shd w:val="clear" w:fill="FFFFFF"/>
          <w:lang w:val="en-US" w:eastAsia="zh-CN"/>
        </w:rPr>
        <w:t xml:space="preserve"> 72865345</w:t>
      </w:r>
    </w:p>
    <w:sectPr>
      <w:pgSz w:w="11915" w:h="16851"/>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0164A"/>
    <w:rsid w:val="01E50D53"/>
    <w:rsid w:val="071162E5"/>
    <w:rsid w:val="09771935"/>
    <w:rsid w:val="0D0A7352"/>
    <w:rsid w:val="0F3741EA"/>
    <w:rsid w:val="0FD664E4"/>
    <w:rsid w:val="151F47C6"/>
    <w:rsid w:val="15702C7A"/>
    <w:rsid w:val="19A81BF8"/>
    <w:rsid w:val="246771DF"/>
    <w:rsid w:val="2830164A"/>
    <w:rsid w:val="2C7676E4"/>
    <w:rsid w:val="328E294D"/>
    <w:rsid w:val="369938DF"/>
    <w:rsid w:val="36F27C2A"/>
    <w:rsid w:val="37074DD7"/>
    <w:rsid w:val="3EEC2D9B"/>
    <w:rsid w:val="406F1488"/>
    <w:rsid w:val="47423E92"/>
    <w:rsid w:val="485A7E95"/>
    <w:rsid w:val="49E756E1"/>
    <w:rsid w:val="5ABC2259"/>
    <w:rsid w:val="5C5B0B6B"/>
    <w:rsid w:val="653B1E64"/>
    <w:rsid w:val="67437875"/>
    <w:rsid w:val="6ED6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3753</Words>
  <Characters>4103</Characters>
  <Lines>0</Lines>
  <Paragraphs>0</Paragraphs>
  <TotalTime>28</TotalTime>
  <ScaleCrop>false</ScaleCrop>
  <LinksUpToDate>false</LinksUpToDate>
  <CharactersWithSpaces>4104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2023-09-19T03:12:00Z</dcterms:created>
  <dc:creator>Administrator</dc:creator>
  <cp:lastModifiedBy>Administrator</cp:lastModifiedBy>
  <dcterms:modified xsi:type="dcterms:W3CDTF">2023-09-20T01:57:55Z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E3446C80B51D4B2AB44A43759C5A7AFC</vt:lpwstr>
  </property>
</Properties>
</file>