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涪陵区荔枝街道办事处202</w:t>
      </w:r>
      <w:r>
        <w:rPr>
          <w:rFonts w:hint="eastAsia" w:ascii="方正小标宋_GBK" w:eastAsia="方正小标宋_GBK"/>
          <w:color w:val="000000"/>
          <w:sz w:val="44"/>
          <w:szCs w:val="44"/>
          <w:lang w:val="en-US" w:eastAsia="zh-CN"/>
        </w:rPr>
        <w:t>3</w:t>
      </w:r>
      <w:r>
        <w:rPr>
          <w:rFonts w:hint="eastAsia" w:ascii="方正小标宋_GBK" w:eastAsia="方正小标宋_GBK"/>
          <w:color w:val="000000"/>
          <w:sz w:val="44"/>
          <w:szCs w:val="44"/>
        </w:rPr>
        <w:t>年预算</w:t>
      </w:r>
    </w:p>
    <w:p>
      <w:pPr>
        <w:snapToGrid w:val="0"/>
        <w:spacing w:line="68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执行情况和202</w:t>
      </w:r>
      <w:r>
        <w:rPr>
          <w:rFonts w:hint="eastAsia" w:ascii="方正小标宋_GBK" w:eastAsia="方正小标宋_GBK"/>
          <w:color w:val="000000"/>
          <w:sz w:val="44"/>
          <w:szCs w:val="44"/>
          <w:lang w:val="en-US" w:eastAsia="zh-CN"/>
        </w:rPr>
        <w:t>4</w:t>
      </w:r>
      <w:r>
        <w:rPr>
          <w:rFonts w:hint="eastAsia" w:ascii="方正小标宋_GBK" w:eastAsia="方正小标宋_GBK"/>
          <w:color w:val="000000"/>
          <w:sz w:val="44"/>
          <w:szCs w:val="44"/>
        </w:rPr>
        <w:t>年预算草案的报告</w:t>
      </w:r>
    </w:p>
    <w:p>
      <w:pPr>
        <w:rPr>
          <w:rFonts w:hint="eastAsia" w:hAnsi="Calibri"/>
          <w:color w:val="000000"/>
          <w:lang w:eastAsia="zh-CN"/>
        </w:rPr>
      </w:pPr>
    </w:p>
    <w:p>
      <w:pPr>
        <w:rPr>
          <w:color w:val="000000"/>
        </w:rPr>
      </w:pPr>
      <w:r>
        <w:rPr>
          <w:rFonts w:hint="eastAsia" w:hAnsi="Calibri"/>
          <w:color w:val="000000"/>
          <w:lang w:eastAsia="zh-CN"/>
        </w:rPr>
        <w:t>尊敬的</w:t>
      </w:r>
      <w:r>
        <w:rPr>
          <w:rFonts w:hint="eastAsia" w:hAnsi="Calibri"/>
          <w:color w:val="000000"/>
          <w:highlight w:val="none"/>
        </w:rPr>
        <w:t>各位代表</w:t>
      </w:r>
      <w:r>
        <w:rPr>
          <w:rFonts w:hint="eastAsia"/>
          <w:color w:val="000000"/>
          <w:highlight w:val="none"/>
        </w:rPr>
        <w:t>:</w:t>
      </w:r>
    </w:p>
    <w:p>
      <w:pPr>
        <w:ind w:firstLine="632" w:firstLineChars="200"/>
        <w:rPr>
          <w:rFonts w:hint="eastAsia"/>
          <w:color w:val="000000"/>
          <w:highlight w:val="yellow"/>
        </w:rPr>
      </w:pPr>
      <w:r>
        <w:rPr>
          <w:rFonts w:hint="eastAsia"/>
          <w:color w:val="000000"/>
        </w:rPr>
        <w:t>根据人大</w:t>
      </w:r>
      <w:r>
        <w:rPr>
          <w:rFonts w:hint="eastAsia"/>
          <w:color w:val="000000"/>
          <w:lang w:eastAsia="zh-CN"/>
        </w:rPr>
        <w:t>荔枝</w:t>
      </w:r>
      <w:r>
        <w:rPr>
          <w:rFonts w:hint="eastAsia"/>
          <w:color w:val="000000"/>
        </w:rPr>
        <w:t>街</w:t>
      </w:r>
      <w:r>
        <w:rPr>
          <w:rFonts w:hint="eastAsia"/>
          <w:color w:val="000000"/>
          <w:highlight w:val="none"/>
        </w:rPr>
        <w:t>道工委工作安排</w:t>
      </w:r>
      <w:r>
        <w:rPr>
          <w:rFonts w:hint="eastAsia"/>
          <w:color w:val="000000"/>
          <w:highlight w:val="none"/>
          <w:lang w:eastAsia="zh-CN"/>
        </w:rPr>
        <w:t>，</w:t>
      </w:r>
      <w:r>
        <w:rPr>
          <w:rFonts w:hint="eastAsia"/>
          <w:color w:val="000000"/>
          <w:highlight w:val="none"/>
        </w:rPr>
        <w:t>现将202</w:t>
      </w:r>
      <w:r>
        <w:rPr>
          <w:rFonts w:hint="eastAsia"/>
          <w:color w:val="000000"/>
          <w:highlight w:val="none"/>
          <w:lang w:val="en-US" w:eastAsia="zh-CN"/>
        </w:rPr>
        <w:t>3</w:t>
      </w:r>
      <w:r>
        <w:rPr>
          <w:rFonts w:hint="eastAsia"/>
          <w:color w:val="000000"/>
          <w:highlight w:val="none"/>
        </w:rPr>
        <w:t>年预算执行情况和202</w:t>
      </w:r>
      <w:r>
        <w:rPr>
          <w:rFonts w:hint="eastAsia"/>
          <w:color w:val="000000"/>
          <w:highlight w:val="none"/>
          <w:lang w:val="en-US" w:eastAsia="zh-CN"/>
        </w:rPr>
        <w:t>4</w:t>
      </w:r>
      <w:r>
        <w:rPr>
          <w:rFonts w:hint="eastAsia"/>
          <w:color w:val="000000"/>
          <w:highlight w:val="none"/>
        </w:rPr>
        <w:t>年预算草案作如下报告</w:t>
      </w:r>
      <w:r>
        <w:rPr>
          <w:rFonts w:hint="eastAsia"/>
          <w:color w:val="000000"/>
          <w:highlight w:val="none"/>
          <w:lang w:eastAsia="zh-CN"/>
        </w:rPr>
        <w:t>，</w:t>
      </w:r>
      <w:r>
        <w:rPr>
          <w:rFonts w:hint="eastAsia"/>
          <w:color w:val="000000"/>
          <w:highlight w:val="none"/>
        </w:rPr>
        <w:t>请各位</w:t>
      </w:r>
      <w:r>
        <w:rPr>
          <w:rFonts w:hint="eastAsia"/>
          <w:color w:val="000000"/>
          <w:highlight w:val="none"/>
          <w:lang w:eastAsia="zh-CN"/>
        </w:rPr>
        <w:t>代表</w:t>
      </w:r>
      <w:r>
        <w:rPr>
          <w:rFonts w:hint="eastAsia"/>
          <w:color w:val="000000"/>
          <w:highlight w:val="none"/>
        </w:rPr>
        <w:t>提出意见。</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黑体" w:hAnsi="黑体" w:eastAsia="黑体"/>
          <w:color w:val="000000"/>
        </w:rPr>
      </w:pPr>
      <w:r>
        <w:rPr>
          <w:rFonts w:hint="eastAsia" w:ascii="方正黑体_GBK" w:eastAsia="方正黑体_GBK"/>
          <w:color w:val="000000"/>
        </w:rPr>
        <w:t>一、</w:t>
      </w:r>
      <w:r>
        <w:rPr>
          <w:rFonts w:hint="eastAsia" w:ascii="黑体" w:hAnsi="黑体" w:eastAsia="黑体"/>
          <w:color w:val="000000"/>
        </w:rPr>
        <w:t>202</w:t>
      </w:r>
      <w:r>
        <w:rPr>
          <w:rFonts w:hint="eastAsia" w:ascii="黑体" w:hAnsi="黑体" w:eastAsia="黑体"/>
          <w:color w:val="000000"/>
          <w:lang w:val="en-US" w:eastAsia="zh-CN"/>
        </w:rPr>
        <w:t>3</w:t>
      </w:r>
      <w:r>
        <w:rPr>
          <w:rFonts w:hint="eastAsia" w:ascii="黑体" w:hAnsi="黑体" w:eastAsia="黑体"/>
          <w:color w:val="000000"/>
        </w:rPr>
        <w:t>年财政工作情况</w:t>
      </w:r>
    </w:p>
    <w:p>
      <w:pPr>
        <w:keepNext w:val="0"/>
        <w:keepLines w:val="0"/>
        <w:pageBreakBefore w:val="0"/>
        <w:widowControl w:val="0"/>
        <w:kinsoku/>
        <w:wordWrap/>
        <w:overflowPunct/>
        <w:topLinePunct w:val="0"/>
        <w:autoSpaceDE/>
        <w:autoSpaceDN/>
        <w:bidi w:val="0"/>
        <w:adjustRightInd/>
        <w:spacing w:line="520" w:lineRule="exact"/>
        <w:ind w:left="0" w:leftChars="0" w:firstLine="632" w:firstLineChars="200"/>
        <w:textAlignment w:val="auto"/>
        <w:rPr>
          <w:rFonts w:hint="eastAsia" w:hAnsi="方正仿宋_GBK" w:cs="方正仿宋_GBK"/>
          <w:b w:val="0"/>
          <w:bCs w:val="0"/>
          <w:color w:val="000000"/>
          <w:sz w:val="32"/>
          <w:szCs w:val="32"/>
          <w:lang w:val="en-US" w:eastAsia="zh-CN"/>
        </w:rPr>
      </w:pPr>
      <w:r>
        <w:rPr>
          <w:rFonts w:hint="eastAsia" w:hAnsi="方正仿宋_GBK" w:cs="方正仿宋_GBK"/>
          <w:b w:val="0"/>
          <w:bCs w:val="0"/>
          <w:sz w:val="32"/>
          <w:szCs w:val="32"/>
          <w:lang w:val="en-US" w:eastAsia="zh-CN"/>
        </w:rPr>
        <w:t>2023年是全面贯彻党的二十大精神的开局之年，街道坚持以习近平新时代中国特色社会主义思想为指导，坚持稳中求进</w:t>
      </w:r>
      <w:r>
        <w:rPr>
          <w:rFonts w:hint="eastAsia" w:ascii="方正仿宋_GBK" w:hAnsi="方正仿宋_GBK" w:eastAsia="方正仿宋_GBK" w:cs="方正仿宋_GBK"/>
          <w:b w:val="0"/>
          <w:bCs w:val="0"/>
          <w:sz w:val="32"/>
          <w:szCs w:val="32"/>
          <w:lang w:val="en-US" w:eastAsia="zh-CN"/>
        </w:rPr>
        <w:t>工作总基调，</w:t>
      </w:r>
      <w:r>
        <w:rPr>
          <w:rFonts w:hint="eastAsia" w:hAnsi="方正仿宋_GBK" w:cs="方正仿宋_GBK"/>
          <w:b w:val="0"/>
          <w:bCs w:val="0"/>
          <w:sz w:val="32"/>
          <w:szCs w:val="32"/>
          <w:lang w:val="en-US" w:eastAsia="zh-CN"/>
        </w:rPr>
        <w:t>完整、准确、全面贯彻新发展理念，加快融入新发展格局，着力推动高质量发展，更好的统筹发展和安全，有力推动街道经济持续恢复、稳中向好。一是</w:t>
      </w:r>
      <w:r>
        <w:rPr>
          <w:rFonts w:hint="eastAsia" w:ascii="方正仿宋_GBK" w:hAnsi="方正仿宋_GBK" w:eastAsia="方正仿宋_GBK" w:cs="方正仿宋_GBK"/>
          <w:b w:val="0"/>
          <w:bCs w:val="0"/>
          <w:sz w:val="32"/>
          <w:szCs w:val="32"/>
          <w:lang w:val="en-US" w:eastAsia="zh-CN"/>
        </w:rPr>
        <w:t>抓</w:t>
      </w:r>
      <w:r>
        <w:rPr>
          <w:rFonts w:hint="eastAsia" w:hAnsi="方正仿宋_GBK" w:cs="方正仿宋_GBK"/>
          <w:b w:val="0"/>
          <w:bCs w:val="0"/>
          <w:sz w:val="32"/>
          <w:szCs w:val="32"/>
          <w:lang w:val="en-US" w:eastAsia="zh-CN"/>
        </w:rPr>
        <w:t>收入促平衡</w:t>
      </w:r>
      <w:r>
        <w:rPr>
          <w:rFonts w:hint="eastAsia" w:ascii="方正仿宋_GBK" w:hAnsi="方正仿宋_GBK" w:eastAsia="方正仿宋_GBK" w:cs="方正仿宋_GBK"/>
          <w:b w:val="0"/>
          <w:bCs w:val="0"/>
          <w:sz w:val="32"/>
          <w:szCs w:val="32"/>
          <w:lang w:val="en-US" w:eastAsia="zh-CN"/>
        </w:rPr>
        <w:t>，</w:t>
      </w:r>
      <w:r>
        <w:rPr>
          <w:rFonts w:hint="eastAsia" w:hAnsi="方正仿宋_GBK" w:cs="方正仿宋_GBK"/>
          <w:b w:val="0"/>
          <w:bCs w:val="0"/>
          <w:sz w:val="32"/>
          <w:szCs w:val="32"/>
          <w:lang w:val="en-US" w:eastAsia="zh-CN"/>
        </w:rPr>
        <w:t>严格落实减税降费支持政策，助企纾</w:t>
      </w:r>
      <w:bookmarkStart w:id="0" w:name="_GoBack"/>
      <w:bookmarkEnd w:id="0"/>
      <w:r>
        <w:rPr>
          <w:rFonts w:hint="eastAsia" w:hAnsi="方正仿宋_GBK" w:cs="方正仿宋_GBK"/>
          <w:b w:val="0"/>
          <w:bCs w:val="0"/>
          <w:sz w:val="32"/>
          <w:szCs w:val="32"/>
          <w:lang w:val="en-US" w:eastAsia="zh-CN"/>
        </w:rPr>
        <w:t>困解难，支持市场主体高质量发展</w:t>
      </w:r>
      <w:r>
        <w:rPr>
          <w:rFonts w:hint="eastAsia" w:hAnsi="方正仿宋_GBK" w:cs="方正仿宋_GBK"/>
          <w:b w:val="0"/>
          <w:bCs w:val="0"/>
          <w:sz w:val="32"/>
          <w:szCs w:val="32"/>
          <w:highlight w:val="none"/>
          <w:lang w:val="en-US" w:eastAsia="zh-CN"/>
        </w:rPr>
        <w:t>；二是抓支出保重点</w:t>
      </w:r>
      <w:r>
        <w:rPr>
          <w:rFonts w:hint="eastAsia" w:ascii="方正仿宋_GBK" w:hAnsi="方正仿宋_GBK" w:eastAsia="方正仿宋_GBK" w:cs="方正仿宋_GBK"/>
          <w:b w:val="0"/>
          <w:bCs w:val="0"/>
          <w:sz w:val="32"/>
          <w:szCs w:val="32"/>
          <w:highlight w:val="none"/>
          <w:lang w:val="en-US" w:eastAsia="zh-CN"/>
        </w:rPr>
        <w:t>，</w:t>
      </w:r>
      <w:r>
        <w:rPr>
          <w:rFonts w:hint="eastAsia" w:hAnsi="方正仿宋_GBK" w:cs="方正仿宋_GBK"/>
          <w:b w:val="0"/>
          <w:bCs w:val="0"/>
          <w:sz w:val="32"/>
          <w:szCs w:val="32"/>
          <w:highlight w:val="none"/>
          <w:lang w:val="en-US" w:eastAsia="zh-CN"/>
        </w:rPr>
        <w:t>加强财政资源统筹，适度扩大基层治理、城市管理、村社组织、群众文化等领域的财政支出规模，公共服务均衡发展，社会治理效能有力提升；三是抓管理防风险</w:t>
      </w:r>
      <w:r>
        <w:rPr>
          <w:rFonts w:hint="eastAsia" w:ascii="方正仿宋_GBK" w:hAnsi="方正仿宋_GBK" w:eastAsia="方正仿宋_GBK" w:cs="方正仿宋_GBK"/>
          <w:b w:val="0"/>
          <w:bCs w:val="0"/>
          <w:sz w:val="32"/>
          <w:szCs w:val="32"/>
          <w:highlight w:val="none"/>
          <w:lang w:val="en-US" w:eastAsia="zh-CN"/>
        </w:rPr>
        <w:t>，认真落实“三保”工作的重要决策部署，兜牢“三保”底线，</w:t>
      </w:r>
      <w:r>
        <w:rPr>
          <w:rFonts w:hint="eastAsia" w:ascii="方正仿宋_GBK" w:hAnsi="方正仿宋_GBK" w:eastAsia="方正仿宋_GBK" w:cs="方正仿宋_GBK"/>
          <w:b w:val="0"/>
          <w:bCs w:val="0"/>
          <w:sz w:val="32"/>
          <w:szCs w:val="32"/>
          <w:lang w:val="en-US" w:eastAsia="zh-CN"/>
        </w:rPr>
        <w:t>扎实做好“六稳”工作、落实“六保”任务</w:t>
      </w:r>
      <w:r>
        <w:rPr>
          <w:rFonts w:hint="eastAsia"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坚决遏制新增政府隐性债务</w:t>
      </w:r>
      <w:r>
        <w:rPr>
          <w:rFonts w:hint="eastAsia" w:hAnsi="方正仿宋_GBK" w:cs="方正仿宋_GBK"/>
          <w:b w:val="0"/>
          <w:bCs w:val="0"/>
          <w:sz w:val="32"/>
          <w:szCs w:val="32"/>
          <w:highlight w:val="none"/>
          <w:lang w:val="en-US" w:eastAsia="zh-CN"/>
        </w:rPr>
        <w:t>，持续化解存量，确保基层财政平稳运行；四是抓改革提能效</w:t>
      </w:r>
      <w:r>
        <w:rPr>
          <w:rFonts w:hint="eastAsia" w:ascii="方正仿宋_GBK" w:hAnsi="方正仿宋_GBK" w:eastAsia="方正仿宋_GBK" w:cs="方正仿宋_GBK"/>
          <w:b w:val="0"/>
          <w:bCs w:val="0"/>
          <w:sz w:val="32"/>
          <w:szCs w:val="32"/>
          <w:highlight w:val="none"/>
          <w:lang w:val="en-US" w:eastAsia="zh-CN"/>
        </w:rPr>
        <w:t>，</w:t>
      </w:r>
      <w:r>
        <w:rPr>
          <w:rFonts w:hint="eastAsia" w:hAnsi="方正仿宋_GBK" w:cs="方正仿宋_GBK"/>
          <w:b w:val="0"/>
          <w:bCs w:val="0"/>
          <w:sz w:val="32"/>
          <w:szCs w:val="32"/>
          <w:highlight w:val="none"/>
          <w:lang w:val="en-US" w:eastAsia="zh-CN"/>
        </w:rPr>
        <w:t>全面实施预算绩效管理，</w:t>
      </w:r>
      <w:r>
        <w:rPr>
          <w:rFonts w:hint="eastAsia" w:ascii="方正仿宋_GBK" w:hAnsi="方正仿宋_GBK" w:eastAsia="方正仿宋_GBK" w:cs="方正仿宋_GBK"/>
          <w:b w:val="0"/>
          <w:bCs w:val="0"/>
          <w:sz w:val="32"/>
          <w:szCs w:val="32"/>
          <w:highlight w:val="none"/>
          <w:lang w:val="en-US" w:eastAsia="zh-CN"/>
        </w:rPr>
        <w:t>预决算信息应公开尽公开，</w:t>
      </w:r>
      <w:r>
        <w:rPr>
          <w:rFonts w:hint="eastAsia" w:hAnsi="方正仿宋_GBK" w:cs="方正仿宋_GBK"/>
          <w:b w:val="0"/>
          <w:bCs w:val="0"/>
          <w:sz w:val="32"/>
          <w:szCs w:val="32"/>
          <w:highlight w:val="none"/>
          <w:lang w:val="en-US" w:eastAsia="zh-CN"/>
        </w:rPr>
        <w:t>梳理完善财务管理制度，强化国有资产管理，</w:t>
      </w:r>
      <w:r>
        <w:rPr>
          <w:rFonts w:hint="eastAsia" w:ascii="方正仿宋_GBK" w:hAnsi="方正仿宋_GBK" w:eastAsia="方正仿宋_GBK" w:cs="方正仿宋_GBK"/>
          <w:b w:val="0"/>
          <w:bCs w:val="0"/>
          <w:sz w:val="32"/>
          <w:szCs w:val="32"/>
        </w:rPr>
        <w:t>财政</w:t>
      </w:r>
      <w:r>
        <w:rPr>
          <w:rFonts w:hint="eastAsia" w:hAnsi="方正仿宋_GBK" w:cs="方正仿宋_GBK"/>
          <w:b w:val="0"/>
          <w:bCs w:val="0"/>
          <w:sz w:val="32"/>
          <w:szCs w:val="32"/>
          <w:lang w:eastAsia="zh-CN"/>
        </w:rPr>
        <w:t>管理</w:t>
      </w:r>
      <w:r>
        <w:rPr>
          <w:rFonts w:hint="eastAsia" w:ascii="方正仿宋_GBK" w:hAnsi="方正仿宋_GBK" w:eastAsia="方正仿宋_GBK" w:cs="方正仿宋_GBK"/>
          <w:b w:val="0"/>
          <w:bCs w:val="0"/>
          <w:sz w:val="32"/>
          <w:szCs w:val="32"/>
          <w:highlight w:val="none"/>
        </w:rPr>
        <w:t>水平进一步</w:t>
      </w:r>
      <w:r>
        <w:rPr>
          <w:rFonts w:hint="eastAsia" w:hAnsi="方正仿宋_GBK" w:cs="方正仿宋_GBK"/>
          <w:b w:val="0"/>
          <w:bCs w:val="0"/>
          <w:sz w:val="32"/>
          <w:szCs w:val="32"/>
          <w:highlight w:val="none"/>
          <w:lang w:eastAsia="zh-CN"/>
        </w:rPr>
        <w:t>提高。</w:t>
      </w:r>
      <w:r>
        <w:rPr>
          <w:rFonts w:hint="eastAsia" w:ascii="方正仿宋_GBK" w:hAnsi="方正仿宋_GBK" w:eastAsia="方正仿宋_GBK" w:cs="方正仿宋_GBK"/>
          <w:b w:val="0"/>
          <w:bCs w:val="0"/>
          <w:sz w:val="32"/>
          <w:szCs w:val="32"/>
          <w:highlight w:val="none"/>
          <w:lang w:val="en-US" w:eastAsia="zh-CN"/>
        </w:rPr>
        <w:t>在街道党</w:t>
      </w:r>
      <w:r>
        <w:rPr>
          <w:rFonts w:hint="eastAsia" w:ascii="方正仿宋_GBK" w:hAnsi="方正仿宋_GBK" w:eastAsia="方正仿宋_GBK" w:cs="方正仿宋_GBK"/>
          <w:b w:val="0"/>
          <w:bCs w:val="0"/>
          <w:sz w:val="32"/>
          <w:szCs w:val="32"/>
          <w:lang w:val="en-US" w:eastAsia="zh-CN"/>
        </w:rPr>
        <w:t>工委的正确领导下，在街道各部门的共同努力下，</w:t>
      </w:r>
      <w:r>
        <w:rPr>
          <w:rFonts w:hint="eastAsia" w:hAnsi="方正仿宋_GBK" w:cs="方正仿宋_GBK"/>
          <w:b w:val="0"/>
          <w:bCs w:val="0"/>
          <w:sz w:val="32"/>
          <w:szCs w:val="32"/>
          <w:lang w:val="en-US" w:eastAsia="zh-CN"/>
        </w:rPr>
        <w:t>依法理财、科学理财、为民理财，</w:t>
      </w:r>
      <w:r>
        <w:rPr>
          <w:rFonts w:hint="eastAsia" w:ascii="方正仿宋_GBK" w:hAnsi="方正仿宋_GBK" w:eastAsia="方正仿宋_GBK" w:cs="方正仿宋_GBK"/>
          <w:b w:val="0"/>
          <w:bCs w:val="0"/>
          <w:sz w:val="32"/>
          <w:szCs w:val="32"/>
          <w:lang w:val="en-US" w:eastAsia="zh-CN"/>
        </w:rPr>
        <w:t>为</w:t>
      </w:r>
      <w:r>
        <w:rPr>
          <w:rFonts w:hint="eastAsia" w:hAnsi="方正仿宋_GBK" w:cs="方正仿宋_GBK"/>
          <w:b w:val="0"/>
          <w:bCs w:val="0"/>
          <w:sz w:val="32"/>
          <w:szCs w:val="32"/>
          <w:lang w:val="en-US" w:eastAsia="zh-CN"/>
        </w:rPr>
        <w:t>街道经济稳定恢复、社会大局保持平稳</w:t>
      </w:r>
      <w:r>
        <w:rPr>
          <w:rFonts w:hint="eastAsia" w:ascii="方正仿宋_GBK" w:hAnsi="方正仿宋_GBK" w:eastAsia="方正仿宋_GBK" w:cs="方正仿宋_GBK"/>
          <w:b w:val="0"/>
          <w:bCs w:val="0"/>
          <w:sz w:val="32"/>
          <w:szCs w:val="32"/>
          <w:lang w:val="en-US" w:eastAsia="zh-CN"/>
        </w:rPr>
        <w:t>提供了财力支撑</w:t>
      </w:r>
      <w:r>
        <w:rPr>
          <w:rFonts w:hint="eastAsia" w:ascii="方正仿宋_GBK" w:hAnsi="方正仿宋_GBK" w:eastAsia="方正仿宋_GBK" w:cs="方正仿宋_GBK"/>
          <w:b w:val="0"/>
          <w:bCs w:val="0"/>
          <w:color w:val="000000"/>
          <w:sz w:val="32"/>
          <w:szCs w:val="32"/>
        </w:rPr>
        <w:t>。</w:t>
      </w:r>
      <w:r>
        <w:rPr>
          <w:rFonts w:hint="eastAsia" w:hAnsi="方正仿宋_GBK" w:cs="方正仿宋_GBK"/>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firstLine="632" w:firstLineChars="200"/>
        <w:textAlignment w:val="auto"/>
        <w:rPr>
          <w:rFonts w:hint="eastAsia" w:hAnsi="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sz w:val="32"/>
          <w:szCs w:val="32"/>
          <w:highlight w:val="none"/>
          <w:lang w:eastAsia="zh-CN"/>
        </w:rPr>
        <w:t>但是，我们也清晰的认识到，</w:t>
      </w:r>
      <w:r>
        <w:rPr>
          <w:rFonts w:hint="eastAsia" w:hAnsi="方正仿宋_GBK" w:cs="方正仿宋_GBK"/>
          <w:b w:val="0"/>
          <w:bCs w:val="0"/>
          <w:sz w:val="32"/>
          <w:szCs w:val="32"/>
          <w:highlight w:val="none"/>
          <w:lang w:eastAsia="zh-CN"/>
        </w:rPr>
        <w:t>街道可用财力有限，收支矛盾依然突出，财政运行总体仍呈现“紧平衡”特征。</w:t>
      </w:r>
      <w:r>
        <w:rPr>
          <w:rFonts w:hint="eastAsia" w:ascii="方正仿宋_GBK" w:hAnsi="方正仿宋_GBK" w:eastAsia="方正仿宋_GBK" w:cs="方正仿宋_GBK"/>
          <w:b w:val="0"/>
          <w:bCs w:val="0"/>
          <w:color w:val="000000"/>
          <w:sz w:val="32"/>
          <w:szCs w:val="32"/>
        </w:rPr>
        <w:t>对此，我们</w:t>
      </w:r>
      <w:r>
        <w:rPr>
          <w:rFonts w:hint="eastAsia" w:hAnsi="方正仿宋_GBK" w:cs="方正仿宋_GBK"/>
          <w:b w:val="0"/>
          <w:bCs w:val="0"/>
          <w:color w:val="000000"/>
          <w:sz w:val="32"/>
          <w:szCs w:val="32"/>
          <w:lang w:eastAsia="zh-CN"/>
        </w:rPr>
        <w:t>直面困难，坚定信心</w:t>
      </w:r>
      <w:r>
        <w:rPr>
          <w:rFonts w:hint="eastAsia" w:ascii="方正仿宋_GBK" w:hAnsi="方正仿宋_GBK" w:eastAsia="方正仿宋_GBK" w:cs="方正仿宋_GBK"/>
          <w:b w:val="0"/>
          <w:bCs w:val="0"/>
          <w:color w:val="000000"/>
          <w:sz w:val="32"/>
          <w:szCs w:val="32"/>
        </w:rPr>
        <w:t>，进一步统筹谋划，</w:t>
      </w:r>
      <w:r>
        <w:rPr>
          <w:rFonts w:hint="eastAsia" w:hAnsi="方正仿宋_GBK" w:cs="方正仿宋_GBK"/>
          <w:b w:val="0"/>
          <w:bCs w:val="0"/>
          <w:color w:val="000000"/>
          <w:sz w:val="32"/>
          <w:szCs w:val="32"/>
          <w:lang w:eastAsia="zh-CN"/>
        </w:rPr>
        <w:t>开源节流推动财政运行整体好转</w:t>
      </w:r>
      <w:r>
        <w:rPr>
          <w:rFonts w:hint="eastAsia" w:ascii="方正仿宋_GBK" w:hAnsi="方正仿宋_GBK" w:eastAsia="方正仿宋_GBK" w:cs="方正仿宋_GBK"/>
          <w:b w:val="0"/>
          <w:bCs w:val="0"/>
          <w:color w:val="000000"/>
          <w:sz w:val="32"/>
          <w:szCs w:val="32"/>
        </w:rPr>
        <w:t>。</w:t>
      </w:r>
    </w:p>
    <w:p>
      <w:pPr>
        <w:spacing w:line="560" w:lineRule="exact"/>
        <w:ind w:firstLine="632" w:firstLineChars="200"/>
        <w:rPr>
          <w:rFonts w:ascii="方正黑体_GBK" w:eastAsia="方正黑体_GBK"/>
          <w:color w:val="000000"/>
        </w:rPr>
      </w:pPr>
      <w:r>
        <w:rPr>
          <w:rFonts w:hint="eastAsia" w:ascii="方正黑体_GBK" w:eastAsia="方正黑体_GBK"/>
          <w:color w:val="000000"/>
          <w:lang w:eastAsia="zh-CN"/>
        </w:rPr>
        <w:t>二</w:t>
      </w:r>
      <w:r>
        <w:rPr>
          <w:rFonts w:hint="eastAsia" w:ascii="方正黑体_GBK" w:eastAsia="方正黑体_GBK"/>
          <w:color w:val="000000"/>
        </w:rPr>
        <w:t>、202</w:t>
      </w:r>
      <w:r>
        <w:rPr>
          <w:rFonts w:hint="eastAsia" w:ascii="方正黑体_GBK" w:eastAsia="方正黑体_GBK"/>
          <w:color w:val="000000"/>
          <w:lang w:val="en-US" w:eastAsia="zh-CN"/>
        </w:rPr>
        <w:t>3</w:t>
      </w:r>
      <w:r>
        <w:rPr>
          <w:rFonts w:hint="eastAsia" w:ascii="方正黑体_GBK" w:eastAsia="方正黑体_GBK"/>
          <w:color w:val="000000"/>
        </w:rPr>
        <w:t>年预算执行情况</w:t>
      </w:r>
    </w:p>
    <w:p>
      <w:pPr>
        <w:ind w:firstLine="632" w:firstLineChars="200"/>
        <w:rPr>
          <w:rFonts w:hint="eastAsia" w:ascii="方正楷体_GBK" w:eastAsia="方正楷体_GBK"/>
          <w:b/>
          <w:color w:val="000000"/>
        </w:rPr>
      </w:pPr>
      <w:r>
        <w:rPr>
          <w:rFonts w:hint="eastAsia" w:ascii="方正楷体_GBK" w:eastAsia="方正楷体_GBK"/>
          <w:b/>
          <w:color w:val="000000"/>
        </w:rPr>
        <w:t>（一）一般公共预算执行情况</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1．收入预算执行情况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rPr>
      </w:pPr>
      <w:r>
        <w:rPr>
          <w:rFonts w:hint="eastAsia"/>
          <w:color w:val="000000"/>
        </w:rPr>
        <w:t>202</w:t>
      </w:r>
      <w:r>
        <w:rPr>
          <w:rFonts w:hint="eastAsia"/>
          <w:color w:val="000000"/>
          <w:lang w:val="en-US" w:eastAsia="zh-CN"/>
        </w:rPr>
        <w:t>3</w:t>
      </w:r>
      <w:r>
        <w:rPr>
          <w:rFonts w:hint="eastAsia"/>
          <w:color w:val="000000"/>
        </w:rPr>
        <w:t>年一般公共预算收入</w:t>
      </w:r>
      <w:r>
        <w:rPr>
          <w:rFonts w:hint="eastAsia"/>
          <w:color w:val="000000"/>
          <w:lang w:val="en-US" w:eastAsia="zh-CN"/>
        </w:rPr>
        <w:t>6962</w:t>
      </w:r>
      <w:r>
        <w:rPr>
          <w:rFonts w:hint="eastAsia"/>
          <w:color w:val="000000"/>
        </w:rPr>
        <w:t>万元</w:t>
      </w:r>
      <w:r>
        <w:rPr>
          <w:rFonts w:hint="eastAsia"/>
          <w:color w:val="000000"/>
          <w:lang w:eastAsia="zh-CN"/>
        </w:rPr>
        <w:t>，</w:t>
      </w:r>
      <w:r>
        <w:rPr>
          <w:rFonts w:hint="eastAsia"/>
          <w:color w:val="000000"/>
        </w:rPr>
        <w:t>比上年</w:t>
      </w:r>
      <w:r>
        <w:rPr>
          <w:rFonts w:hint="eastAsia"/>
          <w:color w:val="000000"/>
          <w:lang w:eastAsia="zh-CN"/>
        </w:rPr>
        <w:t>减少</w:t>
      </w:r>
      <w:r>
        <w:rPr>
          <w:rFonts w:hint="eastAsia"/>
          <w:color w:val="000000"/>
          <w:lang w:val="en-US" w:eastAsia="zh-CN"/>
        </w:rPr>
        <w:t>3.8</w:t>
      </w:r>
      <w:r>
        <w:rPr>
          <w:rFonts w:hint="eastAsia"/>
          <w:color w:val="000000"/>
        </w:rPr>
        <w:t>%</w:t>
      </w:r>
      <w:r>
        <w:rPr>
          <w:rFonts w:hint="eastAsia"/>
          <w:color w:val="000000"/>
          <w:lang w:eastAsia="zh-CN"/>
        </w:rPr>
        <w:t>，完成预算的</w:t>
      </w:r>
      <w:r>
        <w:rPr>
          <w:rFonts w:hint="eastAsia"/>
          <w:color w:val="000000"/>
          <w:lang w:val="en-US" w:eastAsia="zh-CN"/>
        </w:rPr>
        <w:t>92.8%，</w:t>
      </w:r>
      <w:r>
        <w:rPr>
          <w:rFonts w:hint="eastAsia"/>
          <w:color w:val="000000"/>
        </w:rPr>
        <w:t>其中税收收入完成</w:t>
      </w:r>
      <w:r>
        <w:rPr>
          <w:rFonts w:hint="eastAsia"/>
          <w:color w:val="000000"/>
          <w:lang w:val="en-US" w:eastAsia="zh-CN"/>
        </w:rPr>
        <w:t>6952</w:t>
      </w:r>
      <w:r>
        <w:rPr>
          <w:rFonts w:hint="eastAsia"/>
          <w:color w:val="000000"/>
        </w:rPr>
        <w:t>万元</w:t>
      </w:r>
      <w:r>
        <w:rPr>
          <w:rFonts w:hint="eastAsia"/>
          <w:color w:val="000000"/>
          <w:lang w:eastAsia="zh-CN"/>
        </w:rPr>
        <w:t>，</w:t>
      </w:r>
      <w:r>
        <w:rPr>
          <w:rFonts w:hint="eastAsia"/>
          <w:color w:val="000000"/>
        </w:rPr>
        <w:t>占本级一般公共预算收入的</w:t>
      </w:r>
      <w:r>
        <w:rPr>
          <w:rFonts w:hint="eastAsia"/>
          <w:color w:val="000000"/>
          <w:lang w:val="en-US" w:eastAsia="zh-CN"/>
        </w:rPr>
        <w:t>99.8</w:t>
      </w:r>
      <w:r>
        <w:rPr>
          <w:rFonts w:hint="eastAsia"/>
          <w:color w:val="000000"/>
        </w:rPr>
        <w:t>%</w:t>
      </w:r>
      <w:r>
        <w:rPr>
          <w:rFonts w:hint="eastAsia"/>
          <w:color w:val="000000"/>
          <w:lang w:eastAsia="zh-CN"/>
        </w:rPr>
        <w:t>，</w:t>
      </w:r>
      <w:r>
        <w:rPr>
          <w:rFonts w:hint="eastAsia"/>
          <w:color w:val="000000"/>
        </w:rPr>
        <w:t>非税收入完成</w:t>
      </w:r>
      <w:r>
        <w:rPr>
          <w:rFonts w:hint="eastAsia"/>
          <w:color w:val="000000"/>
          <w:lang w:val="en-US" w:eastAsia="zh-CN"/>
        </w:rPr>
        <w:t>10</w:t>
      </w:r>
      <w:r>
        <w:rPr>
          <w:rFonts w:hint="eastAsia"/>
          <w:color w:val="000000"/>
        </w:rPr>
        <w:t>万元。</w:t>
      </w:r>
      <w:r>
        <w:rPr>
          <w:rFonts w:hint="eastAsia"/>
          <w:color w:val="000000"/>
          <w:lang w:eastAsia="zh-CN"/>
        </w:rPr>
        <w:t>街道</w:t>
      </w:r>
      <w:r>
        <w:rPr>
          <w:rFonts w:hint="eastAsia"/>
          <w:color w:val="000000"/>
        </w:rPr>
        <w:t>本级一般公共预算收入加上上级转移支付收入</w:t>
      </w:r>
      <w:r>
        <w:rPr>
          <w:rFonts w:hint="eastAsia"/>
          <w:color w:val="000000"/>
          <w:lang w:val="en-US" w:eastAsia="zh-CN"/>
        </w:rPr>
        <w:t>1353</w:t>
      </w:r>
      <w:r>
        <w:rPr>
          <w:rFonts w:hint="eastAsia"/>
          <w:color w:val="000000"/>
        </w:rPr>
        <w:t>万元后</w:t>
      </w:r>
      <w:r>
        <w:rPr>
          <w:rFonts w:hint="eastAsia"/>
          <w:color w:val="000000"/>
          <w:lang w:eastAsia="zh-CN"/>
        </w:rPr>
        <w:t>，</w:t>
      </w:r>
      <w:r>
        <w:rPr>
          <w:rFonts w:hint="eastAsia"/>
          <w:color w:val="000000"/>
        </w:rPr>
        <w:t>收入总计</w:t>
      </w:r>
      <w:r>
        <w:rPr>
          <w:rFonts w:hint="eastAsia"/>
          <w:color w:val="000000"/>
          <w:lang w:val="en-US" w:eastAsia="zh-CN"/>
        </w:rPr>
        <w:t>8315</w:t>
      </w:r>
      <w:r>
        <w:rPr>
          <w:rFonts w:hint="eastAsia"/>
          <w:color w:val="000000"/>
        </w:rPr>
        <w:t>万元。</w:t>
      </w:r>
    </w:p>
    <w:p>
      <w:pPr>
        <w:numPr>
          <w:ilvl w:val="0"/>
          <w:numId w:val="1"/>
        </w:num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支出预算执行情况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rPr>
      </w:pPr>
      <w:r>
        <w:rPr>
          <w:rFonts w:hint="eastAsia"/>
          <w:color w:val="000000"/>
          <w:lang w:val="en-US" w:eastAsia="zh-CN"/>
        </w:rPr>
        <w:t>2023年</w:t>
      </w:r>
      <w:r>
        <w:rPr>
          <w:rFonts w:hint="eastAsia"/>
          <w:color w:val="000000"/>
        </w:rPr>
        <w:t>一般公共预算支出</w:t>
      </w:r>
      <w:r>
        <w:rPr>
          <w:rFonts w:hint="eastAsia"/>
          <w:color w:val="000000"/>
          <w:lang w:val="en-US" w:eastAsia="zh-CN"/>
        </w:rPr>
        <w:t>7300</w:t>
      </w:r>
      <w:r>
        <w:rPr>
          <w:rFonts w:hint="eastAsia"/>
          <w:color w:val="000000"/>
        </w:rPr>
        <w:t>万元</w:t>
      </w:r>
      <w:r>
        <w:rPr>
          <w:rFonts w:hint="eastAsia"/>
          <w:color w:val="000000"/>
          <w:lang w:eastAsia="zh-CN"/>
        </w:rPr>
        <w:t>，增长</w:t>
      </w:r>
      <w:r>
        <w:rPr>
          <w:rFonts w:hint="eastAsia"/>
          <w:color w:val="000000"/>
          <w:lang w:val="en-US" w:eastAsia="zh-CN"/>
        </w:rPr>
        <w:t>80.6</w:t>
      </w:r>
      <w:r>
        <w:rPr>
          <w:rFonts w:hint="eastAsia"/>
          <w:color w:val="000000"/>
        </w:rPr>
        <w:t>%</w:t>
      </w:r>
      <w:r>
        <w:rPr>
          <w:rFonts w:hint="eastAsia"/>
          <w:color w:val="000000"/>
          <w:lang w:eastAsia="zh-CN"/>
        </w:rPr>
        <w:t>，完成预算的</w:t>
      </w:r>
      <w:r>
        <w:rPr>
          <w:rFonts w:hint="eastAsia"/>
          <w:color w:val="000000"/>
          <w:lang w:val="en-US" w:eastAsia="zh-CN"/>
        </w:rPr>
        <w:t>91.6%。</w:t>
      </w:r>
      <w:r>
        <w:rPr>
          <w:rFonts w:hint="eastAsia"/>
          <w:color w:val="000000"/>
        </w:rPr>
        <w:t>加上上解上级支出</w:t>
      </w:r>
      <w:r>
        <w:rPr>
          <w:rFonts w:hint="eastAsia"/>
          <w:color w:val="000000"/>
          <w:lang w:val="en-US" w:eastAsia="zh-CN"/>
        </w:rPr>
        <w:t>550</w:t>
      </w:r>
      <w:r>
        <w:rPr>
          <w:rFonts w:hint="eastAsia"/>
          <w:color w:val="000000"/>
        </w:rPr>
        <w:t>万元、结转下年</w:t>
      </w:r>
      <w:r>
        <w:rPr>
          <w:rFonts w:hint="eastAsia"/>
          <w:color w:val="000000"/>
          <w:lang w:val="en-US" w:eastAsia="zh-CN"/>
        </w:rPr>
        <w:t>465</w:t>
      </w:r>
      <w:r>
        <w:rPr>
          <w:rFonts w:hint="eastAsia"/>
          <w:color w:val="000000"/>
        </w:rPr>
        <w:t>万元后</w:t>
      </w:r>
      <w:r>
        <w:rPr>
          <w:rFonts w:hint="eastAsia"/>
          <w:color w:val="000000"/>
          <w:lang w:eastAsia="zh-CN"/>
        </w:rPr>
        <w:t>，</w:t>
      </w:r>
      <w:r>
        <w:rPr>
          <w:rFonts w:hint="eastAsia"/>
          <w:color w:val="000000"/>
        </w:rPr>
        <w:t>支出总计</w:t>
      </w:r>
      <w:r>
        <w:rPr>
          <w:rFonts w:hint="eastAsia"/>
          <w:color w:val="000000"/>
          <w:lang w:val="en-US" w:eastAsia="zh-CN"/>
        </w:rPr>
        <w:t>8315</w:t>
      </w:r>
      <w:r>
        <w:rPr>
          <w:rFonts w:hint="eastAsia"/>
          <w:color w:val="000000"/>
        </w:rPr>
        <w:t>万元。</w:t>
      </w:r>
    </w:p>
    <w:p>
      <w:pPr>
        <w:ind w:firstLine="632" w:firstLineChars="200"/>
        <w:rPr>
          <w:rFonts w:hint="eastAsia"/>
          <w:color w:val="000000"/>
        </w:rPr>
      </w:pPr>
      <w:r>
        <w:rPr>
          <w:rFonts w:hint="eastAsia"/>
          <w:color w:val="000000"/>
        </w:rPr>
        <w:t>主要支出</w:t>
      </w:r>
      <w:r>
        <w:rPr>
          <w:rFonts w:hint="eastAsia"/>
          <w:color w:val="000000"/>
          <w:lang w:eastAsia="zh-CN"/>
        </w:rPr>
        <w:t>执行</w:t>
      </w:r>
      <w:r>
        <w:rPr>
          <w:rFonts w:hint="eastAsia"/>
          <w:color w:val="000000"/>
        </w:rPr>
        <w:t>情况如下：</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eastAsia="方正仿宋_GBK"/>
          <w:color w:val="000000"/>
          <w:lang w:val="en-US" w:eastAsia="zh-CN"/>
        </w:rPr>
      </w:pPr>
      <w:r>
        <w:rPr>
          <w:rFonts w:hint="eastAsia"/>
          <w:color w:val="000000"/>
          <w:lang w:eastAsia="zh-CN"/>
        </w:rPr>
        <w:t>——</w:t>
      </w:r>
      <w:r>
        <w:rPr>
          <w:rFonts w:hint="eastAsia"/>
          <w:color w:val="000000"/>
          <w:lang w:val="en-US" w:eastAsia="zh-CN"/>
        </w:rPr>
        <w:t>一般公共服务支出执行数为3196万元，较上年增长128.3%。主要用于保障党政机关、人大等的正常运转，提升依法依章程履职能力，反映政府提供一般公共服务的支出。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国防支出3万元，主要用于基层武装部建设。</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文化旅游体育与传媒支出150万元，较上年增长44.2%。主要用于保障文化等事业支出。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lang w:val="en-US" w:eastAsia="zh-CN"/>
        </w:rPr>
      </w:pPr>
      <w:r>
        <w:rPr>
          <w:rFonts w:hint="eastAsia"/>
          <w:color w:val="000000"/>
          <w:lang w:eastAsia="zh-CN"/>
        </w:rPr>
        <w:t>——</w:t>
      </w:r>
      <w:r>
        <w:rPr>
          <w:rFonts w:hint="eastAsia"/>
          <w:color w:val="000000"/>
          <w:lang w:val="en-US" w:eastAsia="zh-CN"/>
        </w:rPr>
        <w:t>社会保障和就业支出1115万元，较上年增长17.2%。主要用于保障就业、退役军人管理、社会福利等社会保障的支出。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卫生健康支出162万元，较上年下降16.1%。主要用于保障公共卫生服务等支出。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 xml:space="preserve">节能环保支出314万元，较上年增长19.8%。主要用于环境保护管理的事业支出。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城乡社区支出795万元，较上年增长241.2%。主要用于保障城乡社区管理、市政设施维护、清扫保洁、市容环境整治等支出。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农林水支出1371万元，较上年增长104.3%。主要用于保障农业、林业、水利等事业支出。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住房保障支出194万元，较上年下降15.3%。主要用于住房公积金等支出。</w:t>
      </w:r>
    </w:p>
    <w:p>
      <w:pPr>
        <w:ind w:firstLine="632" w:firstLineChars="200"/>
        <w:rPr>
          <w:rFonts w:hint="eastAsia" w:ascii="方正楷体_GBK" w:eastAsia="方正楷体_GBK"/>
          <w:b/>
          <w:color w:val="000000"/>
        </w:rPr>
      </w:pPr>
      <w:r>
        <w:rPr>
          <w:rFonts w:hint="eastAsia" w:ascii="方正楷体_GBK" w:eastAsia="方正楷体_GBK"/>
          <w:b/>
          <w:color w:val="000000"/>
          <w:lang w:eastAsia="zh-CN"/>
        </w:rPr>
        <w:t>（二）</w:t>
      </w:r>
      <w:r>
        <w:rPr>
          <w:rFonts w:hint="eastAsia" w:ascii="方正楷体_GBK" w:eastAsia="方正楷体_GBK"/>
          <w:b/>
          <w:color w:val="000000"/>
        </w:rPr>
        <w:t>政府性基金预算执行情况</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1．收入项目执行情况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eastAsia="zh-CN"/>
        </w:rPr>
      </w:pPr>
      <w:r>
        <w:rPr>
          <w:rFonts w:hint="eastAsia"/>
          <w:color w:val="000000"/>
          <w:lang w:eastAsia="zh-CN"/>
        </w:rPr>
        <w:t>政府性基金预算收入</w:t>
      </w:r>
      <w:r>
        <w:rPr>
          <w:rFonts w:hint="eastAsia"/>
          <w:color w:val="000000"/>
          <w:lang w:val="en-US" w:eastAsia="zh-CN"/>
        </w:rPr>
        <w:t>0</w:t>
      </w:r>
      <w:r>
        <w:rPr>
          <w:rFonts w:hint="eastAsia"/>
          <w:color w:val="000000"/>
          <w:lang w:eastAsia="zh-CN"/>
        </w:rPr>
        <w:t>万元，加上上级转移支付</w:t>
      </w:r>
      <w:r>
        <w:rPr>
          <w:rFonts w:hint="eastAsia"/>
          <w:color w:val="000000"/>
          <w:lang w:val="en-US" w:eastAsia="zh-CN"/>
        </w:rPr>
        <w:t>6607</w:t>
      </w:r>
      <w:r>
        <w:rPr>
          <w:rFonts w:hint="eastAsia"/>
          <w:color w:val="000000"/>
          <w:lang w:eastAsia="zh-CN"/>
        </w:rPr>
        <w:t>万元、上年项目结转</w:t>
      </w:r>
      <w:r>
        <w:rPr>
          <w:rFonts w:hint="eastAsia"/>
          <w:color w:val="000000"/>
          <w:lang w:val="en-US" w:eastAsia="zh-CN"/>
        </w:rPr>
        <w:t>963</w:t>
      </w:r>
      <w:r>
        <w:rPr>
          <w:rFonts w:hint="eastAsia"/>
          <w:color w:val="000000"/>
          <w:lang w:eastAsia="zh-CN"/>
        </w:rPr>
        <w:t>万元后，收入总计</w:t>
      </w:r>
      <w:r>
        <w:rPr>
          <w:rFonts w:hint="eastAsia"/>
          <w:color w:val="000000"/>
          <w:lang w:val="en-US" w:eastAsia="zh-CN"/>
        </w:rPr>
        <w:t>7570</w:t>
      </w:r>
      <w:r>
        <w:rPr>
          <w:rFonts w:hint="eastAsia"/>
          <w:color w:val="000000"/>
          <w:lang w:eastAsia="zh-CN"/>
        </w:rPr>
        <w:t>万元。</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val="en-US" w:eastAsia="zh-CN"/>
        </w:rPr>
        <w:t>2</w:t>
      </w:r>
      <w:r>
        <w:rPr>
          <w:rFonts w:hint="eastAsia" w:ascii="方正楷体_GBK" w:eastAsia="方正楷体_GBK"/>
          <w:color w:val="000000"/>
          <w:lang w:eastAsia="zh-CN"/>
        </w:rPr>
        <w:t>．支出项目执行情况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eastAsia="zh-CN"/>
        </w:rPr>
      </w:pPr>
      <w:r>
        <w:rPr>
          <w:rFonts w:hint="eastAsia"/>
          <w:color w:val="000000"/>
          <w:lang w:eastAsia="zh-CN"/>
        </w:rPr>
        <w:t>政府性基金预算支出</w:t>
      </w:r>
      <w:r>
        <w:rPr>
          <w:rFonts w:hint="eastAsia"/>
          <w:color w:val="000000"/>
          <w:lang w:val="en-US" w:eastAsia="zh-CN"/>
        </w:rPr>
        <w:t>3328</w:t>
      </w:r>
      <w:r>
        <w:rPr>
          <w:rFonts w:hint="eastAsia"/>
          <w:color w:val="000000"/>
          <w:lang w:eastAsia="zh-CN"/>
        </w:rPr>
        <w:t>万元，加上结转下年项目支出</w:t>
      </w:r>
      <w:r>
        <w:rPr>
          <w:rFonts w:hint="eastAsia"/>
          <w:color w:val="000000"/>
          <w:lang w:val="en-US" w:eastAsia="zh-CN"/>
        </w:rPr>
        <w:t>4242</w:t>
      </w:r>
      <w:r>
        <w:rPr>
          <w:rFonts w:hint="eastAsia"/>
          <w:color w:val="000000"/>
          <w:lang w:eastAsia="zh-CN"/>
        </w:rPr>
        <w:t>万元后，支出总计</w:t>
      </w:r>
      <w:r>
        <w:rPr>
          <w:rFonts w:hint="eastAsia"/>
          <w:color w:val="000000"/>
          <w:lang w:val="en-US" w:eastAsia="zh-CN"/>
        </w:rPr>
        <w:t>7570</w:t>
      </w:r>
      <w:r>
        <w:rPr>
          <w:rFonts w:hint="eastAsia"/>
          <w:color w:val="000000"/>
          <w:lang w:eastAsia="zh-CN"/>
        </w:rPr>
        <w:t>万元。</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eastAsia="zh-CN"/>
        </w:rPr>
      </w:pPr>
      <w:r>
        <w:rPr>
          <w:rFonts w:hint="eastAsia"/>
          <w:color w:val="000000"/>
          <w:lang w:eastAsia="zh-CN"/>
        </w:rPr>
        <w:t>主要支出项目情况如下：</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color w:val="000000"/>
          <w:lang w:val="en-US" w:eastAsia="zh-CN"/>
        </w:rPr>
      </w:pPr>
      <w:r>
        <w:rPr>
          <w:rFonts w:hint="eastAsia"/>
          <w:color w:val="000000"/>
          <w:lang w:eastAsia="zh-CN"/>
        </w:rPr>
        <w:t>——城乡社区支出</w:t>
      </w:r>
      <w:r>
        <w:rPr>
          <w:rFonts w:hint="eastAsia"/>
          <w:color w:val="000000"/>
          <w:lang w:val="en-US" w:eastAsia="zh-CN"/>
        </w:rPr>
        <w:t>255万元，主要用于</w:t>
      </w:r>
      <w:r>
        <w:rPr>
          <w:rFonts w:hint="eastAsia"/>
          <w:color w:val="000000"/>
          <w:lang w:eastAsia="zh-CN"/>
        </w:rPr>
        <w:t>国有土地使用权出让收入安排的支出</w:t>
      </w:r>
      <w:r>
        <w:rPr>
          <w:rFonts w:hint="eastAsia"/>
          <w:color w:val="000000"/>
          <w:lang w:val="en-US" w:eastAsia="zh-CN"/>
        </w:rPr>
        <w:t>。</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eastAsia="zh-CN"/>
        </w:rPr>
      </w:pPr>
      <w:r>
        <w:rPr>
          <w:rFonts w:hint="eastAsia"/>
          <w:color w:val="000000"/>
          <w:lang w:eastAsia="zh-CN"/>
        </w:rPr>
        <w:t>——农林水支出</w:t>
      </w:r>
      <w:r>
        <w:rPr>
          <w:rFonts w:hint="eastAsia"/>
          <w:color w:val="000000"/>
          <w:lang w:val="en-US" w:eastAsia="zh-CN"/>
        </w:rPr>
        <w:t>3073</w:t>
      </w:r>
      <w:r>
        <w:rPr>
          <w:rFonts w:hint="eastAsia"/>
          <w:color w:val="000000"/>
          <w:lang w:eastAsia="zh-CN"/>
        </w:rPr>
        <w:t>万元，主要用于基础设施建设和经济发展、三峡后续工作。</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（三）国有资本经营预算执行情况</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val="en-US" w:eastAsia="zh-CN"/>
        </w:rPr>
      </w:pPr>
      <w:r>
        <w:rPr>
          <w:rFonts w:hint="eastAsia"/>
          <w:color w:val="000000"/>
          <w:lang w:val="en-US" w:eastAsia="zh-CN"/>
        </w:rPr>
        <w:t>2023年我街道无国有资本经营预算收入和支出。</w:t>
      </w:r>
    </w:p>
    <w:p>
      <w:pPr>
        <w:spacing w:line="560" w:lineRule="exact"/>
        <w:ind w:firstLine="632" w:firstLineChars="200"/>
        <w:rPr>
          <w:rFonts w:hint="eastAsia" w:ascii="方正黑体_GBK" w:eastAsia="方正黑体_GBK"/>
          <w:color w:val="000000"/>
        </w:rPr>
      </w:pPr>
      <w:r>
        <w:rPr>
          <w:rFonts w:hint="eastAsia" w:ascii="方正黑体_GBK" w:eastAsia="方正黑体_GBK"/>
          <w:color w:val="000000"/>
          <w:lang w:eastAsia="zh-CN"/>
        </w:rPr>
        <w:t>三</w:t>
      </w:r>
      <w:r>
        <w:rPr>
          <w:rFonts w:hint="eastAsia" w:ascii="方正黑体_GBK" w:eastAsia="方正黑体_GBK"/>
          <w:color w:val="000000"/>
        </w:rPr>
        <w:t>、202</w:t>
      </w:r>
      <w:r>
        <w:rPr>
          <w:rFonts w:hint="eastAsia" w:ascii="方正黑体_GBK" w:eastAsia="方正黑体_GBK"/>
          <w:color w:val="000000"/>
          <w:lang w:val="en-US" w:eastAsia="zh-CN"/>
        </w:rPr>
        <w:t>4</w:t>
      </w:r>
      <w:r>
        <w:rPr>
          <w:rFonts w:hint="eastAsia" w:ascii="方正黑体_GBK" w:eastAsia="方正黑体_GBK"/>
          <w:color w:val="000000"/>
        </w:rPr>
        <w:t>年预算草案</w:t>
      </w:r>
    </w:p>
    <w:p>
      <w:pPr>
        <w:numPr>
          <w:ilvl w:val="0"/>
          <w:numId w:val="2"/>
        </w:num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预算编制思路</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val="en-US" w:eastAsia="zh-CN"/>
        </w:rPr>
      </w:pPr>
      <w:r>
        <w:rPr>
          <w:rFonts w:hint="eastAsia"/>
          <w:color w:val="000000"/>
          <w:lang w:val="en-US" w:eastAsia="zh-CN"/>
        </w:rPr>
        <w:t>坚持尽力而为、量力而行，科学研判财政收支形势，持续落实党政机关“过紧日子”要求，按照“零基预算、有保有压”原则编制和执行2024年预算，全面加强预算管理，进一步调整优化支出结构，切实降低行政运行成本，提升财政资金使用效益，腾退财力保障“三保”等重点领域，把有限的财政资金用在刀刃上。</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（二）一般公共预算收支</w:t>
      </w:r>
    </w:p>
    <w:p>
      <w:pPr>
        <w:ind w:firstLine="632" w:firstLineChars="200"/>
        <w:rPr>
          <w:rFonts w:hint="eastAsia" w:ascii="方正楷体_GBK" w:eastAsia="方正楷体_GBK"/>
          <w:color w:val="000000"/>
          <w:lang w:val="en-US" w:eastAsia="zh-CN"/>
        </w:rPr>
      </w:pPr>
      <w:r>
        <w:rPr>
          <w:rFonts w:hint="eastAsia" w:ascii="方正楷体_GBK" w:eastAsia="方正楷体_GBK"/>
          <w:color w:val="000000"/>
          <w:lang w:val="en-US" w:eastAsia="zh-CN"/>
        </w:rPr>
        <w:t>1．收入预算安排情况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一般公共预算收入预计6070万元，下降12.8%，其中税收收入6000万元，下降13.7%，非税收入70万元，增长500%。一般公共预算收入加上上级结算补助1115万元、上年结转465万元后，收入总计7650万元。</w:t>
      </w:r>
    </w:p>
    <w:p>
      <w:pPr>
        <w:ind w:firstLine="632" w:firstLineChars="200"/>
        <w:rPr>
          <w:rFonts w:hint="eastAsia" w:ascii="方正楷体_GBK" w:eastAsia="方正楷体_GBK"/>
          <w:color w:val="000000"/>
          <w:lang w:val="en-US" w:eastAsia="zh-CN"/>
        </w:rPr>
      </w:pPr>
      <w:r>
        <w:rPr>
          <w:rFonts w:hint="eastAsia" w:ascii="方正楷体_GBK" w:eastAsia="方正楷体_GBK"/>
          <w:color w:val="000000"/>
          <w:lang w:val="en-US" w:eastAsia="zh-CN"/>
        </w:rPr>
        <w:t>2．支出预算安排情况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一般公共预算支出安排7218万元，加上上解上级支出432万元，支出总计7650万元。具体情况是：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eastAsia="方正仿宋_GBK"/>
          <w:color w:val="000000"/>
          <w:lang w:val="en-US" w:eastAsia="zh-CN"/>
        </w:rPr>
      </w:pPr>
      <w:r>
        <w:rPr>
          <w:rFonts w:hint="eastAsia"/>
          <w:color w:val="000000"/>
          <w:lang w:val="en-US" w:eastAsia="zh-CN"/>
        </w:rPr>
        <w:t>——一般公共服务支出2139万元，减少42.4%，主要用于保障党政机关、人大等的正常履行职能基本支出需要，反映政府提供一般公共服务的支出。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——文化旅游体育与传媒支出240万元，增加56.9%，主要用于保障文体事业单位正常运转。</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color w:val="000000"/>
          <w:lang w:val="en-US" w:eastAsia="zh-CN"/>
        </w:rPr>
      </w:pPr>
      <w:r>
        <w:rPr>
          <w:rFonts w:hint="eastAsia"/>
          <w:color w:val="000000"/>
          <w:lang w:val="en-US" w:eastAsia="zh-CN"/>
        </w:rPr>
        <w:t>——社会保障和就业支出1409万元，增加23.1%，主要用于社会保障和就业，落实退役军人管理、社会福利等各项社会保障政策的支出以及服务群众工作等。</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——卫生健康支出214万元，增加16.3%，主要用于保障公共卫生服务等支出。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——节能环保支出461万元，增加42.7%，主要用于保障环境保护管理的事业支出。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——城乡社区支出1719万元，增加91.2%，主要用于城市综合管理、市政设施维护、背街小巷清扫保洁等。</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highlight w:val="none"/>
          <w:lang w:val="en-US" w:eastAsia="zh-CN"/>
        </w:rPr>
      </w:pPr>
      <w:r>
        <w:rPr>
          <w:rFonts w:hint="eastAsia"/>
          <w:color w:val="000000"/>
          <w:lang w:val="en-US" w:eastAsia="zh-CN"/>
        </w:rPr>
        <w:t>——农</w:t>
      </w:r>
      <w:r>
        <w:rPr>
          <w:rFonts w:hint="eastAsia"/>
          <w:color w:val="000000"/>
          <w:highlight w:val="none"/>
          <w:lang w:val="en-US" w:eastAsia="zh-CN"/>
        </w:rPr>
        <w:t>林水事务支出721万元，减少41.3%，主要用于保障农业、林业、水利、畜牧业等的支出。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highlight w:val="none"/>
          <w:lang w:val="en-US" w:eastAsia="zh-CN"/>
        </w:rPr>
      </w:pPr>
      <w:r>
        <w:rPr>
          <w:rFonts w:hint="eastAsia"/>
          <w:color w:val="000000"/>
          <w:highlight w:val="none"/>
          <w:lang w:val="en-US" w:eastAsia="zh-CN"/>
        </w:rPr>
        <w:t>——资源勘探工业信息等支出30万元，主要用于支持中小企业发展和管理支出。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highlight w:val="none"/>
          <w:lang w:val="en-US" w:eastAsia="zh-CN"/>
        </w:rPr>
      </w:pPr>
      <w:r>
        <w:rPr>
          <w:rFonts w:hint="eastAsia"/>
          <w:color w:val="000000"/>
          <w:highlight w:val="none"/>
          <w:lang w:val="en-US" w:eastAsia="zh-CN"/>
        </w:rPr>
        <w:t>——住房保障支出217万元，减少10%，主要用于住房公积金等支出。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highlight w:val="none"/>
          <w:lang w:val="en-US" w:eastAsia="zh-CN"/>
        </w:rPr>
      </w:pPr>
      <w:r>
        <w:rPr>
          <w:rFonts w:hint="eastAsia"/>
          <w:color w:val="000000"/>
          <w:highlight w:val="none"/>
          <w:lang w:val="en-US" w:eastAsia="zh-CN"/>
        </w:rPr>
        <w:t>——预备费68万元，用于当年预算执行中的突发事件处理增加的支出及其他难以预见的开支。</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（二）政府性基金预算收支</w:t>
      </w:r>
    </w:p>
    <w:p>
      <w:pPr>
        <w:ind w:firstLine="632" w:firstLineChars="200"/>
        <w:rPr>
          <w:rFonts w:hint="eastAsia"/>
          <w:color w:val="000000"/>
          <w:lang w:val="en-US" w:eastAsia="zh-CN"/>
        </w:rPr>
      </w:pPr>
      <w:r>
        <w:rPr>
          <w:rFonts w:hint="eastAsia"/>
          <w:color w:val="000000"/>
          <w:lang w:val="en-US" w:eastAsia="zh-CN"/>
        </w:rPr>
        <w:t>2024年政府性基金收入是上年结转4242万元，支出安排4242万元，主要用于三峡移民后续项目。</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（三）国有资本经营预算收支</w:t>
      </w:r>
    </w:p>
    <w:p>
      <w:pPr>
        <w:ind w:firstLine="632" w:firstLineChars="200"/>
        <w:rPr>
          <w:rFonts w:hint="eastAsia"/>
          <w:color w:val="000000"/>
          <w:lang w:val="en-US" w:eastAsia="zh-CN"/>
        </w:rPr>
      </w:pPr>
      <w:r>
        <w:rPr>
          <w:rFonts w:hint="eastAsia"/>
          <w:color w:val="000000"/>
          <w:lang w:val="en-US" w:eastAsia="zh-CN"/>
        </w:rPr>
        <w:t>2024年我街道无国有资本经营收支预算。</w:t>
      </w:r>
    </w:p>
    <w:p>
      <w:pPr>
        <w:ind w:firstLine="632" w:firstLineChars="200"/>
        <w:rPr>
          <w:rFonts w:hint="eastAsia"/>
          <w:color w:val="000000"/>
          <w:lang w:val="en-US" w:eastAsia="zh-CN"/>
        </w:rPr>
      </w:pPr>
      <w:r>
        <w:rPr>
          <w:rFonts w:hint="eastAsia"/>
          <w:color w:val="000000"/>
          <w:lang w:val="en-US" w:eastAsia="zh-CN"/>
        </w:rPr>
        <w:t>各位代表！2024年是中华人民共和国成立75周年，是实施“十四五”规划的关键一年，是谱写现代化新重庆涪陵新篇章的重要一年，做好2024年的财政工作，意义重大、任务繁重、使命光荣！我们将更加紧密地团结在以习近平同志为核心的党中央周围，以习近平新时代中国特色社会主义思想为指导，全面贯彻党的二十大精神，在街道党工委的坚强领导下，主动接受人大的监督，认真听取意见建议，坚持稳中求进工作总基调，以政领财、以财辅政，积极发挥财政职能作用，奋力推动街道经济行稳致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jc w:val="left"/>
        <w:textAlignment w:val="auto"/>
        <w:rPr>
          <w:rFonts w:hint="eastAsia" w:ascii="方正仿宋_GBK" w:hAnsi="方正仿宋_GBK" w:eastAsia="方正仿宋_GBK" w:cs="方正仿宋_GBK"/>
          <w:color w:val="000000"/>
          <w:kern w:val="0"/>
          <w:sz w:val="32"/>
          <w:szCs w:val="32"/>
        </w:rPr>
      </w:pPr>
    </w:p>
    <w:p>
      <w:pPr>
        <w:widowControl w:val="0"/>
        <w:wordWrap/>
        <w:adjustRightInd/>
        <w:snapToGrid/>
        <w:spacing w:line="540" w:lineRule="exact"/>
        <w:ind w:left="0" w:leftChars="0" w:right="0" w:firstLine="632" w:firstLineChars="200"/>
        <w:jc w:val="left"/>
        <w:textAlignment w:val="auto"/>
        <w:outlineLvl w:val="9"/>
        <w:rPr>
          <w:rFonts w:hint="eastAsia"/>
          <w:color w:val="000000"/>
        </w:rPr>
      </w:pPr>
      <w:r>
        <w:rPr>
          <w:rFonts w:hint="eastAsia"/>
          <w:color w:val="000000"/>
        </w:rPr>
        <w:br w:type="page"/>
      </w:r>
    </w:p>
    <w:p>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名 词 解 释</w:t>
      </w:r>
    </w:p>
    <w:p>
      <w:pPr>
        <w:ind w:firstLine="632" w:firstLineChars="200"/>
        <w:rPr>
          <w:color w:val="000000"/>
        </w:rPr>
      </w:pPr>
    </w:p>
    <w:p>
      <w:pPr>
        <w:ind w:firstLine="632" w:firstLineChars="200"/>
        <w:rPr>
          <w:color w:val="000000"/>
        </w:rPr>
      </w:pPr>
      <w:r>
        <w:rPr>
          <w:rFonts w:hint="eastAsia"/>
          <w:color w:val="000000"/>
        </w:rPr>
        <w:t>1.“六</w:t>
      </w:r>
      <w:r>
        <w:rPr>
          <w:color w:val="000000"/>
        </w:rPr>
        <w:t>稳</w:t>
      </w:r>
      <w:r>
        <w:rPr>
          <w:rFonts w:hint="eastAsia"/>
          <w:color w:val="000000"/>
        </w:rPr>
        <w:t>”：</w:t>
      </w:r>
      <w:r>
        <w:rPr>
          <w:color w:val="000000"/>
        </w:rPr>
        <w:t>指稳就业、稳金融、稳外贸、稳外资、稳投资、稳预期</w:t>
      </w:r>
      <w:r>
        <w:rPr>
          <w:rFonts w:hint="eastAsia"/>
          <w:color w:val="000000"/>
        </w:rPr>
        <w:t>。</w:t>
      </w:r>
    </w:p>
    <w:p>
      <w:pPr>
        <w:ind w:firstLine="632" w:firstLineChars="200"/>
        <w:rPr>
          <w:color w:val="000000"/>
        </w:rPr>
      </w:pPr>
      <w:r>
        <w:rPr>
          <w:rFonts w:hint="eastAsia"/>
          <w:color w:val="000000"/>
        </w:rPr>
        <w:t>2.“六保”：</w:t>
      </w:r>
      <w:r>
        <w:rPr>
          <w:color w:val="000000"/>
        </w:rPr>
        <w:t>指保居民就业、保基本民生、保市场主体、保粮食能源安全、保产业链供应链稳定、保基层运转。</w:t>
      </w:r>
    </w:p>
    <w:p>
      <w:pPr>
        <w:ind w:firstLine="632" w:firstLineChars="200"/>
        <w:rPr>
          <w:color w:val="000000"/>
        </w:rPr>
      </w:pPr>
      <w:r>
        <w:rPr>
          <w:rFonts w:hint="eastAsia"/>
          <w:color w:val="000000"/>
        </w:rPr>
        <w:t>3. 三保支出：指保工资、保运转和保基本民生。</w:t>
      </w:r>
    </w:p>
    <w:p>
      <w:pPr>
        <w:ind w:firstLine="632" w:firstLineChars="200"/>
        <w:rPr>
          <w:color w:val="000000"/>
        </w:rPr>
      </w:pPr>
      <w:r>
        <w:rPr>
          <w:rFonts w:hint="eastAsia"/>
          <w:color w:val="000000"/>
          <w:lang w:val="en-US" w:eastAsia="zh-CN"/>
        </w:rPr>
        <w:t>4</w:t>
      </w:r>
      <w:r>
        <w:rPr>
          <w:rFonts w:hint="eastAsia"/>
          <w:color w:val="000000"/>
        </w:rPr>
        <w:t>. 特殊转移支付：指为贯彻党中央、国务院决策部署</w:t>
      </w:r>
      <w:r>
        <w:rPr>
          <w:rFonts w:hint="eastAsia"/>
          <w:color w:val="000000"/>
          <w:lang w:eastAsia="zh-CN"/>
        </w:rPr>
        <w:t>，</w:t>
      </w:r>
      <w:r>
        <w:rPr>
          <w:rFonts w:hint="eastAsia"/>
          <w:color w:val="000000"/>
        </w:rPr>
        <w:t>统筹推进新冠肺炎疫情防控和经济社会发展工作</w:t>
      </w:r>
      <w:r>
        <w:rPr>
          <w:rFonts w:hint="eastAsia"/>
          <w:color w:val="000000"/>
          <w:lang w:eastAsia="zh-CN"/>
        </w:rPr>
        <w:t>，</w:t>
      </w:r>
      <w:r>
        <w:rPr>
          <w:rFonts w:hint="eastAsia"/>
          <w:color w:val="000000"/>
        </w:rPr>
        <w:t>支持基层政府保基本民生、保工资、保运转</w:t>
      </w:r>
      <w:r>
        <w:rPr>
          <w:rFonts w:hint="eastAsia"/>
          <w:color w:val="000000"/>
          <w:lang w:eastAsia="zh-CN"/>
        </w:rPr>
        <w:t>，</w:t>
      </w:r>
      <w:r>
        <w:rPr>
          <w:rFonts w:hint="eastAsia"/>
          <w:color w:val="000000"/>
        </w:rPr>
        <w:t>做好“六稳”工作</w:t>
      </w:r>
      <w:r>
        <w:rPr>
          <w:rFonts w:hint="eastAsia"/>
          <w:color w:val="000000"/>
          <w:lang w:eastAsia="zh-CN"/>
        </w:rPr>
        <w:t>，</w:t>
      </w:r>
      <w:r>
        <w:rPr>
          <w:rFonts w:hint="eastAsia"/>
          <w:color w:val="000000"/>
        </w:rPr>
        <w:t>落实“六保”任务</w:t>
      </w:r>
      <w:r>
        <w:rPr>
          <w:rFonts w:hint="eastAsia"/>
          <w:color w:val="000000"/>
          <w:lang w:eastAsia="zh-CN"/>
        </w:rPr>
        <w:t>，</w:t>
      </w:r>
      <w:r>
        <w:rPr>
          <w:rFonts w:hint="eastAsia"/>
          <w:color w:val="000000"/>
        </w:rPr>
        <w:t>中央财政设立的特殊转支付。中央财政通过新增财政赤字、发行抗疫特别国债等渠道</w:t>
      </w:r>
      <w:r>
        <w:rPr>
          <w:rFonts w:hint="eastAsia"/>
          <w:color w:val="000000"/>
          <w:lang w:eastAsia="zh-CN"/>
        </w:rPr>
        <w:t>，</w:t>
      </w:r>
      <w:r>
        <w:rPr>
          <w:rFonts w:hint="eastAsia"/>
          <w:color w:val="000000"/>
        </w:rPr>
        <w:t>统筹安排特殊转移支付资金。</w:t>
      </w:r>
    </w:p>
    <w:p>
      <w:pPr>
        <w:ind w:firstLine="632" w:firstLineChars="200"/>
        <w:rPr>
          <w:color w:val="000000"/>
        </w:rPr>
      </w:pPr>
      <w:r>
        <w:rPr>
          <w:rFonts w:hint="eastAsia"/>
          <w:color w:val="000000"/>
          <w:lang w:val="en-US" w:eastAsia="zh-CN"/>
        </w:rPr>
        <w:t>5</w:t>
      </w:r>
      <w:r>
        <w:rPr>
          <w:rFonts w:hint="eastAsia"/>
          <w:color w:val="000000"/>
        </w:rPr>
        <w:t>. 一般公共预算：指政府凭借国家政治权力</w:t>
      </w:r>
      <w:r>
        <w:rPr>
          <w:rFonts w:hint="eastAsia"/>
          <w:color w:val="000000"/>
          <w:lang w:eastAsia="zh-CN"/>
        </w:rPr>
        <w:t>，</w:t>
      </w:r>
      <w:r>
        <w:rPr>
          <w:rFonts w:hint="eastAsia"/>
          <w:color w:val="000000"/>
        </w:rPr>
        <w:t>以社会管理者身份筹集以税收为主体的财政收入</w:t>
      </w:r>
      <w:r>
        <w:rPr>
          <w:rFonts w:hint="eastAsia"/>
          <w:color w:val="000000"/>
          <w:lang w:eastAsia="zh-CN"/>
        </w:rPr>
        <w:t>，</w:t>
      </w:r>
      <w:r>
        <w:rPr>
          <w:rFonts w:hint="eastAsia"/>
          <w:color w:val="000000"/>
        </w:rPr>
        <w:t>用于保障和改善民生、维持国家行政职能正常运转、保障国家安全等方面的收支预算。</w:t>
      </w:r>
    </w:p>
    <w:p>
      <w:pPr>
        <w:ind w:firstLine="632" w:firstLineChars="200"/>
        <w:rPr>
          <w:color w:val="000000"/>
        </w:rPr>
      </w:pPr>
      <w:r>
        <w:rPr>
          <w:rFonts w:hint="eastAsia"/>
          <w:color w:val="000000"/>
          <w:lang w:val="en-US" w:eastAsia="zh-CN"/>
        </w:rPr>
        <w:t>6</w:t>
      </w:r>
      <w:r>
        <w:rPr>
          <w:rFonts w:hint="eastAsia"/>
          <w:color w:val="000000"/>
        </w:rPr>
        <w:t>. 国有资本经营预算：指国家以所有者身份对国有资本实行存量调整和增量分配而发生的各项收支预算</w:t>
      </w:r>
      <w:r>
        <w:rPr>
          <w:rFonts w:hint="eastAsia"/>
          <w:color w:val="000000"/>
          <w:lang w:eastAsia="zh-CN"/>
        </w:rPr>
        <w:t>，</w:t>
      </w:r>
      <w:r>
        <w:rPr>
          <w:rFonts w:hint="eastAsia"/>
          <w:color w:val="000000"/>
        </w:rPr>
        <w:t>是政府预算的重要组成部分。</w:t>
      </w:r>
    </w:p>
    <w:p>
      <w:pPr>
        <w:ind w:firstLine="632" w:firstLineChars="200"/>
        <w:rPr>
          <w:color w:val="000000"/>
        </w:rPr>
      </w:pPr>
      <w:r>
        <w:rPr>
          <w:rFonts w:hint="eastAsia"/>
          <w:color w:val="000000"/>
          <w:lang w:val="en-US" w:eastAsia="zh-CN"/>
        </w:rPr>
        <w:t>7</w:t>
      </w:r>
      <w:r>
        <w:rPr>
          <w:rFonts w:hint="eastAsia"/>
          <w:color w:val="000000"/>
        </w:rPr>
        <w:t>. 政府性基金预算：指国家通过向社会征收以及出让土地、发行彩票等方式取得收入</w:t>
      </w:r>
      <w:r>
        <w:rPr>
          <w:rFonts w:hint="eastAsia"/>
          <w:color w:val="000000"/>
          <w:lang w:eastAsia="zh-CN"/>
        </w:rPr>
        <w:t>，</w:t>
      </w:r>
      <w:r>
        <w:rPr>
          <w:rFonts w:hint="eastAsia"/>
          <w:color w:val="000000"/>
        </w:rPr>
        <w:t>并专项用于支持特定基础设施建设和社会事业发展的财政收支预算</w:t>
      </w:r>
      <w:r>
        <w:rPr>
          <w:rFonts w:hint="eastAsia"/>
          <w:color w:val="000000"/>
          <w:lang w:eastAsia="zh-CN"/>
        </w:rPr>
        <w:t>，</w:t>
      </w:r>
      <w:r>
        <w:rPr>
          <w:rFonts w:hint="eastAsia"/>
          <w:color w:val="000000"/>
        </w:rPr>
        <w:t>是政府预算体系的重要组成部分。</w:t>
      </w:r>
    </w:p>
    <w:p>
      <w:pPr>
        <w:ind w:firstLine="632" w:firstLineChars="200"/>
        <w:rPr>
          <w:color w:val="000000"/>
        </w:rPr>
      </w:pPr>
      <w:r>
        <w:rPr>
          <w:rFonts w:hint="eastAsia"/>
          <w:color w:val="000000"/>
          <w:lang w:val="en-US" w:eastAsia="zh-CN"/>
        </w:rPr>
        <w:t>8</w:t>
      </w:r>
      <w:r>
        <w:rPr>
          <w:rFonts w:hint="eastAsia"/>
          <w:color w:val="000000"/>
        </w:rPr>
        <w:t>.绩效评价：指财政部门和预算部门（单位）根据设定的绩效目标</w:t>
      </w:r>
      <w:r>
        <w:rPr>
          <w:rFonts w:hint="eastAsia"/>
          <w:color w:val="000000"/>
          <w:lang w:eastAsia="zh-CN"/>
        </w:rPr>
        <w:t>，</w:t>
      </w:r>
      <w:r>
        <w:rPr>
          <w:rFonts w:hint="eastAsia"/>
          <w:color w:val="000000"/>
        </w:rPr>
        <w:t>运用科学、合理的绩效评价指标、评价标准和评价方法</w:t>
      </w:r>
      <w:r>
        <w:rPr>
          <w:rFonts w:hint="eastAsia"/>
          <w:color w:val="000000"/>
          <w:lang w:eastAsia="zh-CN"/>
        </w:rPr>
        <w:t>，</w:t>
      </w:r>
      <w:r>
        <w:rPr>
          <w:rFonts w:hint="eastAsia"/>
          <w:color w:val="000000"/>
        </w:rPr>
        <w:t>对财政支出的经济性、效率性和效益性进行客观、公正的评价。财政支出绩效评价是市场经济条件下现代财政科学管理的重要手段</w:t>
      </w:r>
      <w:r>
        <w:rPr>
          <w:rFonts w:hint="eastAsia"/>
          <w:color w:val="000000"/>
          <w:lang w:eastAsia="zh-CN"/>
        </w:rPr>
        <w:t>，</w:t>
      </w:r>
      <w:r>
        <w:rPr>
          <w:rFonts w:hint="eastAsia"/>
          <w:color w:val="000000"/>
        </w:rPr>
        <w:t>建立和健全财政支出的追踪问效和问责制度</w:t>
      </w:r>
      <w:r>
        <w:rPr>
          <w:rFonts w:hint="eastAsia"/>
          <w:color w:val="000000"/>
          <w:lang w:eastAsia="zh-CN"/>
        </w:rPr>
        <w:t>，</w:t>
      </w:r>
      <w:r>
        <w:rPr>
          <w:rFonts w:hint="eastAsia"/>
          <w:color w:val="000000"/>
        </w:rPr>
        <w:t>对提高财政资金的规范高效运作程度、增加财政资金的使用效果和效益、促进政府财力的可持续发展以及有效转变政府职能等都具有重大意义。</w:t>
      </w:r>
    </w:p>
    <w:p>
      <w:pPr>
        <w:ind w:firstLine="632" w:firstLineChars="200"/>
        <w:rPr>
          <w:color w:val="000000"/>
          <w:highlight w:val="yellow"/>
        </w:rPr>
      </w:pPr>
    </w:p>
    <w:p>
      <w:pPr>
        <w:ind w:firstLine="632" w:firstLineChars="200"/>
        <w:rPr>
          <w:color w:val="000000"/>
        </w:rPr>
      </w:pPr>
    </w:p>
    <w:p>
      <w:pPr>
        <w:ind w:firstLine="632" w:firstLineChars="200"/>
        <w:rPr>
          <w:color w:val="000000"/>
        </w:rPr>
      </w:pPr>
    </w:p>
    <w:p>
      <w:pPr>
        <w:spacing w:line="560" w:lineRule="exact"/>
        <w:rPr>
          <w:color w:val="000000"/>
          <w:szCs w:val="44"/>
        </w:rPr>
      </w:pPr>
    </w:p>
    <w:p>
      <w:pPr>
        <w:spacing w:line="560" w:lineRule="exact"/>
        <w:rPr>
          <w:color w:val="000000"/>
          <w:szCs w:val="44"/>
        </w:rPr>
      </w:pPr>
    </w:p>
    <w:p>
      <w:pPr>
        <w:spacing w:line="56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rPr>
          <w:color w:val="000000"/>
        </w:rPr>
      </w:pPr>
    </w:p>
    <w:sectPr>
      <w:footerReference r:id="rId3" w:type="default"/>
      <w:footerReference r:id="rId4" w:type="even"/>
      <w:pgSz w:w="11907" w:h="16840"/>
      <w:pgMar w:top="2098" w:right="1474" w:bottom="1985" w:left="1588" w:header="1418" w:footer="170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9"/>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28</w:t>
    </w:r>
    <w:r>
      <w:rPr>
        <w:rStyle w:val="9"/>
        <w:sz w:val="28"/>
        <w:szCs w:val="28"/>
      </w:rPr>
      <w:fldChar w:fldCharType="end"/>
    </w:r>
    <w:r>
      <w:rPr>
        <w:rStyle w:val="9"/>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19</w:t>
    </w:r>
    <w:r>
      <w:rPr>
        <w:rStyle w:val="9"/>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ADE88"/>
    <w:multiLevelType w:val="singleLevel"/>
    <w:tmpl w:val="183ADE88"/>
    <w:lvl w:ilvl="0" w:tentative="0">
      <w:start w:val="1"/>
      <w:numFmt w:val="chineseCounting"/>
      <w:suff w:val="nothing"/>
      <w:lvlText w:val="（%1）"/>
      <w:lvlJc w:val="left"/>
      <w:rPr>
        <w:rFonts w:hint="eastAsia"/>
      </w:rPr>
    </w:lvl>
  </w:abstractNum>
  <w:abstractNum w:abstractNumId="1">
    <w:nsid w:val="27FD3C47"/>
    <w:multiLevelType w:val="singleLevel"/>
    <w:tmpl w:val="27FD3C4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879AA"/>
    <w:rsid w:val="0000118B"/>
    <w:rsid w:val="00002A13"/>
    <w:rsid w:val="000035EC"/>
    <w:rsid w:val="00017058"/>
    <w:rsid w:val="000319E4"/>
    <w:rsid w:val="000441ED"/>
    <w:rsid w:val="00045DA9"/>
    <w:rsid w:val="000552D2"/>
    <w:rsid w:val="00057467"/>
    <w:rsid w:val="00060944"/>
    <w:rsid w:val="0006242D"/>
    <w:rsid w:val="00065031"/>
    <w:rsid w:val="000673C3"/>
    <w:rsid w:val="00067F0F"/>
    <w:rsid w:val="00070CF0"/>
    <w:rsid w:val="00071EF6"/>
    <w:rsid w:val="00081F0B"/>
    <w:rsid w:val="00085C0A"/>
    <w:rsid w:val="00090F76"/>
    <w:rsid w:val="000932C3"/>
    <w:rsid w:val="00093863"/>
    <w:rsid w:val="00094BEB"/>
    <w:rsid w:val="000A0A0E"/>
    <w:rsid w:val="000A1632"/>
    <w:rsid w:val="000A2C8C"/>
    <w:rsid w:val="000A5860"/>
    <w:rsid w:val="000B4628"/>
    <w:rsid w:val="000C10D2"/>
    <w:rsid w:val="000D1EAC"/>
    <w:rsid w:val="000D5F67"/>
    <w:rsid w:val="000E268E"/>
    <w:rsid w:val="000F4165"/>
    <w:rsid w:val="000F48B8"/>
    <w:rsid w:val="001141A3"/>
    <w:rsid w:val="001141D5"/>
    <w:rsid w:val="00115371"/>
    <w:rsid w:val="00116DF1"/>
    <w:rsid w:val="00120F59"/>
    <w:rsid w:val="00126185"/>
    <w:rsid w:val="00126261"/>
    <w:rsid w:val="00130CF4"/>
    <w:rsid w:val="00131E6A"/>
    <w:rsid w:val="0013420E"/>
    <w:rsid w:val="00134BD8"/>
    <w:rsid w:val="00137248"/>
    <w:rsid w:val="00145EC6"/>
    <w:rsid w:val="0014758C"/>
    <w:rsid w:val="00147778"/>
    <w:rsid w:val="00154F05"/>
    <w:rsid w:val="00156720"/>
    <w:rsid w:val="001669A7"/>
    <w:rsid w:val="00167823"/>
    <w:rsid w:val="001817C4"/>
    <w:rsid w:val="001863F4"/>
    <w:rsid w:val="0019680E"/>
    <w:rsid w:val="001C1675"/>
    <w:rsid w:val="001C4EE7"/>
    <w:rsid w:val="001C7BDC"/>
    <w:rsid w:val="001D6155"/>
    <w:rsid w:val="001E4138"/>
    <w:rsid w:val="001F02BE"/>
    <w:rsid w:val="00202E45"/>
    <w:rsid w:val="00203A6E"/>
    <w:rsid w:val="00203D85"/>
    <w:rsid w:val="00206FE9"/>
    <w:rsid w:val="00210BEA"/>
    <w:rsid w:val="00210CF7"/>
    <w:rsid w:val="00211C25"/>
    <w:rsid w:val="00215157"/>
    <w:rsid w:val="0022319B"/>
    <w:rsid w:val="00227F71"/>
    <w:rsid w:val="00230875"/>
    <w:rsid w:val="002322F1"/>
    <w:rsid w:val="00235021"/>
    <w:rsid w:val="002416A6"/>
    <w:rsid w:val="002418B0"/>
    <w:rsid w:val="00241C4D"/>
    <w:rsid w:val="00244E8E"/>
    <w:rsid w:val="00247980"/>
    <w:rsid w:val="00253996"/>
    <w:rsid w:val="002550C3"/>
    <w:rsid w:val="00255652"/>
    <w:rsid w:val="00261DFE"/>
    <w:rsid w:val="00264DF6"/>
    <w:rsid w:val="00271ECE"/>
    <w:rsid w:val="00290BD6"/>
    <w:rsid w:val="00293816"/>
    <w:rsid w:val="002A3C4D"/>
    <w:rsid w:val="002B11BC"/>
    <w:rsid w:val="002B1B99"/>
    <w:rsid w:val="002B2B12"/>
    <w:rsid w:val="002B49B8"/>
    <w:rsid w:val="002B5D4D"/>
    <w:rsid w:val="002B5FF9"/>
    <w:rsid w:val="002B6C01"/>
    <w:rsid w:val="002B6D50"/>
    <w:rsid w:val="002B78BA"/>
    <w:rsid w:val="002C5289"/>
    <w:rsid w:val="002E4A5E"/>
    <w:rsid w:val="002F3BCA"/>
    <w:rsid w:val="00305501"/>
    <w:rsid w:val="003163F2"/>
    <w:rsid w:val="003240B8"/>
    <w:rsid w:val="00332651"/>
    <w:rsid w:val="00333F95"/>
    <w:rsid w:val="003358D5"/>
    <w:rsid w:val="00342931"/>
    <w:rsid w:val="00344C32"/>
    <w:rsid w:val="00347214"/>
    <w:rsid w:val="003478D0"/>
    <w:rsid w:val="003503F6"/>
    <w:rsid w:val="00350894"/>
    <w:rsid w:val="00355180"/>
    <w:rsid w:val="00355D01"/>
    <w:rsid w:val="00361379"/>
    <w:rsid w:val="00362AE2"/>
    <w:rsid w:val="003643F0"/>
    <w:rsid w:val="003737AE"/>
    <w:rsid w:val="00373CDC"/>
    <w:rsid w:val="00376D22"/>
    <w:rsid w:val="00381975"/>
    <w:rsid w:val="003854CF"/>
    <w:rsid w:val="003879AA"/>
    <w:rsid w:val="003941D1"/>
    <w:rsid w:val="00395D15"/>
    <w:rsid w:val="003974F3"/>
    <w:rsid w:val="003A3336"/>
    <w:rsid w:val="003A4778"/>
    <w:rsid w:val="003A70A0"/>
    <w:rsid w:val="003B4BCA"/>
    <w:rsid w:val="003B5B84"/>
    <w:rsid w:val="003B723C"/>
    <w:rsid w:val="003C2F35"/>
    <w:rsid w:val="003D1836"/>
    <w:rsid w:val="003D5E26"/>
    <w:rsid w:val="003E105B"/>
    <w:rsid w:val="003E71DD"/>
    <w:rsid w:val="003F0617"/>
    <w:rsid w:val="003F0E4D"/>
    <w:rsid w:val="003F2EB2"/>
    <w:rsid w:val="0040218F"/>
    <w:rsid w:val="00411022"/>
    <w:rsid w:val="00413E40"/>
    <w:rsid w:val="004306F8"/>
    <w:rsid w:val="004307AB"/>
    <w:rsid w:val="004308F8"/>
    <w:rsid w:val="00440FBB"/>
    <w:rsid w:val="004464F9"/>
    <w:rsid w:val="00447F39"/>
    <w:rsid w:val="00451FD5"/>
    <w:rsid w:val="00466120"/>
    <w:rsid w:val="0046617F"/>
    <w:rsid w:val="00467179"/>
    <w:rsid w:val="004716EB"/>
    <w:rsid w:val="00472930"/>
    <w:rsid w:val="0048440A"/>
    <w:rsid w:val="00490743"/>
    <w:rsid w:val="00493D43"/>
    <w:rsid w:val="00496CA1"/>
    <w:rsid w:val="00497137"/>
    <w:rsid w:val="004A2693"/>
    <w:rsid w:val="004A2E37"/>
    <w:rsid w:val="004A6904"/>
    <w:rsid w:val="004B025C"/>
    <w:rsid w:val="004B0E43"/>
    <w:rsid w:val="004B7C91"/>
    <w:rsid w:val="004B7FE6"/>
    <w:rsid w:val="004D0B2B"/>
    <w:rsid w:val="004D33E0"/>
    <w:rsid w:val="004E0614"/>
    <w:rsid w:val="004E5505"/>
    <w:rsid w:val="004E62D7"/>
    <w:rsid w:val="004E6EB7"/>
    <w:rsid w:val="004E7E9F"/>
    <w:rsid w:val="004F14B8"/>
    <w:rsid w:val="004F55C4"/>
    <w:rsid w:val="00500C1E"/>
    <w:rsid w:val="00502BEF"/>
    <w:rsid w:val="00503BD3"/>
    <w:rsid w:val="005060ED"/>
    <w:rsid w:val="00513A30"/>
    <w:rsid w:val="00524133"/>
    <w:rsid w:val="00524238"/>
    <w:rsid w:val="005264A1"/>
    <w:rsid w:val="005277F9"/>
    <w:rsid w:val="0052798F"/>
    <w:rsid w:val="005317F9"/>
    <w:rsid w:val="00532CB4"/>
    <w:rsid w:val="00536235"/>
    <w:rsid w:val="0054357C"/>
    <w:rsid w:val="00553C08"/>
    <w:rsid w:val="00556464"/>
    <w:rsid w:val="00560CD5"/>
    <w:rsid w:val="00562A9D"/>
    <w:rsid w:val="00563FA5"/>
    <w:rsid w:val="00571019"/>
    <w:rsid w:val="00573815"/>
    <w:rsid w:val="005739F4"/>
    <w:rsid w:val="00575EB2"/>
    <w:rsid w:val="00581321"/>
    <w:rsid w:val="005817D6"/>
    <w:rsid w:val="0058320A"/>
    <w:rsid w:val="00592DC0"/>
    <w:rsid w:val="0059516B"/>
    <w:rsid w:val="005A0799"/>
    <w:rsid w:val="005A1EA2"/>
    <w:rsid w:val="005A70F2"/>
    <w:rsid w:val="005B1962"/>
    <w:rsid w:val="005B68BF"/>
    <w:rsid w:val="005C46FA"/>
    <w:rsid w:val="005C74FF"/>
    <w:rsid w:val="005E2CEF"/>
    <w:rsid w:val="005E5935"/>
    <w:rsid w:val="005F620D"/>
    <w:rsid w:val="005F7711"/>
    <w:rsid w:val="0060057A"/>
    <w:rsid w:val="006049E9"/>
    <w:rsid w:val="00606792"/>
    <w:rsid w:val="006100A7"/>
    <w:rsid w:val="006145F3"/>
    <w:rsid w:val="00617B92"/>
    <w:rsid w:val="00622030"/>
    <w:rsid w:val="00622B5A"/>
    <w:rsid w:val="00623CCF"/>
    <w:rsid w:val="00624536"/>
    <w:rsid w:val="006245DC"/>
    <w:rsid w:val="00627A12"/>
    <w:rsid w:val="00630006"/>
    <w:rsid w:val="006329D8"/>
    <w:rsid w:val="00636118"/>
    <w:rsid w:val="00645A0B"/>
    <w:rsid w:val="00646BB2"/>
    <w:rsid w:val="00646BC0"/>
    <w:rsid w:val="00647C64"/>
    <w:rsid w:val="00653B55"/>
    <w:rsid w:val="00661291"/>
    <w:rsid w:val="00662468"/>
    <w:rsid w:val="00662506"/>
    <w:rsid w:val="006650DE"/>
    <w:rsid w:val="00674A32"/>
    <w:rsid w:val="0068080A"/>
    <w:rsid w:val="006819F5"/>
    <w:rsid w:val="006820A3"/>
    <w:rsid w:val="00683F81"/>
    <w:rsid w:val="006922B0"/>
    <w:rsid w:val="006A3463"/>
    <w:rsid w:val="006A7F95"/>
    <w:rsid w:val="006B023B"/>
    <w:rsid w:val="006B4FEB"/>
    <w:rsid w:val="006C5CC5"/>
    <w:rsid w:val="006C60BD"/>
    <w:rsid w:val="006D0BA3"/>
    <w:rsid w:val="006E40A0"/>
    <w:rsid w:val="006E5D31"/>
    <w:rsid w:val="006E79F0"/>
    <w:rsid w:val="006F1145"/>
    <w:rsid w:val="006F5738"/>
    <w:rsid w:val="006F6950"/>
    <w:rsid w:val="00713A13"/>
    <w:rsid w:val="0071666B"/>
    <w:rsid w:val="0072534B"/>
    <w:rsid w:val="00734E41"/>
    <w:rsid w:val="00736A69"/>
    <w:rsid w:val="00742145"/>
    <w:rsid w:val="007476DD"/>
    <w:rsid w:val="007579CE"/>
    <w:rsid w:val="007660E1"/>
    <w:rsid w:val="007666AC"/>
    <w:rsid w:val="00772037"/>
    <w:rsid w:val="00775DDE"/>
    <w:rsid w:val="00776995"/>
    <w:rsid w:val="007770BA"/>
    <w:rsid w:val="00777562"/>
    <w:rsid w:val="007812F7"/>
    <w:rsid w:val="007926E2"/>
    <w:rsid w:val="00793865"/>
    <w:rsid w:val="007A2C14"/>
    <w:rsid w:val="007A6692"/>
    <w:rsid w:val="007B3115"/>
    <w:rsid w:val="007C57F7"/>
    <w:rsid w:val="007C5B48"/>
    <w:rsid w:val="007C7495"/>
    <w:rsid w:val="007D0D83"/>
    <w:rsid w:val="007D1BCB"/>
    <w:rsid w:val="007D41E5"/>
    <w:rsid w:val="007D5268"/>
    <w:rsid w:val="007D70E7"/>
    <w:rsid w:val="007E40CA"/>
    <w:rsid w:val="007E61D6"/>
    <w:rsid w:val="007F103E"/>
    <w:rsid w:val="007F605A"/>
    <w:rsid w:val="008020BA"/>
    <w:rsid w:val="00803BFF"/>
    <w:rsid w:val="00813523"/>
    <w:rsid w:val="00813B00"/>
    <w:rsid w:val="00820281"/>
    <w:rsid w:val="008210C3"/>
    <w:rsid w:val="00821EE7"/>
    <w:rsid w:val="00824757"/>
    <w:rsid w:val="00825F0D"/>
    <w:rsid w:val="008300F0"/>
    <w:rsid w:val="008325AD"/>
    <w:rsid w:val="00841A7E"/>
    <w:rsid w:val="00841C9F"/>
    <w:rsid w:val="0084384B"/>
    <w:rsid w:val="00860518"/>
    <w:rsid w:val="008615CA"/>
    <w:rsid w:val="00864064"/>
    <w:rsid w:val="008768EE"/>
    <w:rsid w:val="008833A1"/>
    <w:rsid w:val="008A65E7"/>
    <w:rsid w:val="008A730C"/>
    <w:rsid w:val="008B1D12"/>
    <w:rsid w:val="008B7312"/>
    <w:rsid w:val="008C51FC"/>
    <w:rsid w:val="008C7D53"/>
    <w:rsid w:val="008C7FAC"/>
    <w:rsid w:val="008D017D"/>
    <w:rsid w:val="008E5C0A"/>
    <w:rsid w:val="00905AEE"/>
    <w:rsid w:val="009063B7"/>
    <w:rsid w:val="00911225"/>
    <w:rsid w:val="009146BD"/>
    <w:rsid w:val="009174E4"/>
    <w:rsid w:val="00922055"/>
    <w:rsid w:val="00926BD3"/>
    <w:rsid w:val="009371A0"/>
    <w:rsid w:val="0094485C"/>
    <w:rsid w:val="00955ED5"/>
    <w:rsid w:val="00956757"/>
    <w:rsid w:val="00956F9B"/>
    <w:rsid w:val="00957B2E"/>
    <w:rsid w:val="009610DF"/>
    <w:rsid w:val="00961EBC"/>
    <w:rsid w:val="00964E9F"/>
    <w:rsid w:val="00970E94"/>
    <w:rsid w:val="0099375F"/>
    <w:rsid w:val="009A3B28"/>
    <w:rsid w:val="009A4200"/>
    <w:rsid w:val="009A47C3"/>
    <w:rsid w:val="009A6B25"/>
    <w:rsid w:val="009C4AB2"/>
    <w:rsid w:val="009D0641"/>
    <w:rsid w:val="009D1FD7"/>
    <w:rsid w:val="009D3FC4"/>
    <w:rsid w:val="009E423C"/>
    <w:rsid w:val="009E44DC"/>
    <w:rsid w:val="009F0A38"/>
    <w:rsid w:val="009F26B8"/>
    <w:rsid w:val="009F2DAC"/>
    <w:rsid w:val="009F4A62"/>
    <w:rsid w:val="009F5E77"/>
    <w:rsid w:val="009F6466"/>
    <w:rsid w:val="00A03955"/>
    <w:rsid w:val="00A0696F"/>
    <w:rsid w:val="00A06EF8"/>
    <w:rsid w:val="00A07E55"/>
    <w:rsid w:val="00A10BF0"/>
    <w:rsid w:val="00A1206F"/>
    <w:rsid w:val="00A13EFE"/>
    <w:rsid w:val="00A1783C"/>
    <w:rsid w:val="00A17AC3"/>
    <w:rsid w:val="00A206E9"/>
    <w:rsid w:val="00A23E7A"/>
    <w:rsid w:val="00A30C0F"/>
    <w:rsid w:val="00A320BF"/>
    <w:rsid w:val="00A33407"/>
    <w:rsid w:val="00A33EE9"/>
    <w:rsid w:val="00A37B07"/>
    <w:rsid w:val="00A46B3D"/>
    <w:rsid w:val="00A475E0"/>
    <w:rsid w:val="00A54E7F"/>
    <w:rsid w:val="00A56792"/>
    <w:rsid w:val="00A606D4"/>
    <w:rsid w:val="00A659C6"/>
    <w:rsid w:val="00A66C9C"/>
    <w:rsid w:val="00A702F5"/>
    <w:rsid w:val="00A715D2"/>
    <w:rsid w:val="00A747DC"/>
    <w:rsid w:val="00A764C1"/>
    <w:rsid w:val="00A8038C"/>
    <w:rsid w:val="00A92B4F"/>
    <w:rsid w:val="00A95D28"/>
    <w:rsid w:val="00A9627E"/>
    <w:rsid w:val="00AA730F"/>
    <w:rsid w:val="00AC6C09"/>
    <w:rsid w:val="00AD1424"/>
    <w:rsid w:val="00AD32E6"/>
    <w:rsid w:val="00AD7F36"/>
    <w:rsid w:val="00AE14B8"/>
    <w:rsid w:val="00AE2EA8"/>
    <w:rsid w:val="00AE5197"/>
    <w:rsid w:val="00AE7ACC"/>
    <w:rsid w:val="00AF30EF"/>
    <w:rsid w:val="00AF4398"/>
    <w:rsid w:val="00AF7C44"/>
    <w:rsid w:val="00B068B9"/>
    <w:rsid w:val="00B127DD"/>
    <w:rsid w:val="00B147DC"/>
    <w:rsid w:val="00B21162"/>
    <w:rsid w:val="00B22D11"/>
    <w:rsid w:val="00B23E0A"/>
    <w:rsid w:val="00B30FD7"/>
    <w:rsid w:val="00B34C7F"/>
    <w:rsid w:val="00B4319A"/>
    <w:rsid w:val="00B44EA6"/>
    <w:rsid w:val="00B51DCD"/>
    <w:rsid w:val="00B5786A"/>
    <w:rsid w:val="00B64744"/>
    <w:rsid w:val="00B735F1"/>
    <w:rsid w:val="00B742BC"/>
    <w:rsid w:val="00B76F61"/>
    <w:rsid w:val="00B83668"/>
    <w:rsid w:val="00B8375E"/>
    <w:rsid w:val="00B83EFB"/>
    <w:rsid w:val="00B85CF8"/>
    <w:rsid w:val="00B86B27"/>
    <w:rsid w:val="00B939C7"/>
    <w:rsid w:val="00B93BA0"/>
    <w:rsid w:val="00B95C50"/>
    <w:rsid w:val="00B9732A"/>
    <w:rsid w:val="00BA27D5"/>
    <w:rsid w:val="00BA6A48"/>
    <w:rsid w:val="00BB335D"/>
    <w:rsid w:val="00BB3CDB"/>
    <w:rsid w:val="00BB75B0"/>
    <w:rsid w:val="00BC1E53"/>
    <w:rsid w:val="00BC2776"/>
    <w:rsid w:val="00BC41EA"/>
    <w:rsid w:val="00BD2BE2"/>
    <w:rsid w:val="00BD37DC"/>
    <w:rsid w:val="00BE390B"/>
    <w:rsid w:val="00BF4C02"/>
    <w:rsid w:val="00C01C1D"/>
    <w:rsid w:val="00C03B77"/>
    <w:rsid w:val="00C052E5"/>
    <w:rsid w:val="00C156A5"/>
    <w:rsid w:val="00C16959"/>
    <w:rsid w:val="00C21E7F"/>
    <w:rsid w:val="00C2312F"/>
    <w:rsid w:val="00C25A27"/>
    <w:rsid w:val="00C26FC4"/>
    <w:rsid w:val="00C37972"/>
    <w:rsid w:val="00C401A8"/>
    <w:rsid w:val="00C41DD0"/>
    <w:rsid w:val="00C52BD6"/>
    <w:rsid w:val="00C56BDD"/>
    <w:rsid w:val="00C573C6"/>
    <w:rsid w:val="00C711B9"/>
    <w:rsid w:val="00C74FEC"/>
    <w:rsid w:val="00C759B1"/>
    <w:rsid w:val="00C95D66"/>
    <w:rsid w:val="00C969FD"/>
    <w:rsid w:val="00CA28D5"/>
    <w:rsid w:val="00CA7A95"/>
    <w:rsid w:val="00CC1C9D"/>
    <w:rsid w:val="00CD0524"/>
    <w:rsid w:val="00CD2CB4"/>
    <w:rsid w:val="00CD5CB1"/>
    <w:rsid w:val="00CD6366"/>
    <w:rsid w:val="00CD685D"/>
    <w:rsid w:val="00CD70EB"/>
    <w:rsid w:val="00CE09DA"/>
    <w:rsid w:val="00CE0F4D"/>
    <w:rsid w:val="00CE4A16"/>
    <w:rsid w:val="00CF0DE4"/>
    <w:rsid w:val="00CF573A"/>
    <w:rsid w:val="00D01202"/>
    <w:rsid w:val="00D031E5"/>
    <w:rsid w:val="00D116FD"/>
    <w:rsid w:val="00D16DF8"/>
    <w:rsid w:val="00D228B9"/>
    <w:rsid w:val="00D31549"/>
    <w:rsid w:val="00D32DE4"/>
    <w:rsid w:val="00D35003"/>
    <w:rsid w:val="00D356E6"/>
    <w:rsid w:val="00D362DE"/>
    <w:rsid w:val="00D37AD7"/>
    <w:rsid w:val="00D53D12"/>
    <w:rsid w:val="00D66DB9"/>
    <w:rsid w:val="00D707BA"/>
    <w:rsid w:val="00D76A6A"/>
    <w:rsid w:val="00D80810"/>
    <w:rsid w:val="00D90530"/>
    <w:rsid w:val="00D92991"/>
    <w:rsid w:val="00D95B12"/>
    <w:rsid w:val="00DA29FE"/>
    <w:rsid w:val="00DA2AEF"/>
    <w:rsid w:val="00DB3736"/>
    <w:rsid w:val="00DB5518"/>
    <w:rsid w:val="00DC3249"/>
    <w:rsid w:val="00DC3B2A"/>
    <w:rsid w:val="00DC5581"/>
    <w:rsid w:val="00DD28CC"/>
    <w:rsid w:val="00DE1BB4"/>
    <w:rsid w:val="00DE4D12"/>
    <w:rsid w:val="00DF4AFE"/>
    <w:rsid w:val="00DF6A0D"/>
    <w:rsid w:val="00E0083A"/>
    <w:rsid w:val="00E01FB7"/>
    <w:rsid w:val="00E030AC"/>
    <w:rsid w:val="00E0440A"/>
    <w:rsid w:val="00E11F9F"/>
    <w:rsid w:val="00E12440"/>
    <w:rsid w:val="00E12839"/>
    <w:rsid w:val="00E130E6"/>
    <w:rsid w:val="00E16AF0"/>
    <w:rsid w:val="00E219B8"/>
    <w:rsid w:val="00E26BAB"/>
    <w:rsid w:val="00E41139"/>
    <w:rsid w:val="00E419DE"/>
    <w:rsid w:val="00E57B2A"/>
    <w:rsid w:val="00E625ED"/>
    <w:rsid w:val="00E635CC"/>
    <w:rsid w:val="00E6367A"/>
    <w:rsid w:val="00E715FA"/>
    <w:rsid w:val="00E72A51"/>
    <w:rsid w:val="00E7371B"/>
    <w:rsid w:val="00E73D1C"/>
    <w:rsid w:val="00E76A87"/>
    <w:rsid w:val="00E80B7E"/>
    <w:rsid w:val="00E821F5"/>
    <w:rsid w:val="00E92350"/>
    <w:rsid w:val="00EA33AC"/>
    <w:rsid w:val="00EB203A"/>
    <w:rsid w:val="00EB4EEE"/>
    <w:rsid w:val="00EB7558"/>
    <w:rsid w:val="00EC1106"/>
    <w:rsid w:val="00EC3798"/>
    <w:rsid w:val="00EC68EA"/>
    <w:rsid w:val="00EC6BFD"/>
    <w:rsid w:val="00ED2A4B"/>
    <w:rsid w:val="00ED2D7B"/>
    <w:rsid w:val="00ED4AC9"/>
    <w:rsid w:val="00ED7258"/>
    <w:rsid w:val="00EE2920"/>
    <w:rsid w:val="00EE51AC"/>
    <w:rsid w:val="00EF1C2A"/>
    <w:rsid w:val="00EF5503"/>
    <w:rsid w:val="00EF5921"/>
    <w:rsid w:val="00F02EF5"/>
    <w:rsid w:val="00F06963"/>
    <w:rsid w:val="00F123B3"/>
    <w:rsid w:val="00F232B3"/>
    <w:rsid w:val="00F25949"/>
    <w:rsid w:val="00F30594"/>
    <w:rsid w:val="00F32602"/>
    <w:rsid w:val="00F3657A"/>
    <w:rsid w:val="00F377B5"/>
    <w:rsid w:val="00F40CC1"/>
    <w:rsid w:val="00F43170"/>
    <w:rsid w:val="00F44D64"/>
    <w:rsid w:val="00F4649C"/>
    <w:rsid w:val="00F5090D"/>
    <w:rsid w:val="00F53EB4"/>
    <w:rsid w:val="00F54962"/>
    <w:rsid w:val="00F64C62"/>
    <w:rsid w:val="00F65426"/>
    <w:rsid w:val="00F81A35"/>
    <w:rsid w:val="00F8308B"/>
    <w:rsid w:val="00F831DB"/>
    <w:rsid w:val="00F8791D"/>
    <w:rsid w:val="00F87C28"/>
    <w:rsid w:val="00F906C5"/>
    <w:rsid w:val="00F95D87"/>
    <w:rsid w:val="00F95F4E"/>
    <w:rsid w:val="00F96A14"/>
    <w:rsid w:val="00F977B8"/>
    <w:rsid w:val="00FA1073"/>
    <w:rsid w:val="00FA1455"/>
    <w:rsid w:val="00FA2995"/>
    <w:rsid w:val="00FB1825"/>
    <w:rsid w:val="00FB7EC5"/>
    <w:rsid w:val="00FC2373"/>
    <w:rsid w:val="00FC3D10"/>
    <w:rsid w:val="00FC6902"/>
    <w:rsid w:val="00FC72B1"/>
    <w:rsid w:val="00FD4D40"/>
    <w:rsid w:val="00FE3B77"/>
    <w:rsid w:val="00FE4C1E"/>
    <w:rsid w:val="00FE7952"/>
    <w:rsid w:val="00FF59C0"/>
    <w:rsid w:val="0802568F"/>
    <w:rsid w:val="09916715"/>
    <w:rsid w:val="0ABA0DF8"/>
    <w:rsid w:val="0DED352D"/>
    <w:rsid w:val="0E4A5BDE"/>
    <w:rsid w:val="10532219"/>
    <w:rsid w:val="13DE2AA7"/>
    <w:rsid w:val="14BD6892"/>
    <w:rsid w:val="19430300"/>
    <w:rsid w:val="19AB6A2A"/>
    <w:rsid w:val="19E16121"/>
    <w:rsid w:val="1A164B80"/>
    <w:rsid w:val="1B701CF3"/>
    <w:rsid w:val="1BB26F89"/>
    <w:rsid w:val="1BB56A6F"/>
    <w:rsid w:val="1CE40CFC"/>
    <w:rsid w:val="1DE75A9B"/>
    <w:rsid w:val="22167246"/>
    <w:rsid w:val="232100A8"/>
    <w:rsid w:val="268D5998"/>
    <w:rsid w:val="26FF240C"/>
    <w:rsid w:val="289E31B0"/>
    <w:rsid w:val="29BD5B86"/>
    <w:rsid w:val="2BE12008"/>
    <w:rsid w:val="306A49FB"/>
    <w:rsid w:val="334141A4"/>
    <w:rsid w:val="36141FFF"/>
    <w:rsid w:val="36262C62"/>
    <w:rsid w:val="36933296"/>
    <w:rsid w:val="380C4350"/>
    <w:rsid w:val="3C810DD3"/>
    <w:rsid w:val="3ED328A1"/>
    <w:rsid w:val="3F873E6D"/>
    <w:rsid w:val="43166975"/>
    <w:rsid w:val="446866CB"/>
    <w:rsid w:val="4C046F60"/>
    <w:rsid w:val="4DA5157C"/>
    <w:rsid w:val="4DB56BE3"/>
    <w:rsid w:val="4E0C779B"/>
    <w:rsid w:val="500A17DF"/>
    <w:rsid w:val="50AB551E"/>
    <w:rsid w:val="51F31300"/>
    <w:rsid w:val="52403E36"/>
    <w:rsid w:val="54A352E2"/>
    <w:rsid w:val="571D3032"/>
    <w:rsid w:val="57392E24"/>
    <w:rsid w:val="58013AEE"/>
    <w:rsid w:val="5ABD4C6C"/>
    <w:rsid w:val="5DAF2A40"/>
    <w:rsid w:val="5DE62A15"/>
    <w:rsid w:val="5F5A6ED0"/>
    <w:rsid w:val="614B322B"/>
    <w:rsid w:val="64684831"/>
    <w:rsid w:val="65333442"/>
    <w:rsid w:val="683B3E0E"/>
    <w:rsid w:val="690412D8"/>
    <w:rsid w:val="6A1A717B"/>
    <w:rsid w:val="6A411C99"/>
    <w:rsid w:val="6B1235B7"/>
    <w:rsid w:val="6B275BCB"/>
    <w:rsid w:val="6D7256A0"/>
    <w:rsid w:val="6F730668"/>
    <w:rsid w:val="704F6D52"/>
    <w:rsid w:val="707E0263"/>
    <w:rsid w:val="74F31789"/>
    <w:rsid w:val="74FD4DFC"/>
    <w:rsid w:val="767336E4"/>
    <w:rsid w:val="77F41F27"/>
    <w:rsid w:val="79D938F4"/>
    <w:rsid w:val="7B070BE4"/>
    <w:rsid w:val="7D0D2884"/>
    <w:rsid w:val="B7D668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Times New Roman" w:hAnsi="Times New Roman" w:eastAsia="方正楷体_GB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3"/>
    <w:qFormat/>
    <w:uiPriority w:val="0"/>
    <w:rPr>
      <w:rFonts w:ascii="方正仿宋_GBK" w:hAnsi="Times New Roman" w:eastAsia="方正仿宋_GBK" w:cs="Times New Roman"/>
      <w:sz w:val="18"/>
      <w:szCs w:val="18"/>
    </w:rPr>
  </w:style>
  <w:style w:type="character" w:customStyle="1" w:styleId="11">
    <w:name w:val="页眉 Char"/>
    <w:basedOn w:val="8"/>
    <w:link w:val="4"/>
    <w:semiHidden/>
    <w:qFormat/>
    <w:uiPriority w:val="99"/>
    <w:rPr>
      <w:rFonts w:ascii="方正仿宋_GBK" w:hAnsi="Times New Roman" w:eastAsia="方正仿宋_GBK" w:cs="Times New Roman"/>
      <w:kern w:val="2"/>
      <w:sz w:val="18"/>
      <w:szCs w:val="18"/>
    </w:rPr>
  </w:style>
  <w:style w:type="character" w:customStyle="1" w:styleId="12">
    <w:name w:val="批注框文本 Char"/>
    <w:basedOn w:val="8"/>
    <w:link w:val="2"/>
    <w:semiHidden/>
    <w:qFormat/>
    <w:uiPriority w:val="99"/>
    <w:rPr>
      <w:rFonts w:ascii="方正仿宋_GBK"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3184</Words>
  <Characters>3454</Characters>
  <Lines>116</Lines>
  <Paragraphs>32</Paragraphs>
  <TotalTime>1</TotalTime>
  <ScaleCrop>false</ScaleCrop>
  <LinksUpToDate>false</LinksUpToDate>
  <CharactersWithSpaces>3465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2021-03-25T10:09:00Z</dcterms:created>
  <dc:creator>资义银</dc:creator>
  <cp:lastModifiedBy>user</cp:lastModifiedBy>
  <cp:lastPrinted>2021-02-02T12:14:00Z</cp:lastPrinted>
  <dcterms:modified xsi:type="dcterms:W3CDTF">2024-11-20T17:13:00Z</dcterms:modified>
  <dc:title>关于重庆市涪陵区荔枝街道办事处2020年预算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8D4FB547E245459A9429D6C0C541AFB0</vt:lpwstr>
  </property>
</Properties>
</file>