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szCs w:val="32"/>
        </w:rPr>
      </w:pPr>
      <w:bookmarkStart w:id="0" w:name="_GoBack"/>
      <w:bookmarkEnd w:id="0"/>
    </w:p>
    <w:p>
      <w:pPr>
        <w:spacing w:line="620" w:lineRule="exact"/>
        <w:jc w:val="center"/>
        <w:rPr>
          <w:szCs w:val="32"/>
        </w:rPr>
      </w:pPr>
    </w:p>
    <w:p>
      <w:pPr>
        <w:spacing w:line="620" w:lineRule="exact"/>
        <w:jc w:val="center"/>
        <w:rPr>
          <w:szCs w:val="32"/>
        </w:rPr>
      </w:pPr>
    </w:p>
    <w:p>
      <w:pPr>
        <w:spacing w:line="620" w:lineRule="exact"/>
        <w:jc w:val="center"/>
        <w:rPr>
          <w:szCs w:val="32"/>
        </w:rPr>
      </w:pPr>
    </w:p>
    <w:p>
      <w:pPr>
        <w:rPr>
          <w:szCs w:val="32"/>
        </w:rPr>
      </w:pPr>
      <w:r>
        <w:rPr>
          <w:color w:val="FF0000"/>
          <w:szCs w:val="32"/>
        </w:rPr>
        <w:pict>
          <v:shape id="_x0000_i1025" o:spt="136" type="#_x0000_t136" style="height:51pt;width:438.75pt;" fillcolor="#FF0000" coordsize="21600,21600">
            <v:path/>
            <v:fill focussize="0,0"/>
            <v:stroke color="#FF0000"/>
            <v:imagedata o:title=""/>
            <o:lock v:ext="edit"/>
            <v:textpath on="t" fitshape="t" fitpath="t" trim="t" xscale="f" string="重庆市涪陵区清溪镇人民政府文件" style="font-family:方正小标宋_GBK;font-size:36pt;v-text-align:center;"/>
            <w10:wrap type="none"/>
            <w10:anchorlock/>
          </v:shape>
        </w:pict>
      </w:r>
    </w:p>
    <w:p>
      <w:pPr>
        <w:spacing w:line="760" w:lineRule="exact"/>
        <w:jc w:val="center"/>
        <w:rPr>
          <w:szCs w:val="32"/>
        </w:rPr>
      </w:pPr>
    </w:p>
    <w:p>
      <w:pPr>
        <w:spacing w:line="660" w:lineRule="exact"/>
        <w:jc w:val="center"/>
        <w:rPr>
          <w:sz w:val="32"/>
          <w:szCs w:val="32"/>
        </w:rPr>
      </w:pPr>
      <w:r>
        <w:rPr>
          <w:rFonts w:hint="eastAsia" w:eastAsia="方正仿宋_GBK"/>
          <w:sz w:val="32"/>
          <w:szCs w:val="32"/>
          <w:shd w:val="clear" w:color="auto" w:fill="FFFFFF"/>
        </w:rPr>
        <w:t>涪清溪府发</w:t>
      </w:r>
      <w:r>
        <w:rPr>
          <w:rFonts w:hint="eastAsia" w:ascii="方正仿宋_GBK" w:eastAsia="方正仿宋_GBK"/>
          <w:sz w:val="32"/>
          <w:szCs w:val="32"/>
          <w:shd w:val="clear" w:color="auto" w:fill="FFFFFF"/>
        </w:rPr>
        <w:t>〔2018〕147号</w:t>
      </w:r>
    </w:p>
    <w:p>
      <w:pPr>
        <w:spacing w:line="580" w:lineRule="exact"/>
        <w:jc w:val="center"/>
        <w:rPr>
          <w:szCs w:val="32"/>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83820</wp:posOffset>
                </wp:positionV>
                <wp:extent cx="5600700" cy="0"/>
                <wp:effectExtent l="0" t="13970" r="0" b="14605"/>
                <wp:wrapNone/>
                <wp:docPr id="2" name="直线 27"/>
                <wp:cNvGraphicFramePr/>
                <a:graphic xmlns:a="http://schemas.openxmlformats.org/drawingml/2006/main">
                  <a:graphicData uri="http://schemas.microsoft.com/office/word/2010/wordprocessingShape">
                    <wps:wsp>
                      <wps:cNvSpPr/>
                      <wps:spPr>
                        <a:xfrm>
                          <a:off x="0" y="0"/>
                          <a:ext cx="56007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7" o:spid="_x0000_s1026" o:spt="20" style="position:absolute;left:0pt;margin-left:0pt;margin-top:6.6pt;height:0pt;width:441pt;z-index:251660288;mso-width-relative:page;mso-height-relative:page;" filled="f" stroked="t" coordsize="21600,21600" o:gfxdata="UEsDBAoAAAAAAIdO4kAAAAAAAAAAAAAAAAAEAAAAZHJzL1BLAwQUAAAACACHTuJAJ+vxYNIAAAAG&#10;AQAADwAAAGRycy9kb3ducmV2LnhtbE2PTU/DMAyG70j8h8hI3Fi6IqGqNJ0AwQ0JUT52zRrTVGuc&#10;qvG67t9jxAGOfl7r9eNqs4RBzTilPpKB9SoDhdRG11Nn4P3t6aoAldiSs0MkNHDCBJv6/KyypYtH&#10;esW54U5JCaXSGvDMY6l1aj0Gm1ZxRJLsK07BsoxTp91kj1IeBp1n2Y0Otie54O2IDx7bfXMIBpbP&#10;4s5vn/n+MX68+P2ybcKcn4y5vFhnt6AYF/5bhh99UYdanHbxQC6pwYA8wkKvc1CSFkUuYPcLdF3p&#10;//r1N1BLAwQUAAAACACHTuJAa7Sex+oBAADdAwAADgAAAGRycy9lMm9Eb2MueG1srVNLbtswEN0X&#10;6B0I7mvJBpwEguUs6rqbog2Q9gBjkpII8AcObdln6TW66qbHyTU6pBynTTde1At5yBm+ee8Nubo/&#10;WsMOKqL2ruXzWc2ZcsJL7fqWf/u6fXfHGSZwEox3quUnhfx+/fbNagyNWvjBG6kiIxCHzRhaPqQU&#10;mqpCMSgLOPNBOUp2PlpItIx9JSOMhG5Ntajrm2r0UYbohUKk3c2U5GfEeA2g7zot1MaLvVUuTahR&#10;GUgkCQcdkK8L265TIn3pOlSJmZaT0lS+1ITiXf5W6xU0fYQwaHGmANdQeKXJgnbU9AK1gQRsH/U/&#10;UFaL6NF3aSa8rSYhxRFSMa9fefM4QFBFC1mN4WI6/j9Y8fnwEJmWLV9w5sDSwJ++/3j6+YstbrM5&#10;Y8CGah7DQzyvkMKs9NhFm/9JAzsWQ08XQ9UxMUGby5u6vq3Ja/Gcq14Ohojpo/KW5aDlRrusFRo4&#10;fMJEzaj0uSRvG8dGYnm3vF0SHtDN62jiFNpA7NH15TB6o+VWG5OPYOx3701kB6Dpb7c1/bImAv6r&#10;LHfZAA5TXUlN92JQID84ydIpkC+OngPPHKySnBlFrydHBAhNAm2uqaTWxhGDbOtkZI52Xp5oCvsQ&#10;dT+QFfPCMmdo6oXv+Ybma/XnuiC9vMr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fr8WDSAAAA&#10;BgEAAA8AAAAAAAAAAQAgAAAAIgAAAGRycy9kb3ducmV2LnhtbFBLAQIUABQAAAAIAIdO4kBrtJ7H&#10;6gEAAN0DAAAOAAAAAAAAAAEAIAAAACEBAABkcnMvZTJvRG9jLnhtbFBLBQYAAAAABgAGAFkBAAB9&#10;BQAAAAA=&#10;">
                <v:fill on="f" focussize="0,0"/>
                <v:stroke weight="2.25pt" color="#FF0000" joinstyle="round"/>
                <v:imagedata o:title=""/>
                <o:lock v:ext="edit" aspectratio="f"/>
              </v:line>
            </w:pict>
          </mc:Fallback>
        </mc:AlternateContent>
      </w:r>
    </w:p>
    <w:p>
      <w:pPr>
        <w:widowControl/>
        <w:shd w:val="clear" w:color="auto" w:fill="FFFFFF"/>
        <w:spacing w:line="520" w:lineRule="exact"/>
        <w:jc w:val="center"/>
        <w:outlineLvl w:val="0"/>
        <w:rPr>
          <w:rFonts w:hint="eastAsia" w:eastAsia="方正仿宋_GBK"/>
          <w:szCs w:val="32"/>
          <w:shd w:val="clear" w:color="auto" w:fill="FFFFFF"/>
        </w:rPr>
      </w:pPr>
    </w:p>
    <w:p>
      <w:pPr>
        <w:snapToGrid w:val="0"/>
        <w:spacing w:line="600" w:lineRule="exact"/>
        <w:jc w:val="center"/>
        <w:rPr>
          <w:rFonts w:eastAsia="方正小标宋_GBK"/>
          <w:sz w:val="44"/>
          <w:szCs w:val="44"/>
        </w:rPr>
      </w:pPr>
      <w:r>
        <w:rPr>
          <w:rFonts w:hint="eastAsia" w:eastAsia="方正小标宋_GBK"/>
          <w:sz w:val="44"/>
          <w:szCs w:val="44"/>
        </w:rPr>
        <w:t>重庆市涪陵区清溪镇人民政府</w:t>
      </w: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关于印发绿色食品原料（青菜头）标准化生产基地建设相关管理制度的通知</w:t>
      </w:r>
    </w:p>
    <w:p>
      <w:pPr>
        <w:spacing w:line="560" w:lineRule="exact"/>
        <w:rPr>
          <w:rFonts w:hint="eastAsia" w:ascii="方正仿宋_GBK" w:hAnsi="仿宋" w:eastAsia="方正仿宋_GBK"/>
          <w:sz w:val="32"/>
          <w:szCs w:val="32"/>
        </w:rPr>
      </w:pPr>
    </w:p>
    <w:p>
      <w:pPr>
        <w:spacing w:line="560" w:lineRule="exact"/>
        <w:rPr>
          <w:rFonts w:hint="eastAsia" w:ascii="方正仿宋_GBK" w:hAnsi="仿宋" w:eastAsia="方正仿宋_GBK"/>
          <w:sz w:val="32"/>
          <w:szCs w:val="32"/>
        </w:rPr>
      </w:pPr>
      <w:r>
        <w:rPr>
          <w:rFonts w:hint="eastAsia" w:ascii="方正仿宋_GBK" w:hAnsi="仿宋" w:eastAsia="方正仿宋_GBK"/>
          <w:sz w:val="32"/>
          <w:szCs w:val="32"/>
        </w:rPr>
        <w:t>各村（居）委，辖区榨菜企业:</w:t>
      </w:r>
    </w:p>
    <w:p>
      <w:pPr>
        <w:spacing w:line="560" w:lineRule="exact"/>
        <w:ind w:firstLine="640" w:firstLineChars="200"/>
        <w:jc w:val="left"/>
        <w:rPr>
          <w:rFonts w:hint="eastAsia" w:ascii="方正仿宋_GBK" w:hAnsi="宋体" w:eastAsia="方正仿宋_GBK"/>
          <w:sz w:val="32"/>
          <w:szCs w:val="32"/>
        </w:rPr>
      </w:pPr>
      <w:r>
        <w:rPr>
          <w:rFonts w:hint="eastAsia" w:ascii="方正仿宋_GBK" w:hAnsi="宋体" w:eastAsia="方正仿宋_GBK"/>
          <w:sz w:val="32"/>
          <w:szCs w:val="32"/>
        </w:rPr>
        <w:t>按照 《全国绿色食品原料标准化生产基地建设与管理办法》的规定和要求，现将《绿色食品原料（青菜头）标准化生产基地建设管理制度》、《基地投入品管理制度》、《基地培训制度》、《基地质量追溯管理制度》、《基地绿色标识的管理制度》等制度印发你们，请认真执行。</w:t>
      </w:r>
    </w:p>
    <w:p>
      <w:pPr>
        <w:spacing w:line="560" w:lineRule="exact"/>
        <w:jc w:val="left"/>
        <w:rPr>
          <w:rFonts w:hint="eastAsia" w:ascii="方正仿宋_GBK" w:hAnsi="宋体" w:eastAsia="方正仿宋_GBK"/>
          <w:sz w:val="32"/>
          <w:szCs w:val="32"/>
        </w:rPr>
      </w:pPr>
      <w:r>
        <w:rPr>
          <w:rFonts w:hint="eastAsia" w:ascii="方正仿宋_GBK" w:hAnsi="宋体" w:eastAsia="方正仿宋_GBK"/>
          <w:sz w:val="32"/>
          <w:szCs w:val="32"/>
        </w:rPr>
        <w:t xml:space="preserve">     附件：1、绿色食品原料（青菜头）标准化生产</w:t>
      </w:r>
    </w:p>
    <w:p>
      <w:pPr>
        <w:spacing w:line="560" w:lineRule="exact"/>
        <w:ind w:firstLine="2240" w:firstLineChars="700"/>
        <w:jc w:val="left"/>
        <w:rPr>
          <w:rFonts w:hint="eastAsia" w:ascii="方正仿宋_GBK" w:hAnsi="宋体" w:eastAsia="方正仿宋_GBK"/>
          <w:sz w:val="32"/>
          <w:szCs w:val="32"/>
        </w:rPr>
      </w:pPr>
      <w:r>
        <w:rPr>
          <w:rFonts w:hint="eastAsia" w:ascii="方正仿宋_GBK" w:hAnsi="宋体" w:eastAsia="方正仿宋_GBK"/>
          <w:sz w:val="32"/>
          <w:szCs w:val="32"/>
        </w:rPr>
        <w:t>基地建设管理制度</w:t>
      </w:r>
    </w:p>
    <w:p>
      <w:pPr>
        <w:spacing w:line="560" w:lineRule="exact"/>
        <w:ind w:firstLine="1760" w:firstLineChars="550"/>
        <w:jc w:val="left"/>
        <w:rPr>
          <w:rFonts w:hint="eastAsia" w:ascii="方正仿宋_GBK" w:hAnsi="宋体" w:eastAsia="方正仿宋_GBK"/>
          <w:sz w:val="32"/>
          <w:szCs w:val="32"/>
        </w:rPr>
      </w:pPr>
      <w:r>
        <w:rPr>
          <w:rFonts w:hint="eastAsia" w:ascii="方正仿宋_GBK" w:hAnsi="宋体" w:eastAsia="方正仿宋_GBK"/>
          <w:sz w:val="32"/>
          <w:szCs w:val="32"/>
        </w:rPr>
        <w:t>2、绿色食品原料（青菜头）标准化生产</w:t>
      </w:r>
    </w:p>
    <w:p>
      <w:pPr>
        <w:spacing w:line="560" w:lineRule="exact"/>
        <w:ind w:firstLine="2240" w:firstLineChars="700"/>
        <w:jc w:val="left"/>
        <w:rPr>
          <w:rFonts w:hint="eastAsia" w:ascii="方正仿宋_GBK" w:hAnsi="宋体" w:eastAsia="方正仿宋_GBK"/>
          <w:sz w:val="32"/>
          <w:szCs w:val="32"/>
        </w:rPr>
      </w:pPr>
      <w:r>
        <w:rPr>
          <w:rFonts w:hint="eastAsia" w:ascii="方正仿宋_GBK" w:hAnsi="宋体" w:eastAsia="方正仿宋_GBK"/>
          <w:sz w:val="32"/>
          <w:szCs w:val="32"/>
        </w:rPr>
        <w:t>基地投入品管理制度</w:t>
      </w:r>
    </w:p>
    <w:p>
      <w:pPr>
        <w:spacing w:line="560" w:lineRule="exact"/>
        <w:ind w:firstLine="1760" w:firstLineChars="550"/>
        <w:jc w:val="left"/>
        <w:rPr>
          <w:rFonts w:hint="eastAsia" w:ascii="方正仿宋_GBK" w:hAnsi="宋体" w:eastAsia="方正仿宋_GBK"/>
          <w:sz w:val="32"/>
          <w:szCs w:val="32"/>
        </w:rPr>
      </w:pPr>
      <w:r>
        <w:rPr>
          <w:rFonts w:hint="eastAsia" w:ascii="方正仿宋_GBK" w:hAnsi="宋体" w:eastAsia="方正仿宋_GBK"/>
          <w:sz w:val="32"/>
          <w:szCs w:val="32"/>
        </w:rPr>
        <w:t>3、绿色食品原料（青菜头）标准化生产</w:t>
      </w:r>
    </w:p>
    <w:p>
      <w:pPr>
        <w:spacing w:line="560" w:lineRule="exact"/>
        <w:ind w:firstLine="2240" w:firstLineChars="700"/>
        <w:jc w:val="left"/>
        <w:rPr>
          <w:rFonts w:hint="eastAsia" w:ascii="方正仿宋_GBK" w:hAnsi="宋体" w:eastAsia="方正仿宋_GBK"/>
          <w:sz w:val="32"/>
          <w:szCs w:val="32"/>
        </w:rPr>
      </w:pPr>
      <w:r>
        <w:rPr>
          <w:rFonts w:hint="eastAsia" w:ascii="方正仿宋_GBK" w:hAnsi="宋体" w:eastAsia="方正仿宋_GBK"/>
          <w:sz w:val="32"/>
          <w:szCs w:val="32"/>
        </w:rPr>
        <w:t>基地培训制度</w:t>
      </w:r>
    </w:p>
    <w:p>
      <w:pPr>
        <w:spacing w:line="560" w:lineRule="exact"/>
        <w:ind w:firstLine="1760" w:firstLineChars="550"/>
        <w:jc w:val="left"/>
        <w:rPr>
          <w:rFonts w:hint="eastAsia" w:ascii="方正仿宋_GBK" w:hAnsi="宋体" w:eastAsia="方正仿宋_GBK"/>
          <w:sz w:val="32"/>
          <w:szCs w:val="32"/>
        </w:rPr>
      </w:pPr>
      <w:r>
        <w:rPr>
          <w:rFonts w:hint="eastAsia" w:ascii="方正仿宋_GBK" w:hAnsi="宋体" w:eastAsia="方正仿宋_GBK"/>
          <w:sz w:val="32"/>
          <w:szCs w:val="32"/>
        </w:rPr>
        <w:t>4、绿色食品原料（青菜头）标准化生产</w:t>
      </w:r>
    </w:p>
    <w:p>
      <w:pPr>
        <w:spacing w:line="560" w:lineRule="exact"/>
        <w:ind w:firstLine="2240" w:firstLineChars="700"/>
        <w:jc w:val="left"/>
        <w:rPr>
          <w:rFonts w:hint="eastAsia" w:ascii="方正仿宋_GBK" w:hAnsi="宋体" w:eastAsia="方正仿宋_GBK"/>
          <w:sz w:val="32"/>
          <w:szCs w:val="32"/>
        </w:rPr>
      </w:pPr>
      <w:r>
        <w:rPr>
          <w:rFonts w:hint="eastAsia" w:ascii="方正仿宋_GBK" w:hAnsi="宋体" w:eastAsia="方正仿宋_GBK"/>
          <w:sz w:val="32"/>
          <w:szCs w:val="32"/>
        </w:rPr>
        <w:t>基地质量追溯管理制度</w:t>
      </w:r>
    </w:p>
    <w:p>
      <w:pPr>
        <w:spacing w:line="560" w:lineRule="exact"/>
        <w:ind w:firstLine="1760" w:firstLineChars="550"/>
        <w:jc w:val="left"/>
        <w:rPr>
          <w:rFonts w:hint="eastAsia" w:ascii="方正仿宋_GBK" w:hAnsi="宋体" w:eastAsia="方正仿宋_GBK"/>
          <w:sz w:val="32"/>
          <w:szCs w:val="32"/>
        </w:rPr>
      </w:pPr>
      <w:r>
        <w:rPr>
          <w:rFonts w:hint="eastAsia" w:ascii="方正仿宋_GBK" w:hAnsi="宋体" w:eastAsia="方正仿宋_GBK"/>
          <w:sz w:val="32"/>
          <w:szCs w:val="32"/>
        </w:rPr>
        <w:t>5、绿色食品原料（青菜头）标准化生产</w:t>
      </w:r>
    </w:p>
    <w:p>
      <w:pPr>
        <w:spacing w:line="560" w:lineRule="exact"/>
        <w:ind w:firstLine="2240" w:firstLineChars="700"/>
        <w:jc w:val="left"/>
        <w:rPr>
          <w:rFonts w:hint="eastAsia" w:ascii="方正仿宋_GBK" w:hAnsi="宋体" w:eastAsia="方正仿宋_GBK"/>
          <w:sz w:val="32"/>
          <w:szCs w:val="32"/>
        </w:rPr>
      </w:pPr>
      <w:r>
        <w:rPr>
          <w:rFonts w:hint="eastAsia" w:ascii="方正仿宋_GBK" w:hAnsi="宋体" w:eastAsia="方正仿宋_GBK"/>
          <w:sz w:val="32"/>
          <w:szCs w:val="32"/>
        </w:rPr>
        <w:t>基地绿色标识的管理制度</w:t>
      </w:r>
    </w:p>
    <w:p>
      <w:pPr>
        <w:spacing w:line="560" w:lineRule="exact"/>
        <w:ind w:firstLine="2240" w:firstLineChars="700"/>
        <w:jc w:val="left"/>
        <w:rPr>
          <w:rFonts w:hint="eastAsia" w:ascii="方正仿宋_GBK" w:hAnsi="宋体" w:eastAsia="方正仿宋_GBK"/>
          <w:sz w:val="32"/>
          <w:szCs w:val="32"/>
        </w:rPr>
      </w:pPr>
    </w:p>
    <w:p>
      <w:pPr>
        <w:spacing w:line="520" w:lineRule="exact"/>
        <w:ind w:firstLine="630"/>
        <w:rPr>
          <w:rFonts w:hint="eastAsia" w:ascii="方正仿宋_GBK" w:eastAsia="方正仿宋_GBK"/>
          <w:sz w:val="32"/>
          <w:szCs w:val="32"/>
        </w:rPr>
      </w:pPr>
    </w:p>
    <w:p>
      <w:pPr>
        <w:spacing w:line="520" w:lineRule="exact"/>
        <w:rPr>
          <w:rFonts w:hint="eastAsia" w:ascii="方正仿宋_GBK" w:eastAsia="方正仿宋_GBK"/>
          <w:sz w:val="32"/>
          <w:szCs w:val="32"/>
        </w:rPr>
      </w:pPr>
    </w:p>
    <w:p>
      <w:pPr>
        <w:spacing w:line="570" w:lineRule="exact"/>
        <w:ind w:right="640"/>
        <w:jc w:val="right"/>
        <w:rPr>
          <w:rFonts w:hint="eastAsia" w:ascii="方正仿宋_GBK" w:eastAsia="方正仿宋_GBK" w:cs="仿宋"/>
          <w:sz w:val="32"/>
          <w:szCs w:val="32"/>
        </w:rPr>
      </w:pPr>
      <w:r>
        <w:rPr>
          <w:rFonts w:hint="eastAsia" w:ascii="方正仿宋_GBK" w:eastAsia="方正仿宋_GBK" w:cs="仿宋"/>
          <w:sz w:val="32"/>
          <w:szCs w:val="32"/>
        </w:rPr>
        <w:t>重庆市涪陵区清溪镇人民政府</w:t>
      </w:r>
    </w:p>
    <w:p>
      <w:pPr>
        <w:widowControl/>
        <w:spacing w:line="570" w:lineRule="exact"/>
        <w:rPr>
          <w:rFonts w:hint="eastAsia" w:ascii="方正仿宋_GBK" w:eastAsia="方正仿宋_GBK" w:cs="仿宋"/>
          <w:sz w:val="32"/>
          <w:szCs w:val="32"/>
        </w:rPr>
      </w:pPr>
      <w:r>
        <w:rPr>
          <w:rFonts w:hint="eastAsia" w:ascii="方正仿宋_GBK" w:eastAsia="方正仿宋_GBK" w:cs="仿宋"/>
          <w:sz w:val="32"/>
          <w:szCs w:val="32"/>
        </w:rPr>
        <w:t xml:space="preserve">                               2018年10月18日</w:t>
      </w:r>
    </w:p>
    <w:p>
      <w:pPr>
        <w:widowControl/>
        <w:spacing w:line="570" w:lineRule="exact"/>
        <w:rPr>
          <w:rFonts w:hint="eastAsia" w:ascii="方正仿宋_GBK" w:eastAsia="方正仿宋_GBK" w:cs="仿宋"/>
          <w:sz w:val="32"/>
          <w:szCs w:val="32"/>
        </w:rPr>
      </w:pPr>
    </w:p>
    <w:p>
      <w:pPr>
        <w:widowControl/>
        <w:spacing w:line="570" w:lineRule="exact"/>
        <w:rPr>
          <w:rFonts w:hint="eastAsia" w:ascii="方正仿宋_GBK" w:eastAsia="方正仿宋_GBK" w:cs="仿宋"/>
          <w:sz w:val="32"/>
          <w:szCs w:val="32"/>
        </w:rPr>
      </w:pPr>
    </w:p>
    <w:p>
      <w:pPr>
        <w:widowControl/>
        <w:spacing w:line="570" w:lineRule="exact"/>
        <w:rPr>
          <w:rFonts w:hint="eastAsia" w:ascii="方正仿宋_GBK" w:eastAsia="方正仿宋_GBK" w:cs="仿宋"/>
          <w:sz w:val="32"/>
          <w:szCs w:val="32"/>
        </w:rPr>
      </w:pPr>
    </w:p>
    <w:p>
      <w:pPr>
        <w:widowControl/>
        <w:spacing w:line="570" w:lineRule="exact"/>
        <w:rPr>
          <w:rFonts w:hint="eastAsia" w:ascii="方正仿宋_GBK" w:eastAsia="方正仿宋_GBK" w:cs="仿宋"/>
          <w:sz w:val="32"/>
          <w:szCs w:val="32"/>
        </w:rPr>
      </w:pPr>
    </w:p>
    <w:p>
      <w:pPr>
        <w:widowControl/>
        <w:spacing w:line="570" w:lineRule="exact"/>
        <w:rPr>
          <w:rFonts w:hint="eastAsia" w:ascii="方正仿宋_GBK" w:eastAsia="方正仿宋_GBK" w:cs="仿宋"/>
          <w:sz w:val="32"/>
          <w:szCs w:val="32"/>
        </w:rPr>
      </w:pPr>
    </w:p>
    <w:p>
      <w:pPr>
        <w:widowControl/>
        <w:spacing w:line="570" w:lineRule="exact"/>
        <w:rPr>
          <w:rFonts w:hint="eastAsia" w:ascii="方正仿宋_GBK" w:eastAsia="方正仿宋_GBK" w:cs="仿宋"/>
          <w:sz w:val="32"/>
          <w:szCs w:val="32"/>
        </w:rPr>
      </w:pPr>
    </w:p>
    <w:p>
      <w:pPr>
        <w:widowControl/>
        <w:spacing w:line="570" w:lineRule="exact"/>
        <w:rPr>
          <w:rFonts w:hint="eastAsia" w:ascii="方正仿宋_GBK" w:eastAsia="方正仿宋_GBK" w:cs="仿宋"/>
          <w:sz w:val="32"/>
          <w:szCs w:val="32"/>
        </w:rPr>
      </w:pPr>
    </w:p>
    <w:p>
      <w:pPr>
        <w:widowControl/>
        <w:spacing w:line="570" w:lineRule="exact"/>
        <w:rPr>
          <w:rFonts w:hint="eastAsia" w:ascii="方正仿宋_GBK" w:eastAsia="方正仿宋_GBK" w:cs="仿宋"/>
          <w:sz w:val="32"/>
          <w:szCs w:val="32"/>
        </w:rPr>
      </w:pPr>
    </w:p>
    <w:p>
      <w:pPr>
        <w:widowControl/>
        <w:spacing w:line="570" w:lineRule="exact"/>
        <w:rPr>
          <w:rFonts w:hint="eastAsia" w:ascii="方正仿宋_GBK" w:eastAsia="方正仿宋_GBK"/>
          <w:sz w:val="32"/>
          <w:szCs w:val="32"/>
        </w:rPr>
      </w:pPr>
    </w:p>
    <w:p>
      <w:pPr>
        <w:spacing w:line="520" w:lineRule="exact"/>
        <w:rPr>
          <w:rFonts w:hint="eastAsia" w:ascii="方正黑体_GBK" w:hAnsi="仿宋" w:eastAsia="方正黑体_GBK"/>
          <w:sz w:val="32"/>
          <w:szCs w:val="32"/>
        </w:rPr>
      </w:pPr>
      <w:r>
        <w:rPr>
          <w:rFonts w:hint="eastAsia" w:ascii="方正黑体_GBK" w:hAnsi="仿宋" w:eastAsia="方正黑体_GBK"/>
          <w:sz w:val="32"/>
          <w:szCs w:val="32"/>
        </w:rPr>
        <w:t>附件1：</w:t>
      </w:r>
    </w:p>
    <w:p>
      <w:pPr>
        <w:spacing w:line="520" w:lineRule="exact"/>
        <w:rPr>
          <w:rFonts w:ascii="方正小标宋_GBK" w:hAnsi="宋体" w:eastAsia="方正小标宋_GBK"/>
          <w:b/>
          <w:sz w:val="36"/>
          <w:szCs w:val="36"/>
        </w:rPr>
      </w:pPr>
    </w:p>
    <w:p>
      <w:pPr>
        <w:spacing w:line="520" w:lineRule="exact"/>
        <w:jc w:val="center"/>
        <w:rPr>
          <w:rFonts w:ascii="方正小标宋_GBK" w:hAnsi="宋体" w:eastAsia="方正小标宋_GBK"/>
          <w:b/>
          <w:sz w:val="36"/>
          <w:szCs w:val="36"/>
        </w:rPr>
      </w:pPr>
      <w:r>
        <w:rPr>
          <w:rFonts w:hint="eastAsia" w:ascii="方正小标宋_GBK" w:hAnsi="宋体" w:eastAsia="方正小标宋_GBK"/>
          <w:b/>
          <w:sz w:val="36"/>
          <w:szCs w:val="36"/>
        </w:rPr>
        <w:t>绿色食品原料（青菜头）标准化生产基地建设</w:t>
      </w:r>
    </w:p>
    <w:p>
      <w:pPr>
        <w:spacing w:line="520" w:lineRule="exact"/>
        <w:jc w:val="center"/>
        <w:rPr>
          <w:rFonts w:ascii="方正小标宋_GBK" w:hAnsi="仿宋" w:eastAsia="方正小标宋_GBK"/>
          <w:b/>
          <w:sz w:val="36"/>
          <w:szCs w:val="36"/>
        </w:rPr>
      </w:pPr>
      <w:r>
        <w:rPr>
          <w:rFonts w:hint="eastAsia" w:ascii="方正小标宋_GBK" w:hAnsi="宋体" w:eastAsia="方正小标宋_GBK"/>
          <w:b/>
          <w:sz w:val="36"/>
          <w:szCs w:val="36"/>
        </w:rPr>
        <w:t>管理制度</w:t>
      </w:r>
    </w:p>
    <w:p>
      <w:pPr>
        <w:spacing w:line="520" w:lineRule="exact"/>
        <w:ind w:firstLine="640" w:firstLineChars="200"/>
        <w:rPr>
          <w:rFonts w:ascii="方正仿宋_GBK" w:hAnsi="仿宋" w:eastAsia="方正仿宋_GBK"/>
          <w:sz w:val="32"/>
          <w:szCs w:val="32"/>
        </w:rPr>
      </w:pPr>
    </w:p>
    <w:p>
      <w:pPr>
        <w:spacing w:line="52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按照绿色农业原料标准化生产基地创建要求，为加强绿色农业生产基地的管理，特制定本制度，适用于清溪镇辖区的所有绿色农业生产基地。</w:t>
      </w:r>
    </w:p>
    <w:p>
      <w:pPr>
        <w:spacing w:line="520" w:lineRule="exact"/>
        <w:ind w:firstLine="640" w:firstLineChars="200"/>
        <w:rPr>
          <w:rFonts w:ascii="方正黑体_GBK" w:hAnsi="仿宋" w:eastAsia="方正黑体_GBK"/>
          <w:sz w:val="32"/>
          <w:szCs w:val="32"/>
        </w:rPr>
      </w:pPr>
      <w:r>
        <w:rPr>
          <w:rFonts w:hint="eastAsia" w:ascii="方正黑体_GBK" w:hAnsi="仿宋" w:eastAsia="方正黑体_GBK"/>
          <w:sz w:val="32"/>
          <w:szCs w:val="32"/>
        </w:rPr>
        <w:t>一、生产管理制度</w:t>
      </w:r>
    </w:p>
    <w:p>
      <w:pPr>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1</w:t>
      </w:r>
      <w:r>
        <w:rPr>
          <w:rFonts w:hint="eastAsia" w:ascii="方正仿宋_GBK" w:hAnsi="仿宋" w:eastAsia="方正仿宋_GBK"/>
          <w:sz w:val="32"/>
          <w:szCs w:val="32"/>
        </w:rPr>
        <w:t>、实行“统一管理、统一供种、统一技术、统一施肥、统一用药、统一质量标准、统一价格、统一收购”</w:t>
      </w:r>
    </w:p>
    <w:p>
      <w:pPr>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2</w:t>
      </w:r>
      <w:r>
        <w:rPr>
          <w:rFonts w:hint="eastAsia" w:ascii="方正仿宋_GBK" w:hAnsi="仿宋" w:eastAsia="方正仿宋_GBK"/>
          <w:sz w:val="32"/>
          <w:szCs w:val="32"/>
        </w:rPr>
        <w:t>、利用清洁无污染的水源。</w:t>
      </w:r>
    </w:p>
    <w:p>
      <w:pPr>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3</w:t>
      </w:r>
      <w:r>
        <w:rPr>
          <w:rFonts w:hint="eastAsia" w:ascii="方正仿宋_GBK" w:hAnsi="仿宋" w:eastAsia="方正仿宋_GBK"/>
          <w:sz w:val="32"/>
          <w:szCs w:val="32"/>
        </w:rPr>
        <w:t>、设有固定的防盗设施，并有专人管理的农用物资存放场所，有季节性地组织人员巡逻。</w:t>
      </w:r>
    </w:p>
    <w:p>
      <w:pPr>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4</w:t>
      </w:r>
      <w:r>
        <w:rPr>
          <w:rFonts w:hint="eastAsia" w:ascii="方正仿宋_GBK" w:hAnsi="仿宋" w:eastAsia="方正仿宋_GBK"/>
          <w:sz w:val="32"/>
          <w:szCs w:val="32"/>
        </w:rPr>
        <w:t>、配备绿色种植、加工专业技术人员，负责现场技术指导。</w:t>
      </w:r>
    </w:p>
    <w:p>
      <w:pPr>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5</w:t>
      </w:r>
      <w:r>
        <w:rPr>
          <w:rFonts w:hint="eastAsia" w:ascii="方正仿宋_GBK" w:hAnsi="仿宋" w:eastAsia="方正仿宋_GBK"/>
          <w:sz w:val="32"/>
          <w:szCs w:val="32"/>
        </w:rPr>
        <w:t>、配有专用的工具及其它农用器具。</w:t>
      </w:r>
    </w:p>
    <w:p>
      <w:pPr>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6</w:t>
      </w:r>
      <w:r>
        <w:rPr>
          <w:rFonts w:hint="eastAsia" w:ascii="方正仿宋_GBK" w:hAnsi="仿宋" w:eastAsia="方正仿宋_GBK"/>
          <w:sz w:val="32"/>
          <w:szCs w:val="32"/>
        </w:rPr>
        <w:t>、封闭式、制度化管理，无关人员严禁进入基地。</w:t>
      </w:r>
    </w:p>
    <w:p>
      <w:pPr>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7</w:t>
      </w:r>
      <w:r>
        <w:rPr>
          <w:rFonts w:hint="eastAsia" w:ascii="方正仿宋_GBK" w:hAnsi="仿宋" w:eastAsia="方正仿宋_GBK"/>
          <w:sz w:val="32"/>
          <w:szCs w:val="32"/>
        </w:rPr>
        <w:t>、对基地周边环境经常进行观察记载，防止污染源侵入绿色基地，一旦发现即时报告处置。</w:t>
      </w:r>
    </w:p>
    <w:p>
      <w:pPr>
        <w:spacing w:line="520" w:lineRule="exact"/>
        <w:ind w:firstLine="640" w:firstLineChars="200"/>
        <w:rPr>
          <w:rFonts w:ascii="方正黑体_GBK" w:hAnsi="仿宋" w:eastAsia="方正黑体_GBK"/>
          <w:sz w:val="32"/>
          <w:szCs w:val="32"/>
        </w:rPr>
      </w:pPr>
      <w:r>
        <w:rPr>
          <w:rFonts w:hint="eastAsia" w:ascii="方正黑体_GBK" w:hAnsi="仿宋" w:eastAsia="方正黑体_GBK"/>
          <w:sz w:val="32"/>
          <w:szCs w:val="32"/>
        </w:rPr>
        <w:t>二、产品溯源制度</w:t>
      </w:r>
    </w:p>
    <w:p>
      <w:pPr>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1</w:t>
      </w:r>
      <w:r>
        <w:rPr>
          <w:rFonts w:hint="eastAsia" w:ascii="方正仿宋_GBK" w:hAnsi="仿宋" w:eastAsia="方正仿宋_GBK"/>
          <w:sz w:val="32"/>
          <w:szCs w:val="32"/>
        </w:rPr>
        <w:t>、对各基地的不同品种进行编号，基地根据各个品种的批次进行编号，使用统一内容格式的标识。</w:t>
      </w:r>
    </w:p>
    <w:p>
      <w:pPr>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2</w:t>
      </w:r>
      <w:r>
        <w:rPr>
          <w:rFonts w:hint="eastAsia" w:ascii="方正仿宋_GBK" w:hAnsi="仿宋" w:eastAsia="方正仿宋_GBK"/>
          <w:sz w:val="32"/>
          <w:szCs w:val="32"/>
        </w:rPr>
        <w:t>、基地对生产的品种、数量、时间、批次等进行详细记录，在包装物上系挂统一标识。</w:t>
      </w:r>
    </w:p>
    <w:p>
      <w:pPr>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3</w:t>
      </w:r>
      <w:r>
        <w:rPr>
          <w:rFonts w:hint="eastAsia" w:ascii="方正仿宋_GBK" w:hAnsi="仿宋" w:eastAsia="方正仿宋_GBK"/>
          <w:sz w:val="32"/>
          <w:szCs w:val="32"/>
        </w:rPr>
        <w:t>、收购产品时详细记录基地交售的产品标识内容。</w:t>
      </w:r>
    </w:p>
    <w:p>
      <w:pPr>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4</w:t>
      </w:r>
      <w:r>
        <w:rPr>
          <w:rFonts w:hint="eastAsia" w:ascii="方正仿宋_GBK" w:hAnsi="仿宋" w:eastAsia="方正仿宋_GBK"/>
          <w:sz w:val="32"/>
          <w:szCs w:val="32"/>
        </w:rPr>
        <w:t>、在生产加工各个环节的质量记录，要体现产品标识相关内容。</w:t>
      </w:r>
    </w:p>
    <w:p>
      <w:pPr>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5</w:t>
      </w:r>
      <w:r>
        <w:rPr>
          <w:rFonts w:hint="eastAsia" w:ascii="方正仿宋_GBK" w:hAnsi="仿宋" w:eastAsia="方正仿宋_GBK"/>
          <w:sz w:val="32"/>
          <w:szCs w:val="32"/>
        </w:rPr>
        <w:t>、产品出售时要记录该批产品的原料来自哪个基地的哪个批次，以便进行质量溯源。</w:t>
      </w:r>
    </w:p>
    <w:p>
      <w:pPr>
        <w:spacing w:line="520" w:lineRule="exact"/>
        <w:ind w:firstLine="640" w:firstLineChars="200"/>
        <w:rPr>
          <w:rFonts w:ascii="方正黑体_GBK" w:hAnsi="仿宋" w:eastAsia="方正黑体_GBK"/>
          <w:sz w:val="32"/>
          <w:szCs w:val="32"/>
        </w:rPr>
      </w:pPr>
      <w:r>
        <w:rPr>
          <w:rFonts w:hint="eastAsia" w:ascii="方正黑体_GBK" w:hAnsi="仿宋" w:eastAsia="方正黑体_GBK"/>
          <w:sz w:val="32"/>
          <w:szCs w:val="32"/>
        </w:rPr>
        <w:t>三、基地管理员职责</w:t>
      </w:r>
    </w:p>
    <w:p>
      <w:pPr>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1</w:t>
      </w:r>
      <w:r>
        <w:rPr>
          <w:rFonts w:hint="eastAsia" w:ascii="方正仿宋_GBK" w:hAnsi="仿宋" w:eastAsia="方正仿宋_GBK"/>
          <w:sz w:val="32"/>
          <w:szCs w:val="32"/>
        </w:rPr>
        <w:t>、熟悉绿色产品国家标准；具备种植、加工专业知识，经过有关机构培训合格。</w:t>
      </w:r>
    </w:p>
    <w:p>
      <w:pPr>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2</w:t>
      </w:r>
      <w:r>
        <w:rPr>
          <w:rFonts w:hint="eastAsia" w:ascii="方正仿宋_GBK" w:hAnsi="仿宋" w:eastAsia="方正仿宋_GBK"/>
          <w:sz w:val="32"/>
          <w:szCs w:val="32"/>
        </w:rPr>
        <w:t>、负责基地环境卫生管理，做好周边农田、养殖场、加工场所作业情况管理，对农业生产等进行监测监督管理。</w:t>
      </w:r>
    </w:p>
    <w:p>
      <w:pPr>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3</w:t>
      </w:r>
      <w:r>
        <w:rPr>
          <w:rFonts w:hint="eastAsia" w:ascii="方正仿宋_GBK" w:hAnsi="仿宋" w:eastAsia="方正仿宋_GBK"/>
          <w:sz w:val="32"/>
          <w:szCs w:val="32"/>
        </w:rPr>
        <w:t>、负责对基地作物病虫害的防治建立完善的记录系统和管理档案。</w:t>
      </w:r>
    </w:p>
    <w:p>
      <w:pPr>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4</w:t>
      </w:r>
      <w:r>
        <w:rPr>
          <w:rFonts w:hint="eastAsia" w:ascii="方正仿宋_GBK" w:hAnsi="仿宋" w:eastAsia="方正仿宋_GBK"/>
          <w:sz w:val="32"/>
          <w:szCs w:val="32"/>
        </w:rPr>
        <w:t>、负责对种植人员进行病虫害防治知识培训。</w:t>
      </w:r>
    </w:p>
    <w:p>
      <w:pPr>
        <w:spacing w:line="520" w:lineRule="exact"/>
        <w:ind w:firstLine="640" w:firstLineChars="200"/>
        <w:rPr>
          <w:rFonts w:ascii="方正仿宋_GBK" w:hAnsi="仿宋" w:eastAsia="方正仿宋_GBK"/>
          <w:sz w:val="32"/>
          <w:szCs w:val="32"/>
        </w:rPr>
      </w:pPr>
    </w:p>
    <w:p>
      <w:pPr>
        <w:spacing w:line="520" w:lineRule="exact"/>
        <w:ind w:firstLine="640" w:firstLineChars="200"/>
        <w:rPr>
          <w:rFonts w:ascii="方正仿宋_GBK" w:hAnsi="仿宋" w:eastAsia="方正仿宋_GBK"/>
          <w:sz w:val="32"/>
          <w:szCs w:val="32"/>
        </w:rPr>
      </w:pPr>
    </w:p>
    <w:p>
      <w:pPr>
        <w:spacing w:line="520" w:lineRule="exact"/>
        <w:ind w:firstLine="640" w:firstLineChars="200"/>
        <w:rPr>
          <w:rFonts w:ascii="方正仿宋_GBK" w:hAnsi="仿宋" w:eastAsia="方正仿宋_GBK"/>
          <w:sz w:val="32"/>
          <w:szCs w:val="32"/>
        </w:rPr>
      </w:pPr>
    </w:p>
    <w:p>
      <w:pPr>
        <w:spacing w:line="520" w:lineRule="exact"/>
        <w:ind w:firstLine="640" w:firstLineChars="200"/>
        <w:rPr>
          <w:rFonts w:ascii="方正仿宋_GBK" w:hAnsi="仿宋" w:eastAsia="方正仿宋_GBK"/>
          <w:sz w:val="32"/>
          <w:szCs w:val="32"/>
        </w:rPr>
      </w:pPr>
    </w:p>
    <w:p>
      <w:pPr>
        <w:spacing w:line="520" w:lineRule="exact"/>
        <w:ind w:firstLine="640" w:firstLineChars="200"/>
        <w:rPr>
          <w:rFonts w:ascii="方正仿宋_GBK" w:hAnsi="仿宋" w:eastAsia="方正仿宋_GBK"/>
          <w:sz w:val="32"/>
          <w:szCs w:val="32"/>
        </w:rPr>
      </w:pPr>
    </w:p>
    <w:p>
      <w:pPr>
        <w:spacing w:line="520" w:lineRule="exact"/>
        <w:ind w:firstLine="640" w:firstLineChars="200"/>
        <w:rPr>
          <w:rFonts w:ascii="方正仿宋_GBK" w:hAnsi="仿宋" w:eastAsia="方正仿宋_GBK"/>
          <w:sz w:val="32"/>
          <w:szCs w:val="32"/>
        </w:rPr>
      </w:pPr>
    </w:p>
    <w:p>
      <w:pPr>
        <w:spacing w:line="520" w:lineRule="exact"/>
        <w:ind w:firstLine="640" w:firstLineChars="200"/>
        <w:rPr>
          <w:rFonts w:ascii="方正仿宋_GBK" w:hAnsi="仿宋" w:eastAsia="方正仿宋_GBK"/>
          <w:sz w:val="32"/>
          <w:szCs w:val="32"/>
        </w:rPr>
      </w:pPr>
    </w:p>
    <w:p>
      <w:pPr>
        <w:spacing w:line="520" w:lineRule="exact"/>
        <w:ind w:firstLine="640" w:firstLineChars="200"/>
        <w:rPr>
          <w:rFonts w:ascii="方正仿宋_GBK" w:hAnsi="仿宋" w:eastAsia="方正仿宋_GBK"/>
          <w:sz w:val="32"/>
          <w:szCs w:val="32"/>
        </w:rPr>
      </w:pPr>
    </w:p>
    <w:p>
      <w:pPr>
        <w:spacing w:line="520" w:lineRule="exact"/>
        <w:ind w:firstLine="640" w:firstLineChars="200"/>
        <w:rPr>
          <w:rFonts w:ascii="方正仿宋_GBK" w:hAnsi="仿宋" w:eastAsia="方正仿宋_GBK"/>
          <w:sz w:val="32"/>
          <w:szCs w:val="32"/>
        </w:rPr>
      </w:pPr>
    </w:p>
    <w:p>
      <w:pPr>
        <w:spacing w:line="520" w:lineRule="exact"/>
        <w:ind w:firstLine="640" w:firstLineChars="200"/>
        <w:rPr>
          <w:rFonts w:ascii="方正仿宋_GBK" w:hAnsi="仿宋" w:eastAsia="方正仿宋_GBK"/>
          <w:sz w:val="32"/>
          <w:szCs w:val="32"/>
        </w:rPr>
      </w:pPr>
    </w:p>
    <w:p>
      <w:pPr>
        <w:spacing w:line="520" w:lineRule="exact"/>
        <w:ind w:firstLine="640" w:firstLineChars="200"/>
        <w:rPr>
          <w:rFonts w:ascii="方正仿宋_GBK" w:hAnsi="仿宋" w:eastAsia="方正仿宋_GBK"/>
          <w:sz w:val="32"/>
          <w:szCs w:val="32"/>
        </w:rPr>
      </w:pPr>
    </w:p>
    <w:p>
      <w:pPr>
        <w:jc w:val="left"/>
        <w:rPr>
          <w:rFonts w:hint="eastAsia" w:ascii="方正黑体_GBK" w:hAnsi="宋体" w:eastAsia="方正黑体_GBK"/>
          <w:sz w:val="32"/>
          <w:szCs w:val="32"/>
        </w:rPr>
      </w:pPr>
      <w:r>
        <w:rPr>
          <w:rFonts w:hint="eastAsia" w:ascii="方正黑体_GBK" w:hAnsi="宋体" w:eastAsia="方正黑体_GBK"/>
          <w:sz w:val="32"/>
          <w:szCs w:val="32"/>
        </w:rPr>
        <w:t>附件2：</w:t>
      </w:r>
    </w:p>
    <w:p>
      <w:pPr>
        <w:jc w:val="left"/>
        <w:rPr>
          <w:rFonts w:hint="eastAsia" w:ascii="方正黑体_GBK" w:hAnsi="宋体" w:eastAsia="方正黑体_GBK"/>
          <w:sz w:val="32"/>
          <w:szCs w:val="32"/>
        </w:rPr>
      </w:pPr>
    </w:p>
    <w:p>
      <w:pPr>
        <w:jc w:val="center"/>
        <w:rPr>
          <w:rFonts w:ascii="方正小标宋_GBK" w:hAnsi="宋体" w:eastAsia="方正小标宋_GBK"/>
          <w:b/>
          <w:sz w:val="36"/>
          <w:szCs w:val="36"/>
        </w:rPr>
      </w:pPr>
      <w:r>
        <w:rPr>
          <w:rFonts w:hint="eastAsia" w:ascii="方正小标宋_GBK" w:hAnsi="宋体" w:eastAsia="方正小标宋_GBK"/>
          <w:b/>
          <w:sz w:val="36"/>
          <w:szCs w:val="36"/>
        </w:rPr>
        <w:t>绿色食品原料（青菜头）标准化生产基地</w:t>
      </w:r>
    </w:p>
    <w:p>
      <w:pPr>
        <w:jc w:val="center"/>
        <w:rPr>
          <w:rFonts w:ascii="方正小标宋_GBK" w:hAnsi="宋体" w:eastAsia="方正小标宋_GBK"/>
          <w:b/>
          <w:sz w:val="36"/>
          <w:szCs w:val="36"/>
        </w:rPr>
      </w:pPr>
      <w:r>
        <w:rPr>
          <w:rFonts w:hint="eastAsia" w:ascii="方正小标宋_GBK" w:hAnsi="宋体" w:eastAsia="方正小标宋_GBK"/>
          <w:b/>
          <w:sz w:val="36"/>
          <w:szCs w:val="36"/>
        </w:rPr>
        <w:t>投入品管理制度</w:t>
      </w:r>
    </w:p>
    <w:p>
      <w:pPr>
        <w:spacing w:line="560" w:lineRule="exact"/>
        <w:ind w:firstLine="720" w:firstLineChars="200"/>
        <w:rPr>
          <w:rFonts w:ascii="方正小标宋_GBK" w:hAnsi="宋体" w:eastAsia="方正小标宋_GBK"/>
          <w:b/>
          <w:sz w:val="36"/>
          <w:szCs w:val="36"/>
        </w:rPr>
      </w:pPr>
    </w:p>
    <w:p>
      <w:pPr>
        <w:spacing w:line="52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为创建全国绿色食品青菜头原料标准化生产基地，从源头上把好绿色产品质量安全关，特制定本制度，适用于清溪镇辖区的所有绿色农业生产基地的生产投入品管理。</w:t>
      </w:r>
    </w:p>
    <w:p>
      <w:pPr>
        <w:spacing w:line="520" w:lineRule="exact"/>
        <w:ind w:firstLine="640" w:firstLineChars="200"/>
        <w:rPr>
          <w:rFonts w:ascii="方正仿宋_GBK" w:hAnsi="仿宋" w:eastAsia="方正仿宋_GBK"/>
          <w:sz w:val="32"/>
          <w:szCs w:val="32"/>
        </w:rPr>
      </w:pPr>
      <w:r>
        <w:rPr>
          <w:rFonts w:hint="eastAsia" w:ascii="方正黑体_GBK" w:hAnsi="仿宋" w:eastAsia="方正黑体_GBK"/>
          <w:sz w:val="32"/>
          <w:szCs w:val="32"/>
        </w:rPr>
        <w:t>一、严把基地农业投入品准入关。</w:t>
      </w:r>
      <w:r>
        <w:rPr>
          <w:rFonts w:hint="eastAsia" w:ascii="方正仿宋_GBK" w:hAnsi="仿宋" w:eastAsia="方正仿宋_GBK"/>
          <w:sz w:val="32"/>
          <w:szCs w:val="32"/>
        </w:rPr>
        <w:t>加强基地农业投入品管理，堵住农药残留源头，对基地使用的肥料、农药，必须符合绿色产品国家标准的相关规定，由基地负责人造册登记、跟踪检查，同时印发农户使用手册，指导农户按规定使用。</w:t>
      </w:r>
    </w:p>
    <w:p>
      <w:pPr>
        <w:spacing w:line="520" w:lineRule="exact"/>
        <w:ind w:firstLine="640" w:firstLineChars="200"/>
        <w:rPr>
          <w:rFonts w:ascii="方正仿宋_GBK" w:hAnsi="仿宋" w:eastAsia="方正仿宋_GBK"/>
          <w:sz w:val="32"/>
          <w:szCs w:val="32"/>
        </w:rPr>
      </w:pPr>
      <w:r>
        <w:rPr>
          <w:rFonts w:hint="eastAsia" w:ascii="方正黑体_GBK" w:hAnsi="仿宋" w:eastAsia="方正黑体_GBK"/>
          <w:sz w:val="32"/>
          <w:szCs w:val="32"/>
        </w:rPr>
        <w:t>二、建立基地投入品连锁经营和定点销售点。</w:t>
      </w:r>
      <w:r>
        <w:rPr>
          <w:rFonts w:hint="eastAsia" w:ascii="方正仿宋_GBK" w:hAnsi="仿宋" w:eastAsia="方正仿宋_GBK"/>
          <w:sz w:val="32"/>
          <w:szCs w:val="32"/>
        </w:rPr>
        <w:t>充分发挥产业化龙头企业的作用，按照服务基地，方便群众的原则，有计划地建立农资连锁店和定点销售，将基地使用的肥料、农药直接配送，确保使用安全。</w:t>
      </w:r>
    </w:p>
    <w:p>
      <w:pPr>
        <w:spacing w:line="520" w:lineRule="exact"/>
        <w:ind w:firstLine="640" w:firstLineChars="200"/>
        <w:rPr>
          <w:rFonts w:ascii="方正仿宋_GBK" w:hAnsi="仿宋" w:eastAsia="方正仿宋_GBK"/>
          <w:sz w:val="32"/>
          <w:szCs w:val="32"/>
        </w:rPr>
      </w:pPr>
      <w:r>
        <w:rPr>
          <w:rFonts w:hint="eastAsia" w:ascii="方正黑体_GBK" w:hAnsi="仿宋" w:eastAsia="方正黑体_GBK"/>
          <w:sz w:val="32"/>
          <w:szCs w:val="32"/>
        </w:rPr>
        <w:t>三、抓好技术培训。</w:t>
      </w:r>
      <w:r>
        <w:rPr>
          <w:rFonts w:hint="eastAsia" w:ascii="方正仿宋_GBK" w:hAnsi="仿宋" w:eastAsia="方正仿宋_GBK"/>
          <w:sz w:val="32"/>
          <w:szCs w:val="32"/>
        </w:rPr>
        <w:t>严格按照绿色产品国家标准和技术规程组织生产，确保产品质量安全，认真贯彻“关口前移</w:t>
      </w:r>
      <w:r>
        <w:rPr>
          <w:rFonts w:ascii="方正仿宋_GBK" w:hAnsi="仿宋" w:eastAsia="方正仿宋_GBK"/>
          <w:sz w:val="32"/>
          <w:szCs w:val="32"/>
        </w:rPr>
        <w:t>"</w:t>
      </w:r>
      <w:r>
        <w:rPr>
          <w:rFonts w:hint="eastAsia" w:ascii="方正仿宋_GBK" w:hAnsi="仿宋" w:eastAsia="方正仿宋_GBK"/>
          <w:sz w:val="32"/>
          <w:szCs w:val="32"/>
        </w:rPr>
        <w:t>的指导方方针、推广实用技术，广泛开展技术培训，施用来源于绿色农业生产系统的绿色肥，使用物理、生物、农艺措施和方法综合防治作物病虫害。</w:t>
      </w:r>
      <w:r>
        <w:rPr>
          <w:rFonts w:ascii="方正仿宋_GBK" w:hAnsi="仿宋" w:eastAsia="方正仿宋_GBK"/>
          <w:sz w:val="32"/>
          <w:szCs w:val="32"/>
        </w:rPr>
        <w:t xml:space="preserve">  </w:t>
      </w:r>
    </w:p>
    <w:p>
      <w:pPr>
        <w:spacing w:line="520" w:lineRule="exact"/>
        <w:ind w:firstLine="640" w:firstLineChars="200"/>
        <w:rPr>
          <w:rFonts w:ascii="方正仿宋_GBK" w:hAnsi="仿宋" w:eastAsia="方正仿宋_GBK"/>
          <w:sz w:val="32"/>
          <w:szCs w:val="32"/>
        </w:rPr>
      </w:pPr>
      <w:r>
        <w:rPr>
          <w:rFonts w:hint="eastAsia" w:ascii="方正黑体_GBK" w:hAnsi="仿宋" w:eastAsia="方正黑体_GBK"/>
          <w:sz w:val="32"/>
          <w:szCs w:val="32"/>
        </w:rPr>
        <w:t>四、抓好质量抽查。</w:t>
      </w:r>
      <w:r>
        <w:rPr>
          <w:rFonts w:hint="eastAsia" w:ascii="方正仿宋_GBK" w:hAnsi="仿宋" w:eastAsia="方正仿宋_GBK"/>
          <w:sz w:val="32"/>
          <w:szCs w:val="32"/>
        </w:rPr>
        <w:t>基地办对基地的农业投入品投放点开展不定期的质量抽查工作，确保基地使用的农业投入品符合绿色产品生产相关标准；加强对农药、肥料等投入品的检查，禁用农药、化肥、转基因产品、辐射技术。</w:t>
      </w:r>
    </w:p>
    <w:p>
      <w:pPr>
        <w:spacing w:line="520" w:lineRule="exact"/>
        <w:ind w:firstLine="640" w:firstLineChars="200"/>
        <w:rPr>
          <w:rFonts w:ascii="方正仿宋_GBK" w:hAnsi="仿宋" w:eastAsia="方正仿宋_GBK"/>
          <w:sz w:val="32"/>
          <w:szCs w:val="32"/>
        </w:rPr>
      </w:pPr>
      <w:r>
        <w:rPr>
          <w:rFonts w:hint="eastAsia" w:ascii="方正黑体_GBK" w:hAnsi="仿宋" w:eastAsia="方正黑体_GBK"/>
          <w:sz w:val="32"/>
          <w:szCs w:val="32"/>
        </w:rPr>
        <w:t>五、强化监督。</w:t>
      </w:r>
      <w:r>
        <w:rPr>
          <w:rFonts w:hint="eastAsia" w:ascii="方正仿宋_GBK" w:hAnsi="仿宋" w:eastAsia="方正仿宋_GBK"/>
          <w:sz w:val="32"/>
          <w:szCs w:val="32"/>
        </w:rPr>
        <w:t>发挥群众的监督职能，鼓励群众对使用违禁投入品的农户进行举报，如情况属实，对举报者给予一定奖励，对被举报者，基地办经查实后，采取拒收产品的处罚。</w:t>
      </w:r>
    </w:p>
    <w:p>
      <w:pPr>
        <w:spacing w:line="520" w:lineRule="exact"/>
        <w:ind w:firstLine="640" w:firstLineChars="200"/>
        <w:rPr>
          <w:rFonts w:ascii="方正仿宋_GBK" w:hAnsi="仿宋" w:eastAsia="方正仿宋_GBK"/>
          <w:sz w:val="32"/>
          <w:szCs w:val="32"/>
        </w:rPr>
      </w:pPr>
      <w:r>
        <w:rPr>
          <w:rFonts w:hint="eastAsia" w:ascii="方正黑体_GBK" w:hAnsi="仿宋" w:eastAsia="方正黑体_GBK"/>
          <w:sz w:val="32"/>
          <w:szCs w:val="32"/>
        </w:rPr>
        <w:t>六</w:t>
      </w:r>
      <w:r>
        <w:rPr>
          <w:rFonts w:hint="eastAsia" w:ascii="方正仿宋_GBK" w:hAnsi="仿宋" w:eastAsia="方正仿宋_GBK"/>
          <w:sz w:val="32"/>
          <w:szCs w:val="32"/>
        </w:rPr>
        <w:t>、</w:t>
      </w:r>
      <w:r>
        <w:rPr>
          <w:rFonts w:hint="eastAsia" w:ascii="方正黑体_GBK" w:hAnsi="仿宋" w:eastAsia="方正黑体_GBK"/>
          <w:sz w:val="32"/>
          <w:szCs w:val="32"/>
        </w:rPr>
        <w:t>建立生产管理档案和责任追溯制度。</w:t>
      </w:r>
      <w:r>
        <w:rPr>
          <w:rFonts w:hint="eastAsia" w:ascii="方正仿宋_GBK" w:hAnsi="仿宋" w:eastAsia="方正仿宋_GBK"/>
          <w:sz w:val="32"/>
          <w:szCs w:val="32"/>
        </w:rPr>
        <w:t>各基地要设立专人负责投入品的使用记录，生产基地农户要按照规定，全面建立生产管理档案，对各个时期使用的绿色肥料、微生物源或植物源农药、中草药要认真登记，基地办每月一次对基地投入品使用情况进行检查，及时对使用的绿色肥料、微生物源或植物源农药、中草药进行质量安全评估。发现质量安全有隐患和违规使用肥料、农药的，应当及时纠正和追究有关人员的责任，并公开进行警示，做到源头可追溯、流向可跟踪、信息可存储、产品可召回。</w:t>
      </w:r>
    </w:p>
    <w:p>
      <w:pPr>
        <w:spacing w:line="520" w:lineRule="exact"/>
        <w:ind w:firstLine="640" w:firstLineChars="200"/>
        <w:rPr>
          <w:rFonts w:ascii="方正仿宋_GBK" w:hAnsi="仿宋" w:eastAsia="方正仿宋_GBK"/>
          <w:sz w:val="32"/>
          <w:szCs w:val="32"/>
        </w:rPr>
      </w:pPr>
      <w:r>
        <w:rPr>
          <w:rFonts w:hint="eastAsia" w:ascii="方正黑体_GBK" w:hAnsi="仿宋" w:eastAsia="方正黑体_GBK"/>
          <w:sz w:val="32"/>
          <w:szCs w:val="32"/>
        </w:rPr>
        <w:t>七、基地办全面推广绿色产品标准化生产技术。</w:t>
      </w:r>
      <w:r>
        <w:rPr>
          <w:rFonts w:hint="eastAsia" w:ascii="方正仿宋_GBK" w:hAnsi="仿宋" w:eastAsia="方正仿宋_GBK"/>
          <w:sz w:val="32"/>
          <w:szCs w:val="32"/>
        </w:rPr>
        <w:t>规范基地质量安全监控体系，对基地生产全过程实施严格监管，提高生产规模化、组织化和标准化程度，积极引导联户生产，努力保护好优势品牌。</w:t>
      </w:r>
    </w:p>
    <w:p>
      <w:pPr>
        <w:spacing w:line="520" w:lineRule="exact"/>
        <w:ind w:firstLine="640" w:firstLineChars="200"/>
        <w:rPr>
          <w:rFonts w:ascii="方正仿宋_GBK" w:hAnsi="仿宋" w:eastAsia="方正仿宋_GBK"/>
          <w:sz w:val="32"/>
          <w:szCs w:val="32"/>
        </w:rPr>
      </w:pPr>
    </w:p>
    <w:p>
      <w:pPr>
        <w:jc w:val="center"/>
        <w:rPr>
          <w:rFonts w:ascii="方正仿宋_GBK" w:eastAsia="方正仿宋_GBK"/>
          <w:sz w:val="32"/>
          <w:szCs w:val="32"/>
        </w:rPr>
      </w:pPr>
    </w:p>
    <w:p>
      <w:pPr>
        <w:jc w:val="center"/>
        <w:rPr>
          <w:rFonts w:ascii="方正仿宋_GBK" w:eastAsia="方正仿宋_GBK"/>
          <w:sz w:val="32"/>
          <w:szCs w:val="32"/>
        </w:rPr>
      </w:pPr>
    </w:p>
    <w:p>
      <w:pPr>
        <w:jc w:val="center"/>
        <w:rPr>
          <w:rFonts w:ascii="方正仿宋_GBK" w:eastAsia="方正仿宋_GBK"/>
          <w:sz w:val="32"/>
          <w:szCs w:val="32"/>
        </w:rPr>
      </w:pPr>
    </w:p>
    <w:p>
      <w:pPr>
        <w:jc w:val="center"/>
        <w:rPr>
          <w:rFonts w:ascii="方正仿宋_GBK" w:eastAsia="方正仿宋_GBK"/>
          <w:sz w:val="32"/>
          <w:szCs w:val="32"/>
        </w:rPr>
      </w:pPr>
    </w:p>
    <w:p>
      <w:pPr>
        <w:jc w:val="center"/>
        <w:rPr>
          <w:rFonts w:ascii="方正仿宋_GBK" w:eastAsia="方正仿宋_GBK"/>
          <w:sz w:val="32"/>
          <w:szCs w:val="32"/>
        </w:rPr>
      </w:pPr>
    </w:p>
    <w:p>
      <w:pPr>
        <w:jc w:val="left"/>
        <w:rPr>
          <w:rFonts w:hint="eastAsia" w:ascii="方正黑体_GBK" w:hAnsi="宋体" w:eastAsia="方正黑体_GBK"/>
          <w:sz w:val="32"/>
          <w:szCs w:val="32"/>
        </w:rPr>
      </w:pPr>
      <w:r>
        <w:rPr>
          <w:rFonts w:hint="eastAsia" w:ascii="方正黑体_GBK" w:hAnsi="宋体" w:eastAsia="方正黑体_GBK"/>
          <w:sz w:val="32"/>
          <w:szCs w:val="32"/>
        </w:rPr>
        <w:t>附件3：</w:t>
      </w:r>
    </w:p>
    <w:p>
      <w:pPr>
        <w:jc w:val="left"/>
        <w:rPr>
          <w:rFonts w:hint="eastAsia" w:ascii="方正黑体_GBK" w:hAnsi="宋体" w:eastAsia="方正黑体_GBK"/>
          <w:sz w:val="32"/>
          <w:szCs w:val="32"/>
        </w:rPr>
      </w:pPr>
    </w:p>
    <w:p>
      <w:pPr>
        <w:jc w:val="center"/>
        <w:rPr>
          <w:rFonts w:ascii="方正小标宋_GBK" w:hAnsi="宋体" w:eastAsia="方正小标宋_GBK"/>
          <w:b/>
          <w:sz w:val="36"/>
          <w:szCs w:val="36"/>
        </w:rPr>
      </w:pPr>
      <w:r>
        <w:rPr>
          <w:rFonts w:hint="eastAsia" w:ascii="方正小标宋_GBK" w:hAnsi="宋体" w:eastAsia="方正小标宋_GBK"/>
          <w:b/>
          <w:sz w:val="36"/>
          <w:szCs w:val="36"/>
        </w:rPr>
        <w:t>绿色食品原料（青菜头）标准化生产</w:t>
      </w:r>
    </w:p>
    <w:p>
      <w:pPr>
        <w:jc w:val="center"/>
        <w:rPr>
          <w:rFonts w:hint="eastAsia" w:ascii="方正小标宋_GBK" w:hAnsi="宋体" w:eastAsia="方正小标宋_GBK"/>
          <w:b/>
          <w:sz w:val="36"/>
          <w:szCs w:val="36"/>
        </w:rPr>
      </w:pPr>
      <w:r>
        <w:rPr>
          <w:rFonts w:hint="eastAsia" w:ascii="方正小标宋_GBK" w:hAnsi="宋体" w:eastAsia="方正小标宋_GBK"/>
          <w:b/>
          <w:sz w:val="36"/>
          <w:szCs w:val="36"/>
        </w:rPr>
        <w:t>基地培训制度</w:t>
      </w:r>
    </w:p>
    <w:p>
      <w:pPr>
        <w:spacing w:line="500" w:lineRule="exact"/>
        <w:jc w:val="center"/>
        <w:rPr>
          <w:rFonts w:ascii="方正小标宋_GBK" w:hAnsi="宋体" w:eastAsia="方正小标宋_GBK"/>
          <w:b/>
          <w:sz w:val="36"/>
          <w:szCs w:val="36"/>
        </w:rPr>
      </w:pPr>
    </w:p>
    <w:p>
      <w:pPr>
        <w:spacing w:line="50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为了加强绿色农业生产基地的管理，切实保证基地生产的产品达到绿色产品的要求，特制定本制度，适用于清溪镇辖区的所有绿色农业生产基地。</w:t>
      </w:r>
    </w:p>
    <w:p>
      <w:pPr>
        <w:spacing w:line="500" w:lineRule="exact"/>
        <w:ind w:firstLine="640" w:firstLineChars="200"/>
        <w:rPr>
          <w:rFonts w:ascii="方正黑体_GBK" w:hAnsi="仿宋" w:eastAsia="方正黑体_GBK"/>
          <w:sz w:val="32"/>
          <w:szCs w:val="32"/>
        </w:rPr>
      </w:pPr>
      <w:r>
        <w:rPr>
          <w:rFonts w:hint="eastAsia" w:ascii="方正黑体_GBK" w:hAnsi="仿宋" w:eastAsia="方正黑体_GBK"/>
          <w:sz w:val="32"/>
          <w:szCs w:val="32"/>
        </w:rPr>
        <w:t>一、培训宗旨</w:t>
      </w:r>
    </w:p>
    <w:p>
      <w:pPr>
        <w:spacing w:line="500" w:lineRule="exact"/>
        <w:ind w:firstLine="640" w:firstLineChars="200"/>
        <w:rPr>
          <w:rFonts w:ascii="方正仿宋_GBK" w:hAnsi="仿宋" w:eastAsia="方正仿宋_GBK"/>
          <w:sz w:val="32"/>
          <w:szCs w:val="32"/>
        </w:rPr>
      </w:pPr>
      <w:r>
        <w:rPr>
          <w:rFonts w:ascii="方正仿宋_GBK" w:hAnsi="仿宋" w:eastAsia="方正仿宋_GBK"/>
          <w:sz w:val="32"/>
          <w:szCs w:val="32"/>
        </w:rPr>
        <w:t>(</w:t>
      </w:r>
      <w:r>
        <w:rPr>
          <w:rFonts w:hint="eastAsia" w:ascii="方正仿宋_GBK" w:hAnsi="仿宋" w:eastAsia="方正仿宋_GBK"/>
          <w:sz w:val="32"/>
          <w:szCs w:val="32"/>
        </w:rPr>
        <w:t>一</w:t>
      </w:r>
      <w:r>
        <w:rPr>
          <w:rFonts w:ascii="方正仿宋_GBK" w:hAnsi="仿宋" w:eastAsia="方正仿宋_GBK"/>
          <w:sz w:val="32"/>
          <w:szCs w:val="32"/>
        </w:rPr>
        <w:t>)</w:t>
      </w:r>
      <w:r>
        <w:rPr>
          <w:rFonts w:hint="eastAsia" w:ascii="方正仿宋_GBK" w:hAnsi="仿宋" w:eastAsia="方正仿宋_GBK"/>
          <w:sz w:val="32"/>
          <w:szCs w:val="32"/>
        </w:rPr>
        <w:t>提高基地生产和管理水平，确保基地产品质量达到绿色产品标准要求，为创建全国绿色食品青菜头原料标准化生产基地提供基础条件。</w:t>
      </w:r>
    </w:p>
    <w:p>
      <w:pPr>
        <w:spacing w:line="500" w:lineRule="exact"/>
        <w:ind w:firstLine="640" w:firstLineChars="200"/>
        <w:rPr>
          <w:rFonts w:ascii="方正仿宋_GBK" w:hAnsi="仿宋" w:eastAsia="方正仿宋_GBK"/>
          <w:sz w:val="32"/>
          <w:szCs w:val="32"/>
        </w:rPr>
      </w:pPr>
      <w:r>
        <w:rPr>
          <w:rFonts w:ascii="方正仿宋_GBK" w:hAnsi="仿宋" w:eastAsia="方正仿宋_GBK"/>
          <w:sz w:val="32"/>
          <w:szCs w:val="32"/>
        </w:rPr>
        <w:t>(</w:t>
      </w:r>
      <w:r>
        <w:rPr>
          <w:rFonts w:hint="eastAsia" w:ascii="方正仿宋_GBK" w:hAnsi="仿宋" w:eastAsia="方正仿宋_GBK"/>
          <w:sz w:val="32"/>
          <w:szCs w:val="32"/>
        </w:rPr>
        <w:t>二</w:t>
      </w:r>
      <w:r>
        <w:rPr>
          <w:rFonts w:ascii="方正仿宋_GBK" w:hAnsi="仿宋" w:eastAsia="方正仿宋_GBK"/>
          <w:sz w:val="32"/>
          <w:szCs w:val="32"/>
        </w:rPr>
        <w:t>)</w:t>
      </w:r>
      <w:r>
        <w:rPr>
          <w:rFonts w:hint="eastAsia" w:ascii="方正仿宋_GBK" w:hAnsi="仿宋" w:eastAsia="方正仿宋_GBK"/>
          <w:sz w:val="32"/>
          <w:szCs w:val="32"/>
        </w:rPr>
        <w:t>提高基地农户素质，满足基地发展和农户发展需求，使其了解绿色食品生产相关的法律、法规、标准和新的要求，达到所在生产环节所具备的能力，确保产品符合要求。</w:t>
      </w:r>
    </w:p>
    <w:p>
      <w:pPr>
        <w:spacing w:line="500" w:lineRule="exact"/>
        <w:ind w:firstLine="640" w:firstLineChars="200"/>
        <w:rPr>
          <w:rFonts w:ascii="方正黑体_GBK" w:hAnsi="仿宋" w:eastAsia="方正黑体_GBK"/>
          <w:sz w:val="32"/>
          <w:szCs w:val="32"/>
        </w:rPr>
      </w:pPr>
      <w:r>
        <w:rPr>
          <w:rFonts w:hint="eastAsia" w:ascii="方正黑体_GBK" w:hAnsi="仿宋" w:eastAsia="方正黑体_GBK"/>
          <w:sz w:val="32"/>
          <w:szCs w:val="32"/>
        </w:rPr>
        <w:t>二、培训目标</w:t>
      </w:r>
    </w:p>
    <w:p>
      <w:pPr>
        <w:spacing w:line="500" w:lineRule="exact"/>
        <w:ind w:firstLine="640" w:firstLineChars="200"/>
        <w:rPr>
          <w:rFonts w:ascii="方正仿宋_GBK" w:hAnsi="仿宋" w:eastAsia="方正仿宋_GBK"/>
          <w:sz w:val="32"/>
          <w:szCs w:val="32"/>
        </w:rPr>
      </w:pPr>
      <w:r>
        <w:rPr>
          <w:rFonts w:ascii="方正仿宋_GBK" w:hAnsi="仿宋" w:eastAsia="方正仿宋_GBK"/>
          <w:sz w:val="32"/>
          <w:szCs w:val="32"/>
        </w:rPr>
        <w:t>(</w:t>
      </w:r>
      <w:r>
        <w:rPr>
          <w:rFonts w:hint="eastAsia" w:ascii="方正仿宋_GBK" w:hAnsi="仿宋" w:eastAsia="方正仿宋_GBK"/>
          <w:sz w:val="32"/>
          <w:szCs w:val="32"/>
        </w:rPr>
        <w:t>一</w:t>
      </w:r>
      <w:r>
        <w:rPr>
          <w:rFonts w:ascii="方正仿宋_GBK" w:hAnsi="仿宋" w:eastAsia="方正仿宋_GBK"/>
          <w:sz w:val="32"/>
          <w:szCs w:val="32"/>
        </w:rPr>
        <w:t>)</w:t>
      </w:r>
      <w:r>
        <w:rPr>
          <w:rFonts w:hint="eastAsia" w:ascii="方正仿宋_GBK" w:hAnsi="仿宋" w:eastAsia="方正仿宋_GBK"/>
          <w:sz w:val="32"/>
          <w:szCs w:val="32"/>
        </w:rPr>
        <w:t>让基地管理人员尽快掌握绿色产品生产的管理技能，明确自己的职责，习惯新的工作观念和工作方法，与绿色农业发展相适应，保证基地具有可持续的生产力。</w:t>
      </w:r>
    </w:p>
    <w:p>
      <w:pPr>
        <w:spacing w:line="500" w:lineRule="exact"/>
        <w:ind w:firstLine="640" w:firstLineChars="200"/>
        <w:rPr>
          <w:rFonts w:ascii="方正仿宋_GBK" w:hAnsi="仿宋" w:eastAsia="方正仿宋_GBK"/>
          <w:sz w:val="32"/>
          <w:szCs w:val="32"/>
        </w:rPr>
      </w:pPr>
      <w:r>
        <w:rPr>
          <w:rFonts w:ascii="方正仿宋_GBK" w:hAnsi="仿宋" w:eastAsia="方正仿宋_GBK"/>
          <w:sz w:val="32"/>
          <w:szCs w:val="32"/>
        </w:rPr>
        <w:t>(</w:t>
      </w:r>
      <w:r>
        <w:rPr>
          <w:rFonts w:hint="eastAsia" w:ascii="方正仿宋_GBK" w:hAnsi="仿宋" w:eastAsia="方正仿宋_GBK"/>
          <w:sz w:val="32"/>
          <w:szCs w:val="32"/>
        </w:rPr>
        <w:t>二</w:t>
      </w:r>
      <w:r>
        <w:rPr>
          <w:rFonts w:ascii="方正仿宋_GBK" w:hAnsi="仿宋" w:eastAsia="方正仿宋_GBK"/>
          <w:sz w:val="32"/>
          <w:szCs w:val="32"/>
        </w:rPr>
        <w:t>)</w:t>
      </w:r>
      <w:r>
        <w:rPr>
          <w:rFonts w:hint="eastAsia" w:ascii="方正仿宋_GBK" w:hAnsi="仿宋" w:eastAsia="方正仿宋_GBK"/>
          <w:sz w:val="32"/>
          <w:szCs w:val="32"/>
        </w:rPr>
        <w:t>让基地技术人员及时掌握相关的法律、法规和绿色产品国家标准，规范技术指导行为，能熟练地在绿色产品标准规定的范围内推广先进技术，提高基地的生产能力；</w:t>
      </w:r>
    </w:p>
    <w:p>
      <w:pPr>
        <w:spacing w:line="500" w:lineRule="exact"/>
        <w:ind w:firstLine="640" w:firstLineChars="200"/>
        <w:rPr>
          <w:rFonts w:ascii="方正仿宋_GBK" w:hAnsi="仿宋" w:eastAsia="方正仿宋_GBK"/>
          <w:sz w:val="32"/>
          <w:szCs w:val="32"/>
        </w:rPr>
      </w:pPr>
      <w:r>
        <w:rPr>
          <w:rFonts w:ascii="方正仿宋_GBK" w:hAnsi="仿宋" w:eastAsia="方正仿宋_GBK"/>
          <w:sz w:val="32"/>
          <w:szCs w:val="32"/>
        </w:rPr>
        <w:t>(</w:t>
      </w:r>
      <w:r>
        <w:rPr>
          <w:rFonts w:hint="eastAsia" w:ascii="方正仿宋_GBK" w:hAnsi="仿宋" w:eastAsia="方正仿宋_GBK"/>
          <w:sz w:val="32"/>
          <w:szCs w:val="32"/>
        </w:rPr>
        <w:t>三</w:t>
      </w:r>
      <w:r>
        <w:rPr>
          <w:rFonts w:ascii="方正仿宋_GBK" w:hAnsi="仿宋" w:eastAsia="方正仿宋_GBK"/>
          <w:sz w:val="32"/>
          <w:szCs w:val="32"/>
        </w:rPr>
        <w:t>)</w:t>
      </w:r>
      <w:r>
        <w:rPr>
          <w:rFonts w:hint="eastAsia" w:ascii="方正仿宋_GBK" w:hAnsi="仿宋" w:eastAsia="方正仿宋_GBK"/>
          <w:sz w:val="32"/>
          <w:szCs w:val="32"/>
        </w:rPr>
        <w:t>让基地员工或农户了解绿色产品标准的概念和相关标准的内容，熟练掌握种植和管护技术操作规程、相关技术，规范生产行为。</w:t>
      </w:r>
    </w:p>
    <w:p>
      <w:pPr>
        <w:spacing w:line="500" w:lineRule="exact"/>
        <w:ind w:firstLine="640" w:firstLineChars="200"/>
        <w:rPr>
          <w:rFonts w:ascii="方正黑体_GBK" w:hAnsi="仿宋" w:eastAsia="方正黑体_GBK"/>
          <w:sz w:val="32"/>
          <w:szCs w:val="32"/>
        </w:rPr>
      </w:pPr>
      <w:r>
        <w:rPr>
          <w:rFonts w:hint="eastAsia" w:ascii="方正黑体_GBK" w:hAnsi="仿宋" w:eastAsia="方正黑体_GBK"/>
          <w:sz w:val="32"/>
          <w:szCs w:val="32"/>
        </w:rPr>
        <w:t>三、培训原则</w:t>
      </w:r>
    </w:p>
    <w:p>
      <w:pPr>
        <w:spacing w:line="50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（一）根据培训方向，预先设定相关培训内容。</w:t>
      </w:r>
    </w:p>
    <w:p>
      <w:pPr>
        <w:spacing w:line="50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（二）制定培训后要求达到的标准。</w:t>
      </w:r>
    </w:p>
    <w:p>
      <w:pPr>
        <w:spacing w:line="50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（三）积极指导农户培训和学习。</w:t>
      </w:r>
    </w:p>
    <w:p>
      <w:pPr>
        <w:spacing w:line="50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（四）采用适当的培训方式、方法，对不同层次、不同类别的培训对象采取有针对性培训。</w:t>
      </w:r>
    </w:p>
    <w:p>
      <w:pPr>
        <w:spacing w:line="500" w:lineRule="exact"/>
        <w:ind w:firstLine="640" w:firstLineChars="200"/>
        <w:rPr>
          <w:rFonts w:ascii="方正黑体_GBK" w:hAnsi="仿宋" w:eastAsia="方正黑体_GBK"/>
          <w:sz w:val="32"/>
          <w:szCs w:val="32"/>
        </w:rPr>
      </w:pPr>
      <w:r>
        <w:rPr>
          <w:rFonts w:hint="eastAsia" w:ascii="方正黑体_GBK" w:hAnsi="仿宋" w:eastAsia="方正黑体_GBK"/>
          <w:sz w:val="32"/>
          <w:szCs w:val="32"/>
        </w:rPr>
        <w:t>四、培训的组织</w:t>
      </w:r>
    </w:p>
    <w:p>
      <w:pPr>
        <w:spacing w:line="50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（一）培训工作由镇基地办公室统一规划、统一布置、统一管理、统一实施，各街镇、镇乡基地办负责农户的培训。</w:t>
      </w:r>
    </w:p>
    <w:p>
      <w:pPr>
        <w:spacing w:line="50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（二）基地办公室每年年底根据下一年度基地发展计划、考核指标，拟订年度培训计划报镇政府批准执行。</w:t>
      </w:r>
    </w:p>
    <w:p>
      <w:pPr>
        <w:spacing w:line="50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（三）基地办根据培训计划，制定年度培训课程大纲，明确培训的目的、内容、时间、授课人、课程要求和考核标准。</w:t>
      </w:r>
    </w:p>
    <w:p>
      <w:pPr>
        <w:spacing w:line="50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（四）基地办可根据实际情况，提出培训内容调整和增加临时培训的要求和建议。</w:t>
      </w:r>
    </w:p>
    <w:p>
      <w:pPr>
        <w:spacing w:line="50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（五）基地办积极组织先派相关的技术人员参加涪陵区内外举办的各种有关“绿色农业”的培训班。每年邀请区内知名农业专家对全镇基地相关农业技术推广人员进行培训；</w:t>
      </w:r>
    </w:p>
    <w:p>
      <w:pPr>
        <w:spacing w:line="50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（六）以村为单元，镇基地办组织开办“创建全国绿色食品青菜头原料标准化生产基地”农民学习班。</w:t>
      </w:r>
    </w:p>
    <w:p>
      <w:pPr>
        <w:spacing w:line="500" w:lineRule="exact"/>
        <w:ind w:firstLine="640" w:firstLineChars="200"/>
        <w:rPr>
          <w:rFonts w:ascii="方正黑体_GBK" w:hAnsi="仿宋" w:eastAsia="方正黑体_GBK"/>
          <w:sz w:val="32"/>
          <w:szCs w:val="32"/>
        </w:rPr>
      </w:pPr>
      <w:r>
        <w:rPr>
          <w:rFonts w:hint="eastAsia" w:ascii="方正黑体_GBK" w:hAnsi="仿宋" w:eastAsia="方正黑体_GBK"/>
          <w:sz w:val="32"/>
          <w:szCs w:val="32"/>
        </w:rPr>
        <w:t>五、培训种类及内容</w:t>
      </w:r>
    </w:p>
    <w:p>
      <w:pPr>
        <w:spacing w:line="500" w:lineRule="exact"/>
        <w:ind w:firstLine="640" w:firstLineChars="200"/>
        <w:rPr>
          <w:rFonts w:ascii="方正楷体_GBK" w:hAnsi="仿宋" w:eastAsia="方正楷体_GBK"/>
          <w:b/>
          <w:sz w:val="32"/>
          <w:szCs w:val="32"/>
        </w:rPr>
      </w:pPr>
      <w:r>
        <w:rPr>
          <w:rFonts w:ascii="方正楷体_GBK" w:hAnsi="仿宋" w:eastAsia="方正楷体_GBK"/>
          <w:sz w:val="32"/>
          <w:szCs w:val="32"/>
        </w:rPr>
        <w:t>(</w:t>
      </w:r>
      <w:r>
        <w:rPr>
          <w:rFonts w:hint="eastAsia" w:ascii="方正楷体_GBK" w:hAnsi="仿宋" w:eastAsia="方正楷体_GBK"/>
          <w:sz w:val="32"/>
          <w:szCs w:val="32"/>
        </w:rPr>
        <w:t>一</w:t>
      </w:r>
      <w:r>
        <w:rPr>
          <w:rFonts w:ascii="方正楷体_GBK" w:hAnsi="仿宋" w:eastAsia="方正楷体_GBK"/>
          <w:sz w:val="32"/>
          <w:szCs w:val="32"/>
        </w:rPr>
        <w:t>)</w:t>
      </w:r>
      <w:r>
        <w:rPr>
          <w:rFonts w:hint="eastAsia" w:ascii="方正楷体_GBK" w:hAnsi="仿宋" w:eastAsia="方正楷体_GBK"/>
          <w:sz w:val="32"/>
          <w:szCs w:val="32"/>
        </w:rPr>
        <w:t>管理人员培训。</w:t>
      </w:r>
      <w:r>
        <w:rPr>
          <w:rFonts w:hint="eastAsia" w:ascii="方正仿宋_GBK" w:hAnsi="仿宋" w:eastAsia="方正仿宋_GBK"/>
          <w:sz w:val="32"/>
          <w:szCs w:val="32"/>
        </w:rPr>
        <w:t>目的是学习和掌握绿色农业现代管理理论和技术，充分了解绿色产品生产的有关方针、政策和法规，提高绿色产品生产的组织、执行和控制能力。培训内容主要是组织绿色产品生产所要求的系统管理理论、绿色产品标准、相关的政策、法规，组织绿色产品生产的知识和应用能力，熟练掌握岗位知识、管理制度、操作流程及生产监督技术。培训形式以聘请专家举办专业知识讲座为主。每半年培训一次，时间</w:t>
      </w:r>
      <w:r>
        <w:rPr>
          <w:rFonts w:ascii="方正仿宋_GBK" w:hAnsi="仿宋" w:eastAsia="方正仿宋_GBK"/>
          <w:sz w:val="32"/>
          <w:szCs w:val="32"/>
        </w:rPr>
        <w:t>2</w:t>
      </w:r>
      <w:r>
        <w:rPr>
          <w:rFonts w:hint="eastAsia" w:ascii="方正仿宋_GBK" w:hAnsi="仿宋" w:eastAsia="方正仿宋_GBK"/>
          <w:sz w:val="32"/>
          <w:szCs w:val="32"/>
        </w:rPr>
        <w:t>天。</w:t>
      </w:r>
    </w:p>
    <w:p>
      <w:pPr>
        <w:spacing w:line="500" w:lineRule="exact"/>
        <w:ind w:firstLine="640" w:firstLineChars="200"/>
        <w:rPr>
          <w:rFonts w:ascii="方正楷体_GBK" w:hAnsi="仿宋" w:eastAsia="方正楷体_GBK"/>
          <w:b/>
          <w:sz w:val="32"/>
          <w:szCs w:val="32"/>
        </w:rPr>
      </w:pPr>
      <w:r>
        <w:rPr>
          <w:rFonts w:ascii="方正楷体_GBK" w:hAnsi="仿宋" w:eastAsia="方正楷体_GBK"/>
          <w:sz w:val="32"/>
          <w:szCs w:val="32"/>
        </w:rPr>
        <w:t>(</w:t>
      </w:r>
      <w:r>
        <w:rPr>
          <w:rFonts w:hint="eastAsia" w:ascii="方正楷体_GBK" w:hAnsi="仿宋" w:eastAsia="方正楷体_GBK"/>
          <w:sz w:val="32"/>
          <w:szCs w:val="32"/>
        </w:rPr>
        <w:t>二</w:t>
      </w:r>
      <w:r>
        <w:rPr>
          <w:rFonts w:ascii="方正楷体_GBK" w:hAnsi="仿宋" w:eastAsia="方正楷体_GBK"/>
          <w:sz w:val="32"/>
          <w:szCs w:val="32"/>
        </w:rPr>
        <w:t>)</w:t>
      </w:r>
      <w:r>
        <w:rPr>
          <w:rFonts w:hint="eastAsia" w:ascii="方正楷体_GBK" w:hAnsi="仿宋" w:eastAsia="方正楷体_GBK"/>
          <w:sz w:val="32"/>
          <w:szCs w:val="32"/>
        </w:rPr>
        <w:t>技术人员培训。</w:t>
      </w:r>
      <w:r>
        <w:rPr>
          <w:rFonts w:hint="eastAsia" w:ascii="方正仿宋_GBK" w:hAnsi="仿宋" w:eastAsia="方正仿宋_GBK"/>
          <w:sz w:val="32"/>
          <w:szCs w:val="32"/>
        </w:rPr>
        <w:t>目的是学习和掌握现代农业管理理论和技术，充分掌握绿色农业、绿色产品生产的有关政策法规、业务操作方法，提高专业技能和技术指导能力。培训内容主要是绿色产品生产的标准、相关的政策砝规、绿色产品生产及相关行业的技术发展动态和新技术、组织绿色产品生产的方法、管理知识和技术操作流程、控制技术及质量监督技术。培训形式以聘请专家举办专业知识讲座为主，自学和研讨为辅。讲座每半年举办一次，时间</w:t>
      </w:r>
      <w:r>
        <w:rPr>
          <w:rFonts w:ascii="方正仿宋_GBK" w:hAnsi="仿宋" w:eastAsia="方正仿宋_GBK"/>
          <w:sz w:val="32"/>
          <w:szCs w:val="32"/>
        </w:rPr>
        <w:t>2</w:t>
      </w:r>
      <w:r>
        <w:rPr>
          <w:rFonts w:hint="eastAsia" w:ascii="方正仿宋_GBK" w:hAnsi="仿宋" w:eastAsia="方正仿宋_GBK"/>
          <w:sz w:val="32"/>
          <w:szCs w:val="32"/>
        </w:rPr>
        <w:t>天。</w:t>
      </w:r>
    </w:p>
    <w:p>
      <w:pPr>
        <w:spacing w:line="500" w:lineRule="exact"/>
        <w:ind w:firstLine="640" w:firstLineChars="200"/>
        <w:rPr>
          <w:rFonts w:ascii="方正楷体_GBK" w:hAnsi="仿宋" w:eastAsia="方正楷体_GBK"/>
          <w:b/>
          <w:sz w:val="32"/>
          <w:szCs w:val="32"/>
        </w:rPr>
      </w:pPr>
      <w:r>
        <w:rPr>
          <w:rFonts w:ascii="方正楷体_GBK" w:hAnsi="仿宋" w:eastAsia="方正楷体_GBK"/>
          <w:sz w:val="32"/>
          <w:szCs w:val="32"/>
        </w:rPr>
        <w:t>(</w:t>
      </w:r>
      <w:r>
        <w:rPr>
          <w:rFonts w:hint="eastAsia" w:ascii="方正楷体_GBK" w:hAnsi="仿宋" w:eastAsia="方正楷体_GBK"/>
          <w:sz w:val="32"/>
          <w:szCs w:val="32"/>
        </w:rPr>
        <w:t>三</w:t>
      </w:r>
      <w:r>
        <w:rPr>
          <w:rFonts w:ascii="方正楷体_GBK" w:hAnsi="仿宋" w:eastAsia="方正楷体_GBK"/>
          <w:sz w:val="32"/>
          <w:szCs w:val="32"/>
        </w:rPr>
        <w:t>)</w:t>
      </w:r>
      <w:r>
        <w:rPr>
          <w:rFonts w:hint="eastAsia" w:ascii="方正楷体_GBK" w:hAnsi="仿宋" w:eastAsia="方正楷体_GBK"/>
          <w:sz w:val="32"/>
          <w:szCs w:val="32"/>
        </w:rPr>
        <w:t>农户培训。</w:t>
      </w:r>
      <w:r>
        <w:rPr>
          <w:rFonts w:hint="eastAsia" w:ascii="方正仿宋_GBK" w:hAnsi="仿宋" w:eastAsia="方正仿宋_GBK"/>
          <w:sz w:val="32"/>
          <w:szCs w:val="32"/>
        </w:rPr>
        <w:t>目的是学习和掌握相关岗位的规章制度、岗位职责、专业技能、操作流程，丰富和更新专业知识，提高操作水平。培训内容主要是绿色产品标准、相关政策和知识、生产技术操作规程、相关岗位知识、操作流程、操作要领。根据相关岗位的区别，重点学习和掌握绿色产品生产投入品的控制技术，熟悉绿色肥料堆制、植物源农药使用、包装、贮藏运输的相关规定。培训形式以基地组织集中培训与现场指导、个别辅导相结合为主。集中培训每季度举办一次，时间</w:t>
      </w:r>
      <w:r>
        <w:rPr>
          <w:rFonts w:ascii="方正仿宋_GBK" w:hAnsi="仿宋" w:eastAsia="方正仿宋_GBK"/>
          <w:sz w:val="32"/>
          <w:szCs w:val="32"/>
        </w:rPr>
        <w:t>1</w:t>
      </w:r>
      <w:r>
        <w:rPr>
          <w:rFonts w:hint="eastAsia" w:ascii="方正仿宋_GBK" w:hAnsi="仿宋" w:eastAsia="方正仿宋_GBK"/>
          <w:sz w:val="32"/>
          <w:szCs w:val="32"/>
        </w:rPr>
        <w:t>天。</w:t>
      </w:r>
    </w:p>
    <w:p>
      <w:pPr>
        <w:spacing w:line="500" w:lineRule="exact"/>
        <w:ind w:firstLine="640" w:firstLineChars="200"/>
        <w:rPr>
          <w:rFonts w:ascii="方正黑体_GBK" w:hAnsi="仿宋" w:eastAsia="方正黑体_GBK"/>
          <w:sz w:val="32"/>
          <w:szCs w:val="32"/>
        </w:rPr>
      </w:pPr>
      <w:r>
        <w:rPr>
          <w:rFonts w:hint="eastAsia" w:ascii="方正黑体_GBK" w:hAnsi="仿宋" w:eastAsia="方正黑体_GBK"/>
          <w:sz w:val="32"/>
          <w:szCs w:val="32"/>
        </w:rPr>
        <w:t>六、培训工作管理</w:t>
      </w:r>
    </w:p>
    <w:p>
      <w:pPr>
        <w:spacing w:line="50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镇基地办公室：负责拟定全镇总体培训政策、方案、预算；审核培训教材、教案及相关资料；选定管理人员、技术人员层次的培训对象；负责培训业务对外联络事务；负责培训工作总结与分析考评；做好培训的服务与保障工作，培训档案归档管理。</w:t>
      </w:r>
    </w:p>
    <w:p>
      <w:pPr>
        <w:jc w:val="left"/>
        <w:rPr>
          <w:rFonts w:hint="eastAsia" w:ascii="方正黑体_GBK" w:hAnsi="宋体" w:eastAsia="方正黑体_GBK"/>
          <w:sz w:val="32"/>
          <w:szCs w:val="32"/>
        </w:rPr>
      </w:pPr>
      <w:r>
        <w:rPr>
          <w:rFonts w:hint="eastAsia" w:ascii="方正黑体_GBK" w:hAnsi="宋体" w:eastAsia="方正黑体_GBK"/>
          <w:sz w:val="32"/>
          <w:szCs w:val="32"/>
        </w:rPr>
        <w:t>附件4：</w:t>
      </w:r>
    </w:p>
    <w:p>
      <w:pPr>
        <w:jc w:val="left"/>
        <w:rPr>
          <w:rFonts w:ascii="方正仿宋_GBK" w:hAnsi="宋体" w:eastAsia="方正仿宋_GBK"/>
          <w:sz w:val="32"/>
          <w:szCs w:val="32"/>
        </w:rPr>
      </w:pPr>
    </w:p>
    <w:p>
      <w:pPr>
        <w:jc w:val="center"/>
        <w:rPr>
          <w:rFonts w:ascii="方正小标宋_GBK" w:hAnsi="宋体" w:eastAsia="方正小标宋_GBK"/>
          <w:b/>
          <w:sz w:val="36"/>
          <w:szCs w:val="36"/>
        </w:rPr>
      </w:pPr>
      <w:r>
        <w:rPr>
          <w:rFonts w:hint="eastAsia" w:ascii="方正小标宋_GBK" w:hAnsi="宋体" w:eastAsia="方正小标宋_GBK"/>
          <w:b/>
          <w:sz w:val="36"/>
          <w:szCs w:val="36"/>
        </w:rPr>
        <w:t>绿色食品原料（青菜头）标准化生产基地</w:t>
      </w:r>
    </w:p>
    <w:p>
      <w:pPr>
        <w:jc w:val="center"/>
        <w:rPr>
          <w:rFonts w:ascii="方正小标宋_GBK" w:hAnsi="宋体" w:eastAsia="方正小标宋_GBK"/>
          <w:b/>
          <w:sz w:val="36"/>
          <w:szCs w:val="36"/>
        </w:rPr>
      </w:pPr>
      <w:r>
        <w:rPr>
          <w:rFonts w:hint="eastAsia" w:ascii="方正小标宋_GBK" w:hAnsi="宋体" w:eastAsia="方正小标宋_GBK"/>
          <w:b/>
          <w:sz w:val="36"/>
          <w:szCs w:val="36"/>
        </w:rPr>
        <w:t>质量追溯管理制度</w:t>
      </w:r>
    </w:p>
    <w:p>
      <w:pPr>
        <w:spacing w:line="560" w:lineRule="exact"/>
        <w:rPr>
          <w:rFonts w:ascii="方正仿宋_GBK" w:eastAsia="方正仿宋_GBK"/>
          <w:sz w:val="32"/>
          <w:szCs w:val="32"/>
        </w:rPr>
      </w:pPr>
    </w:p>
    <w:p>
      <w:pPr>
        <w:spacing w:line="52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为了加强绿色产品监管，做好绿色产品的全程留痕管理，保护消费者身心健康和食用安全，实现可追溯，依据《中华人民共和国农产品质量安全法》、《中华人民共和国食品卫生法》、《中华人民共和国产品质量法》等法律法规精神，特制定本制度。</w:t>
      </w:r>
    </w:p>
    <w:p>
      <w:pPr>
        <w:spacing w:line="520" w:lineRule="exact"/>
        <w:ind w:firstLine="640" w:firstLineChars="200"/>
        <w:rPr>
          <w:rFonts w:ascii="方正仿宋_GBK" w:hAnsi="仿宋" w:eastAsia="方正仿宋_GBK"/>
          <w:sz w:val="32"/>
          <w:szCs w:val="32"/>
        </w:rPr>
      </w:pPr>
      <w:r>
        <w:rPr>
          <w:rFonts w:hint="eastAsia" w:ascii="方正黑体_GBK" w:hAnsi="仿宋" w:eastAsia="方正黑体_GBK"/>
          <w:sz w:val="32"/>
          <w:szCs w:val="32"/>
        </w:rPr>
        <w:t>一、适用范围。</w:t>
      </w:r>
      <w:r>
        <w:rPr>
          <w:rFonts w:hint="eastAsia" w:ascii="方正仿宋_GBK" w:hAnsi="仿宋" w:eastAsia="方正仿宋_GBK"/>
          <w:sz w:val="32"/>
          <w:szCs w:val="32"/>
        </w:rPr>
        <w:t>本制度适用于清溪镇域内从事绿色农业生产经营活动的相关单位和个人，均应遵守本制度。</w:t>
      </w:r>
    </w:p>
    <w:p>
      <w:pPr>
        <w:spacing w:line="520" w:lineRule="exact"/>
        <w:ind w:firstLine="640" w:firstLineChars="200"/>
        <w:rPr>
          <w:rFonts w:ascii="方正仿宋_GBK" w:hAnsi="仿宋" w:eastAsia="方正仿宋_GBK"/>
          <w:sz w:val="32"/>
          <w:szCs w:val="32"/>
        </w:rPr>
      </w:pPr>
      <w:r>
        <w:rPr>
          <w:rFonts w:hint="eastAsia" w:ascii="方正黑体_GBK" w:hAnsi="仿宋" w:eastAsia="方正黑体_GBK"/>
          <w:sz w:val="32"/>
          <w:szCs w:val="32"/>
        </w:rPr>
        <w:t>二、责任追究。</w:t>
      </w:r>
      <w:r>
        <w:rPr>
          <w:rFonts w:hint="eastAsia" w:ascii="方正仿宋_GBK" w:hAnsi="仿宋" w:eastAsia="方正仿宋_GBK"/>
          <w:sz w:val="32"/>
          <w:szCs w:val="32"/>
        </w:rPr>
        <w:t>发生产品安全事故，有下列情形之一的，追究有关责任人的责任：</w:t>
      </w:r>
    </w:p>
    <w:p>
      <w:pPr>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1</w:t>
      </w:r>
      <w:r>
        <w:rPr>
          <w:rFonts w:hint="eastAsia" w:ascii="方正仿宋_GBK" w:hAnsi="仿宋" w:eastAsia="方正仿宋_GBK"/>
          <w:sz w:val="32"/>
          <w:szCs w:val="32"/>
        </w:rPr>
        <w:t>、发生产品安全事故，对事故进行隐瞒、谎报、缓报或者授意他人隐瞒、谎报、缓报，阻碍他人报告，信息报送不及时的；</w:t>
      </w:r>
    </w:p>
    <w:p>
      <w:pPr>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2</w:t>
      </w:r>
      <w:r>
        <w:rPr>
          <w:rFonts w:hint="eastAsia" w:ascii="方正仿宋_GBK" w:hAnsi="仿宋" w:eastAsia="方正仿宋_GBK"/>
          <w:sz w:val="32"/>
          <w:szCs w:val="32"/>
        </w:rPr>
        <w:t>、质监部门失察、监督不力和监管不到位，造成食品安全事故的；</w:t>
      </w:r>
    </w:p>
    <w:p>
      <w:pPr>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3</w:t>
      </w:r>
      <w:r>
        <w:rPr>
          <w:rFonts w:hint="eastAsia" w:ascii="方正仿宋_GBK" w:hAnsi="仿宋" w:eastAsia="方正仿宋_GBK"/>
          <w:sz w:val="32"/>
          <w:szCs w:val="32"/>
        </w:rPr>
        <w:t>、绿色产品种植、生产、加工、包装、储藏、运输、流通、消费等环节的生产经营单位或个人不落实管理制度的。</w:t>
      </w:r>
    </w:p>
    <w:p>
      <w:pPr>
        <w:spacing w:line="520" w:lineRule="exact"/>
        <w:ind w:firstLine="640" w:firstLineChars="200"/>
        <w:rPr>
          <w:rFonts w:ascii="方正仿宋_GBK" w:hAnsi="仿宋" w:eastAsia="方正仿宋_GBK"/>
          <w:sz w:val="32"/>
          <w:szCs w:val="32"/>
        </w:rPr>
      </w:pPr>
      <w:r>
        <w:rPr>
          <w:rFonts w:hint="eastAsia" w:ascii="方正黑体_GBK" w:hAnsi="仿宋" w:eastAsia="方正黑体_GBK"/>
          <w:sz w:val="32"/>
          <w:szCs w:val="32"/>
        </w:rPr>
        <w:t>三、处理办法。</w:t>
      </w:r>
      <w:r>
        <w:rPr>
          <w:rFonts w:hint="eastAsia" w:ascii="方正仿宋_GBK" w:hAnsi="仿宋" w:eastAsia="方正仿宋_GBK"/>
          <w:sz w:val="32"/>
          <w:szCs w:val="32"/>
        </w:rPr>
        <w:t>实行食品安全责任追溯制度，按照下列情形追究责任：</w:t>
      </w:r>
    </w:p>
    <w:p>
      <w:pPr>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1</w:t>
      </w:r>
      <w:r>
        <w:rPr>
          <w:rFonts w:hint="eastAsia" w:ascii="方正仿宋_GBK" w:hAnsi="仿宋" w:eastAsia="方正仿宋_GBK"/>
          <w:sz w:val="32"/>
          <w:szCs w:val="32"/>
        </w:rPr>
        <w:t>、绿色农产品种植农户使用非绿色农资进行种植的，由单元基地管理人员及质监部门相关人员负责；</w:t>
      </w:r>
    </w:p>
    <w:p>
      <w:pPr>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2</w:t>
      </w:r>
      <w:r>
        <w:rPr>
          <w:rFonts w:hint="eastAsia" w:ascii="方正仿宋_GBK" w:hAnsi="仿宋" w:eastAsia="方正仿宋_GBK"/>
          <w:sz w:val="32"/>
          <w:szCs w:val="32"/>
        </w:rPr>
        <w:t>、生产环节中不按照技术操作规程操作的，由生产单位主要负责人及相关管理人员负责；</w:t>
      </w:r>
    </w:p>
    <w:p>
      <w:pPr>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3</w:t>
      </w:r>
      <w:r>
        <w:rPr>
          <w:rFonts w:hint="eastAsia" w:ascii="方正仿宋_GBK" w:hAnsi="仿宋" w:eastAsia="方正仿宋_GBK"/>
          <w:sz w:val="32"/>
          <w:szCs w:val="32"/>
        </w:rPr>
        <w:t>、加工环节由生产企业（包括包装、储藏）进行加工并受检查部门监督，在该环节中不按照绿色加工技术规程进行生产的，由该企业及质检相关人员负责。</w:t>
      </w:r>
    </w:p>
    <w:p>
      <w:pPr>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4</w:t>
      </w:r>
      <w:r>
        <w:rPr>
          <w:rFonts w:hint="eastAsia" w:ascii="方正仿宋_GBK" w:hAnsi="仿宋" w:eastAsia="方正仿宋_GBK"/>
          <w:sz w:val="32"/>
          <w:szCs w:val="32"/>
        </w:rPr>
        <w:t>、经过追溯，在以上各环节中没有出现非标现象，流通及销售中出现的，由销售商负责。</w:t>
      </w:r>
    </w:p>
    <w:p>
      <w:pPr>
        <w:spacing w:line="520" w:lineRule="exact"/>
        <w:ind w:firstLine="640" w:firstLineChars="200"/>
        <w:rPr>
          <w:rFonts w:ascii="方正黑体_GBK" w:hAnsi="仿宋" w:eastAsia="方正黑体_GBK"/>
          <w:sz w:val="32"/>
          <w:szCs w:val="32"/>
        </w:rPr>
      </w:pPr>
      <w:r>
        <w:rPr>
          <w:rFonts w:hint="eastAsia" w:ascii="方正黑体_GBK" w:hAnsi="仿宋" w:eastAsia="方正黑体_GBK"/>
          <w:sz w:val="32"/>
          <w:szCs w:val="32"/>
        </w:rPr>
        <w:t>四、各环节逐一追查，一直追查到源头为止，各环节的相关责任人要受到严查处理。</w:t>
      </w:r>
    </w:p>
    <w:p>
      <w:pPr>
        <w:spacing w:line="520" w:lineRule="exact"/>
        <w:ind w:firstLine="640" w:firstLineChars="200"/>
        <w:rPr>
          <w:rFonts w:ascii="方正黑体_GBK" w:hAnsi="仿宋" w:eastAsia="方正黑体_GBK"/>
          <w:sz w:val="32"/>
          <w:szCs w:val="32"/>
        </w:rPr>
      </w:pPr>
      <w:r>
        <w:rPr>
          <w:rFonts w:hint="eastAsia" w:ascii="方正黑体_GBK" w:hAnsi="仿宋" w:eastAsia="方正黑体_GBK"/>
          <w:sz w:val="32"/>
          <w:szCs w:val="32"/>
        </w:rPr>
        <w:t>五、本办法由清溪镇绿色食品青菜头原料标准化生产创建领导小组负责解释。</w:t>
      </w:r>
    </w:p>
    <w:p>
      <w:pPr>
        <w:spacing w:line="520" w:lineRule="exact"/>
        <w:ind w:firstLine="640" w:firstLineChars="200"/>
        <w:rPr>
          <w:rFonts w:ascii="方正仿宋_GBK" w:hAnsi="仿宋" w:eastAsia="方正仿宋_GBK"/>
          <w:sz w:val="32"/>
          <w:szCs w:val="32"/>
        </w:rPr>
      </w:pPr>
      <w:r>
        <w:rPr>
          <w:rFonts w:hint="eastAsia" w:ascii="方正黑体_GBK" w:hAnsi="仿宋" w:eastAsia="方正黑体_GBK"/>
          <w:sz w:val="32"/>
          <w:szCs w:val="32"/>
        </w:rPr>
        <w:t>六、本制度自公布之日起实施。</w:t>
      </w:r>
    </w:p>
    <w:p>
      <w:pPr>
        <w:jc w:val="left"/>
        <w:rPr>
          <w:rFonts w:ascii="方正仿宋_GBK" w:hAnsi="宋体" w:eastAsia="方正仿宋_GBK"/>
          <w:sz w:val="32"/>
          <w:szCs w:val="32"/>
        </w:rPr>
      </w:pPr>
    </w:p>
    <w:p>
      <w:pPr>
        <w:jc w:val="left"/>
        <w:rPr>
          <w:rFonts w:ascii="方正仿宋_GBK" w:hAnsi="宋体" w:eastAsia="方正仿宋_GBK"/>
          <w:sz w:val="32"/>
          <w:szCs w:val="32"/>
        </w:rPr>
      </w:pPr>
    </w:p>
    <w:p>
      <w:pPr>
        <w:jc w:val="left"/>
        <w:rPr>
          <w:rFonts w:ascii="方正仿宋_GBK" w:hAnsi="宋体" w:eastAsia="方正仿宋_GBK"/>
          <w:sz w:val="32"/>
          <w:szCs w:val="32"/>
        </w:rPr>
      </w:pPr>
    </w:p>
    <w:p>
      <w:pPr>
        <w:jc w:val="left"/>
        <w:rPr>
          <w:rFonts w:ascii="方正仿宋_GBK" w:hAnsi="宋体" w:eastAsia="方正仿宋_GBK"/>
          <w:sz w:val="32"/>
          <w:szCs w:val="32"/>
        </w:rPr>
      </w:pPr>
    </w:p>
    <w:p>
      <w:pPr>
        <w:jc w:val="left"/>
        <w:rPr>
          <w:rFonts w:ascii="方正仿宋_GBK" w:hAnsi="宋体" w:eastAsia="方正仿宋_GBK"/>
          <w:sz w:val="32"/>
          <w:szCs w:val="32"/>
        </w:rPr>
      </w:pPr>
    </w:p>
    <w:p>
      <w:pPr>
        <w:jc w:val="left"/>
        <w:rPr>
          <w:rFonts w:ascii="方正仿宋_GBK" w:hAnsi="宋体" w:eastAsia="方正仿宋_GBK"/>
          <w:sz w:val="32"/>
          <w:szCs w:val="32"/>
        </w:rPr>
      </w:pPr>
    </w:p>
    <w:p>
      <w:pPr>
        <w:jc w:val="left"/>
        <w:rPr>
          <w:rFonts w:ascii="方正仿宋_GBK" w:hAnsi="宋体" w:eastAsia="方正仿宋_GBK"/>
          <w:sz w:val="32"/>
          <w:szCs w:val="32"/>
        </w:rPr>
      </w:pPr>
    </w:p>
    <w:p>
      <w:pPr>
        <w:jc w:val="left"/>
        <w:rPr>
          <w:rFonts w:ascii="方正仿宋_GBK" w:hAnsi="宋体" w:eastAsia="方正仿宋_GBK"/>
          <w:sz w:val="32"/>
          <w:szCs w:val="32"/>
        </w:rPr>
      </w:pPr>
    </w:p>
    <w:p>
      <w:pPr>
        <w:jc w:val="left"/>
        <w:rPr>
          <w:rFonts w:ascii="方正仿宋_GBK" w:hAnsi="宋体" w:eastAsia="方正仿宋_GBK"/>
          <w:sz w:val="32"/>
          <w:szCs w:val="32"/>
        </w:rPr>
      </w:pPr>
    </w:p>
    <w:p>
      <w:pPr>
        <w:jc w:val="left"/>
        <w:rPr>
          <w:rFonts w:ascii="方正仿宋_GBK" w:hAnsi="宋体" w:eastAsia="方正仿宋_GBK"/>
          <w:sz w:val="32"/>
          <w:szCs w:val="32"/>
        </w:rPr>
      </w:pPr>
    </w:p>
    <w:p>
      <w:pPr>
        <w:jc w:val="left"/>
        <w:rPr>
          <w:rFonts w:hint="eastAsia" w:ascii="方正黑体_GBK" w:hAnsi="宋体" w:eastAsia="方正黑体_GBK"/>
          <w:sz w:val="32"/>
          <w:szCs w:val="32"/>
        </w:rPr>
      </w:pPr>
      <w:r>
        <w:rPr>
          <w:rFonts w:hint="eastAsia" w:ascii="方正黑体_GBK" w:hAnsi="宋体" w:eastAsia="方正黑体_GBK"/>
          <w:sz w:val="32"/>
          <w:szCs w:val="32"/>
        </w:rPr>
        <w:t>附件5：</w:t>
      </w:r>
    </w:p>
    <w:p>
      <w:pPr>
        <w:jc w:val="left"/>
        <w:rPr>
          <w:rFonts w:ascii="方正仿宋_GBK" w:hAnsi="宋体" w:eastAsia="方正仿宋_GBK"/>
          <w:sz w:val="32"/>
          <w:szCs w:val="32"/>
        </w:rPr>
      </w:pPr>
    </w:p>
    <w:p>
      <w:pPr>
        <w:jc w:val="center"/>
        <w:rPr>
          <w:rFonts w:ascii="方正小标宋_GBK" w:hAnsi="宋体" w:eastAsia="方正小标宋_GBK"/>
          <w:b/>
          <w:sz w:val="36"/>
          <w:szCs w:val="36"/>
        </w:rPr>
      </w:pPr>
      <w:r>
        <w:rPr>
          <w:rFonts w:hint="eastAsia" w:ascii="方正小标宋_GBK" w:hAnsi="宋体" w:eastAsia="方正小标宋_GBK"/>
          <w:b/>
          <w:sz w:val="36"/>
          <w:szCs w:val="36"/>
        </w:rPr>
        <w:t>绿色食品原料（青菜头）标准化生产基地</w:t>
      </w:r>
    </w:p>
    <w:p>
      <w:pPr>
        <w:jc w:val="center"/>
        <w:rPr>
          <w:rFonts w:ascii="方正小标宋_GBK" w:hAnsi="宋体" w:eastAsia="方正小标宋_GBK"/>
          <w:b/>
          <w:sz w:val="36"/>
          <w:szCs w:val="36"/>
        </w:rPr>
      </w:pPr>
      <w:r>
        <w:rPr>
          <w:rFonts w:hint="eastAsia" w:ascii="方正小标宋_GBK" w:hAnsi="宋体" w:eastAsia="方正小标宋_GBK"/>
          <w:b/>
          <w:sz w:val="36"/>
          <w:szCs w:val="36"/>
        </w:rPr>
        <w:t>绿色标识的管理制度</w:t>
      </w:r>
    </w:p>
    <w:p>
      <w:pPr>
        <w:spacing w:line="560" w:lineRule="exact"/>
        <w:jc w:val="center"/>
        <w:rPr>
          <w:rFonts w:ascii="方正仿宋_GBK" w:hAnsi="宋体" w:eastAsia="方正仿宋_GBK"/>
          <w:b/>
          <w:sz w:val="32"/>
          <w:szCs w:val="32"/>
        </w:rPr>
      </w:pPr>
    </w:p>
    <w:p>
      <w:pPr>
        <w:spacing w:line="52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为了对清溪镇绿色产品质量实行有效的控制和追踪管理，对发现和检查出的问题便于及时跟踪和方便查找原因，落实责任，特制定本制度。</w:t>
      </w:r>
    </w:p>
    <w:p>
      <w:pPr>
        <w:numPr>
          <w:ilvl w:val="0"/>
          <w:numId w:val="1"/>
        </w:numPr>
        <w:spacing w:line="520" w:lineRule="exact"/>
        <w:rPr>
          <w:rFonts w:hint="eastAsia" w:ascii="方正黑体_GBK" w:hAnsi="仿宋" w:eastAsia="方正黑体_GBK"/>
          <w:sz w:val="32"/>
          <w:szCs w:val="32"/>
        </w:rPr>
      </w:pPr>
      <w:r>
        <w:rPr>
          <w:rFonts w:hint="eastAsia" w:ascii="方正黑体_GBK" w:hAnsi="仿宋" w:eastAsia="方正黑体_GBK"/>
          <w:sz w:val="32"/>
          <w:szCs w:val="32"/>
        </w:rPr>
        <w:t>目的</w:t>
      </w:r>
    </w:p>
    <w:p>
      <w:pPr>
        <w:spacing w:line="520" w:lineRule="exact"/>
        <w:ind w:left="640"/>
        <w:rPr>
          <w:rFonts w:ascii="方正黑体_GBK" w:hAnsi="仿宋" w:eastAsia="方正黑体_GBK"/>
          <w:sz w:val="32"/>
          <w:szCs w:val="32"/>
        </w:rPr>
      </w:pPr>
      <w:r>
        <w:rPr>
          <w:rFonts w:hint="eastAsia" w:ascii="方正仿宋_GBK" w:hAnsi="仿宋" w:eastAsia="方正仿宋_GBK"/>
          <w:sz w:val="32"/>
          <w:szCs w:val="32"/>
        </w:rPr>
        <w:t>便于绿色产品的追溯管理，查找问题原因，划清各环节责任。</w:t>
      </w:r>
    </w:p>
    <w:p>
      <w:pPr>
        <w:spacing w:line="520" w:lineRule="exact"/>
        <w:ind w:firstLine="640" w:firstLineChars="200"/>
        <w:rPr>
          <w:rFonts w:ascii="方正黑体_GBK" w:hAnsi="仿宋" w:eastAsia="方正黑体_GBK"/>
          <w:sz w:val="32"/>
          <w:szCs w:val="32"/>
        </w:rPr>
      </w:pPr>
      <w:r>
        <w:rPr>
          <w:rFonts w:hint="eastAsia" w:ascii="方正黑体_GBK" w:hAnsi="仿宋" w:eastAsia="方正黑体_GBK"/>
          <w:sz w:val="32"/>
          <w:szCs w:val="32"/>
        </w:rPr>
        <w:t>二、内容</w:t>
      </w:r>
    </w:p>
    <w:p>
      <w:pPr>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1</w:t>
      </w:r>
      <w:r>
        <w:rPr>
          <w:rFonts w:hint="eastAsia" w:ascii="方正仿宋_GBK" w:hAnsi="仿宋" w:eastAsia="方正仿宋_GBK"/>
          <w:sz w:val="32"/>
          <w:szCs w:val="32"/>
        </w:rPr>
        <w:t>、对基地生产的绿色产品，按生产批次采取“标签”的形式，实行批号管理。</w:t>
      </w:r>
    </w:p>
    <w:p>
      <w:pPr>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2</w:t>
      </w:r>
      <w:r>
        <w:rPr>
          <w:rFonts w:hint="eastAsia" w:ascii="方正仿宋_GBK" w:hAnsi="仿宋" w:eastAsia="方正仿宋_GBK"/>
          <w:sz w:val="32"/>
          <w:szCs w:val="32"/>
        </w:rPr>
        <w:t>、在绿色产品包装上印刷绿色食品标签或涪陵区统一印制的全国绿色食品青菜头原料标准化生产基地标志。</w:t>
      </w:r>
    </w:p>
    <w:p>
      <w:pPr>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3</w:t>
      </w:r>
      <w:r>
        <w:rPr>
          <w:rFonts w:hint="eastAsia" w:ascii="方正仿宋_GBK" w:hAnsi="仿宋" w:eastAsia="方正仿宋_GBK"/>
          <w:sz w:val="32"/>
          <w:szCs w:val="32"/>
        </w:rPr>
        <w:t>、入库时仓库管理员将绿色产品专用包装物标准定量、标明生产批次号后，单独整齐堆放保管，并做好标识。</w:t>
      </w:r>
    </w:p>
    <w:p>
      <w:pPr>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4</w:t>
      </w:r>
      <w:r>
        <w:rPr>
          <w:rFonts w:hint="eastAsia" w:ascii="方正仿宋_GBK" w:hAnsi="仿宋" w:eastAsia="方正仿宋_GBK"/>
          <w:sz w:val="32"/>
          <w:szCs w:val="32"/>
        </w:rPr>
        <w:t>、在绿色产品原材料出库加工生产时，仓库员要依据绿色产品先后批次依次出库。出库入生产车间时，仓库保管员及车间管理人员，要对待加工的绿色产品“批次”情况进行认真核实。</w:t>
      </w:r>
    </w:p>
    <w:p>
      <w:pPr>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5</w:t>
      </w:r>
      <w:r>
        <w:rPr>
          <w:rFonts w:hint="eastAsia" w:ascii="方正仿宋_GBK" w:hAnsi="仿宋" w:eastAsia="方正仿宋_GBK"/>
          <w:sz w:val="32"/>
          <w:szCs w:val="32"/>
        </w:rPr>
        <w:t>、每个批次的绿色产品加工出的成品，相应地编制每一个批次，每一个批次的成品单独入库储存。</w:t>
      </w:r>
    </w:p>
    <w:p>
      <w:pPr>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6</w:t>
      </w:r>
      <w:r>
        <w:rPr>
          <w:rFonts w:hint="eastAsia" w:ascii="方正仿宋_GBK" w:hAnsi="仿宋" w:eastAsia="方正仿宋_GBK"/>
          <w:sz w:val="32"/>
          <w:szCs w:val="32"/>
        </w:rPr>
        <w:t>、在产品销售时，要再发货凭证上注明产品批次，以备发生质量问题予以追踪。</w:t>
      </w:r>
    </w:p>
    <w:p>
      <w:pPr>
        <w:spacing w:line="520" w:lineRule="exact"/>
        <w:ind w:firstLine="640" w:firstLineChars="200"/>
        <w:rPr>
          <w:rFonts w:ascii="方正黑体_GBK" w:hAnsi="仿宋" w:eastAsia="方正黑体_GBK"/>
          <w:sz w:val="32"/>
          <w:szCs w:val="32"/>
        </w:rPr>
      </w:pPr>
      <w:r>
        <w:rPr>
          <w:rFonts w:hint="eastAsia" w:ascii="方正黑体_GBK" w:hAnsi="仿宋" w:eastAsia="方正黑体_GBK"/>
          <w:sz w:val="32"/>
          <w:szCs w:val="32"/>
        </w:rPr>
        <w:t>三、批号编制说明</w:t>
      </w:r>
    </w:p>
    <w:p>
      <w:pPr>
        <w:spacing w:line="52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清溪镇绿色农业发展覆盖区，涉及到的绿色地块分布广、数量多，为便于绿色产品质量追踪，结合清溪镇绿色产业的发展实际，特制定编号办法。</w:t>
      </w:r>
    </w:p>
    <w:p>
      <w:pPr>
        <w:spacing w:line="52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批次号编制方法：原料批次号由</w:t>
      </w:r>
      <w:r>
        <w:rPr>
          <w:rFonts w:ascii="方正仿宋_GBK" w:hAnsi="仿宋" w:eastAsia="方正仿宋_GBK"/>
          <w:sz w:val="32"/>
          <w:szCs w:val="32"/>
        </w:rPr>
        <w:t>17</w:t>
      </w:r>
      <w:r>
        <w:rPr>
          <w:rFonts w:hint="eastAsia" w:ascii="方正仿宋_GBK" w:hAnsi="仿宋" w:eastAsia="方正仿宋_GBK"/>
          <w:sz w:val="32"/>
          <w:szCs w:val="32"/>
        </w:rPr>
        <w:t>位数字组成，基地编号</w:t>
      </w:r>
      <w:r>
        <w:rPr>
          <w:rFonts w:ascii="方正仿宋_GBK" w:hAnsi="仿宋" w:eastAsia="方正仿宋_GBK"/>
          <w:sz w:val="32"/>
          <w:szCs w:val="32"/>
        </w:rPr>
        <w:t>1</w:t>
      </w:r>
      <w:r>
        <w:rPr>
          <w:rFonts w:hint="eastAsia" w:ascii="方正仿宋_GBK" w:hAnsi="仿宋" w:eastAsia="方正仿宋_GBK"/>
          <w:sz w:val="32"/>
          <w:szCs w:val="32"/>
        </w:rPr>
        <w:t>位、村编号</w:t>
      </w:r>
      <w:r>
        <w:rPr>
          <w:rFonts w:ascii="方正仿宋_GBK" w:hAnsi="仿宋" w:eastAsia="方正仿宋_GBK"/>
          <w:sz w:val="32"/>
          <w:szCs w:val="32"/>
        </w:rPr>
        <w:t>2</w:t>
      </w:r>
      <w:r>
        <w:rPr>
          <w:rFonts w:hint="eastAsia" w:ascii="方正仿宋_GBK" w:hAnsi="仿宋" w:eastAsia="方正仿宋_GBK"/>
          <w:sz w:val="32"/>
          <w:szCs w:val="32"/>
        </w:rPr>
        <w:t>位、社编号</w:t>
      </w:r>
      <w:r>
        <w:rPr>
          <w:rFonts w:ascii="方正仿宋_GBK" w:hAnsi="仿宋" w:eastAsia="方正仿宋_GBK"/>
          <w:sz w:val="32"/>
          <w:szCs w:val="32"/>
        </w:rPr>
        <w:t>2</w:t>
      </w:r>
      <w:r>
        <w:rPr>
          <w:rFonts w:hint="eastAsia" w:ascii="方正仿宋_GBK" w:hAnsi="仿宋" w:eastAsia="方正仿宋_GBK"/>
          <w:sz w:val="32"/>
          <w:szCs w:val="32"/>
        </w:rPr>
        <w:t>位、农户编号</w:t>
      </w:r>
      <w:r>
        <w:rPr>
          <w:rFonts w:ascii="方正仿宋_GBK" w:hAnsi="仿宋" w:eastAsia="方正仿宋_GBK"/>
          <w:sz w:val="32"/>
          <w:szCs w:val="32"/>
        </w:rPr>
        <w:t>5</w:t>
      </w:r>
      <w:r>
        <w:rPr>
          <w:rFonts w:hint="eastAsia" w:ascii="方正仿宋_GBK" w:hAnsi="仿宋" w:eastAsia="方正仿宋_GBK"/>
          <w:sz w:val="32"/>
          <w:szCs w:val="32"/>
        </w:rPr>
        <w:t>位、生产年月日</w:t>
      </w:r>
      <w:r>
        <w:rPr>
          <w:rFonts w:ascii="方正仿宋_GBK" w:hAnsi="仿宋" w:eastAsia="方正仿宋_GBK"/>
          <w:sz w:val="32"/>
          <w:szCs w:val="32"/>
        </w:rPr>
        <w:t>6</w:t>
      </w:r>
      <w:r>
        <w:rPr>
          <w:rFonts w:hint="eastAsia" w:ascii="方正仿宋_GBK" w:hAnsi="仿宋" w:eastAsia="方正仿宋_GBK"/>
          <w:sz w:val="32"/>
          <w:szCs w:val="32"/>
        </w:rPr>
        <w:t>位、原料批次</w:t>
      </w:r>
      <w:r>
        <w:rPr>
          <w:rFonts w:ascii="方正仿宋_GBK" w:hAnsi="仿宋" w:eastAsia="方正仿宋_GBK"/>
          <w:sz w:val="32"/>
          <w:szCs w:val="32"/>
        </w:rPr>
        <w:t>1</w:t>
      </w:r>
      <w:r>
        <w:rPr>
          <w:rFonts w:hint="eastAsia" w:ascii="方正仿宋_GBK" w:hAnsi="仿宋" w:eastAsia="方正仿宋_GBK"/>
          <w:sz w:val="32"/>
          <w:szCs w:val="32"/>
        </w:rPr>
        <w:t>位。</w:t>
      </w:r>
    </w:p>
    <w:p>
      <w:pPr>
        <w:adjustRightInd w:val="0"/>
        <w:spacing w:line="570" w:lineRule="exact"/>
        <w:rPr>
          <w:rFonts w:hint="eastAsia" w:eastAsia="方正仿宋_GBK"/>
          <w:color w:val="000000"/>
          <w:sz w:val="32"/>
          <w:szCs w:val="32"/>
        </w:rPr>
      </w:pPr>
      <w:r>
        <w:rPr>
          <w:rFonts w:hint="eastAsia" w:eastAsia="方正仿宋_GBK"/>
          <w:color w:val="000000"/>
          <w:sz w:val="32"/>
          <w:szCs w:val="32"/>
        </w:rPr>
        <w:t xml:space="preserve">  </w:t>
      </w:r>
    </w:p>
    <w:p>
      <w:pPr>
        <w:adjustRightInd w:val="0"/>
        <w:spacing w:line="570" w:lineRule="exact"/>
        <w:ind w:firstLine="480" w:firstLineChars="150"/>
        <w:rPr>
          <w:rFonts w:hint="eastAsia" w:eastAsia="方正仿宋_GBK"/>
          <w:color w:val="000000"/>
          <w:sz w:val="32"/>
          <w:szCs w:val="32"/>
        </w:rPr>
      </w:pPr>
    </w:p>
    <w:p>
      <w:pPr>
        <w:spacing w:line="570" w:lineRule="exact"/>
        <w:rPr>
          <w:rFonts w:hint="eastAsia" w:eastAsia="方正仿宋_GBK"/>
          <w:sz w:val="32"/>
          <w:szCs w:val="32"/>
        </w:rPr>
      </w:pPr>
    </w:p>
    <w:p>
      <w:pPr>
        <w:spacing w:line="570" w:lineRule="exact"/>
        <w:rPr>
          <w:rFonts w:eastAsia="方正仿宋_GBK"/>
          <w:sz w:val="32"/>
          <w:szCs w:val="32"/>
        </w:rPr>
        <w:sectPr>
          <w:footerReference r:id="rId6" w:type="first"/>
          <w:headerReference r:id="rId3" w:type="default"/>
          <w:footerReference r:id="rId4" w:type="default"/>
          <w:footerReference r:id="rId5" w:type="even"/>
          <w:pgSz w:w="11906" w:h="16838"/>
          <w:pgMar w:top="2098" w:right="1474" w:bottom="1985" w:left="1588" w:header="851" w:footer="1418" w:gutter="0"/>
          <w:pgNumType w:fmt="numberInDash"/>
          <w:cols w:space="720" w:num="1"/>
          <w:docGrid w:type="lines" w:linePitch="312" w:charSpace="0"/>
        </w:sectPr>
      </w:pPr>
    </w:p>
    <w:p>
      <w:pPr>
        <w:spacing w:line="570" w:lineRule="exact"/>
        <w:rPr>
          <w:rFonts w:hint="eastAsia" w:eastAsia="方正仿宋_GBK"/>
          <w:sz w:val="32"/>
          <w:szCs w:val="32"/>
        </w:rPr>
      </w:pPr>
    </w:p>
    <w:p>
      <w:pPr>
        <w:spacing w:line="570" w:lineRule="exact"/>
        <w:rPr>
          <w:rFonts w:hint="eastAsia" w:eastAsia="方正仿宋_GBK"/>
          <w:sz w:val="32"/>
          <w:szCs w:val="32"/>
        </w:rPr>
      </w:pPr>
    </w:p>
    <w:p>
      <w:pPr>
        <w:rPr>
          <w:rFonts w:hint="eastAsia"/>
        </w:rPr>
      </w:pPr>
    </w:p>
    <w:p>
      <w:pPr>
        <w:rPr>
          <w:rFonts w:hint="eastAsia"/>
        </w:rPr>
      </w:pPr>
    </w:p>
    <w:p>
      <w:pPr>
        <w:tabs>
          <w:tab w:val="left" w:pos="5940"/>
        </w:tabs>
        <w:spacing w:line="570" w:lineRule="exact"/>
        <w:ind w:left="1648" w:hanging="1648" w:hangingChars="785"/>
        <w:jc w:val="left"/>
        <w:rPr>
          <w:rFonts w:hint="eastAsia" w:eastAsia="仿宋" w:cs="仿宋"/>
        </w:rPr>
      </w:pPr>
    </w:p>
    <w:p>
      <w:pPr>
        <w:tabs>
          <w:tab w:val="left" w:pos="5940"/>
        </w:tabs>
        <w:spacing w:line="570" w:lineRule="exact"/>
        <w:ind w:left="1648" w:hanging="1648" w:hangingChars="785"/>
        <w:jc w:val="left"/>
        <w:rPr>
          <w:rFonts w:hint="eastAsia" w:eastAsia="仿宋" w:cs="仿宋"/>
        </w:rPr>
      </w:pPr>
    </w:p>
    <w:p>
      <w:pPr>
        <w:tabs>
          <w:tab w:val="left" w:pos="5940"/>
        </w:tabs>
        <w:spacing w:line="570" w:lineRule="exact"/>
        <w:ind w:left="1648" w:hanging="1648" w:hangingChars="785"/>
        <w:jc w:val="left"/>
        <w:rPr>
          <w:rFonts w:hint="eastAsia" w:eastAsia="仿宋" w:cs="仿宋"/>
        </w:rPr>
      </w:pPr>
    </w:p>
    <w:p>
      <w:pPr>
        <w:tabs>
          <w:tab w:val="left" w:pos="5940"/>
        </w:tabs>
        <w:spacing w:line="570" w:lineRule="exact"/>
        <w:jc w:val="left"/>
        <w:rPr>
          <w:rFonts w:hint="eastAsia" w:eastAsia="方正仿宋_GBK" w:cs="仿宋"/>
        </w:rPr>
      </w:pPr>
    </w:p>
    <w:p>
      <w:pPr>
        <w:pBdr>
          <w:bottom w:val="single" w:color="auto" w:sz="4" w:space="0"/>
        </w:pBdr>
        <w:spacing w:line="570" w:lineRule="exact"/>
        <w:rPr>
          <w:rFonts w:hint="eastAsia" w:eastAsia="方正仿宋_GBK"/>
          <w:sz w:val="32"/>
          <w:szCs w:val="32"/>
        </w:rPr>
      </w:pPr>
    </w:p>
    <w:p>
      <w:pPr>
        <w:pBdr>
          <w:bottom w:val="single" w:color="auto" w:sz="4" w:space="0"/>
        </w:pBdr>
        <w:spacing w:line="570" w:lineRule="exact"/>
        <w:rPr>
          <w:rFonts w:hint="eastAsia" w:eastAsia="方正仿宋_GBK"/>
          <w:sz w:val="32"/>
          <w:szCs w:val="32"/>
        </w:rPr>
      </w:pPr>
    </w:p>
    <w:p>
      <w:pPr>
        <w:pBdr>
          <w:bottom w:val="single" w:color="auto" w:sz="4" w:space="0"/>
        </w:pBdr>
        <w:spacing w:line="570" w:lineRule="exact"/>
        <w:rPr>
          <w:rFonts w:hint="eastAsia" w:eastAsia="方正仿宋_GBK"/>
          <w:sz w:val="32"/>
          <w:szCs w:val="32"/>
        </w:rPr>
      </w:pPr>
    </w:p>
    <w:p>
      <w:pPr>
        <w:pBdr>
          <w:bottom w:val="single" w:color="auto" w:sz="4" w:space="0"/>
        </w:pBdr>
        <w:spacing w:line="570" w:lineRule="exact"/>
        <w:rPr>
          <w:rFonts w:hint="eastAsia" w:eastAsia="方正仿宋_GBK"/>
          <w:sz w:val="32"/>
          <w:szCs w:val="32"/>
        </w:rPr>
      </w:pPr>
    </w:p>
    <w:p>
      <w:pPr>
        <w:pBdr>
          <w:bottom w:val="single" w:color="auto" w:sz="4" w:space="0"/>
        </w:pBdr>
        <w:spacing w:line="570" w:lineRule="exact"/>
        <w:rPr>
          <w:rFonts w:hint="eastAsia" w:eastAsia="方正仿宋_GBK"/>
          <w:sz w:val="32"/>
          <w:szCs w:val="32"/>
        </w:rPr>
      </w:pPr>
    </w:p>
    <w:p>
      <w:pPr>
        <w:pBdr>
          <w:bottom w:val="single" w:color="auto" w:sz="4" w:space="0"/>
        </w:pBdr>
        <w:spacing w:line="570" w:lineRule="exact"/>
        <w:rPr>
          <w:rFonts w:hint="eastAsia" w:eastAsia="方正仿宋_GBK"/>
          <w:sz w:val="32"/>
          <w:szCs w:val="32"/>
        </w:rPr>
      </w:pPr>
    </w:p>
    <w:p>
      <w:pPr>
        <w:pBdr>
          <w:bottom w:val="single" w:color="auto" w:sz="4" w:space="0"/>
        </w:pBdr>
        <w:spacing w:line="570" w:lineRule="exact"/>
        <w:rPr>
          <w:rFonts w:hint="eastAsia" w:eastAsia="方正仿宋_GBK"/>
          <w:sz w:val="32"/>
          <w:szCs w:val="32"/>
        </w:rPr>
      </w:pPr>
    </w:p>
    <w:p>
      <w:pPr>
        <w:pBdr>
          <w:bottom w:val="single" w:color="auto" w:sz="4" w:space="0"/>
        </w:pBdr>
        <w:spacing w:line="570" w:lineRule="exact"/>
        <w:rPr>
          <w:rFonts w:hint="eastAsia" w:eastAsia="方正仿宋_GBK"/>
          <w:sz w:val="32"/>
          <w:szCs w:val="32"/>
        </w:rPr>
      </w:pPr>
    </w:p>
    <w:p>
      <w:pPr>
        <w:pBdr>
          <w:bottom w:val="single" w:color="auto" w:sz="4" w:space="0"/>
        </w:pBdr>
        <w:spacing w:line="570" w:lineRule="exact"/>
        <w:rPr>
          <w:rFonts w:hint="eastAsia" w:eastAsia="方正仿宋_GBK"/>
          <w:sz w:val="32"/>
          <w:szCs w:val="32"/>
        </w:rPr>
      </w:pPr>
    </w:p>
    <w:p>
      <w:pPr>
        <w:pBdr>
          <w:bottom w:val="single" w:color="auto" w:sz="4" w:space="0"/>
        </w:pBdr>
        <w:spacing w:line="570" w:lineRule="exact"/>
        <w:rPr>
          <w:rFonts w:hint="eastAsia" w:eastAsia="方正仿宋_GBK"/>
          <w:sz w:val="32"/>
          <w:szCs w:val="32"/>
        </w:rPr>
      </w:pPr>
    </w:p>
    <w:p>
      <w:pPr>
        <w:pBdr>
          <w:bottom w:val="single" w:color="auto" w:sz="4" w:space="0"/>
        </w:pBdr>
        <w:spacing w:line="570" w:lineRule="exact"/>
        <w:rPr>
          <w:rFonts w:hint="eastAsia" w:eastAsia="方正仿宋_GBK"/>
          <w:sz w:val="32"/>
          <w:szCs w:val="32"/>
        </w:rPr>
      </w:pPr>
    </w:p>
    <w:p>
      <w:pPr>
        <w:pBdr>
          <w:bottom w:val="single" w:color="auto" w:sz="4" w:space="0"/>
        </w:pBdr>
        <w:spacing w:line="570" w:lineRule="exact"/>
        <w:rPr>
          <w:rFonts w:hint="eastAsia" w:eastAsia="方正仿宋_GBK"/>
          <w:sz w:val="32"/>
          <w:szCs w:val="32"/>
        </w:rPr>
      </w:pPr>
    </w:p>
    <w:p>
      <w:pPr>
        <w:pBdr>
          <w:bottom w:val="single" w:color="auto" w:sz="4" w:space="0"/>
        </w:pBdr>
        <w:spacing w:line="570" w:lineRule="exact"/>
        <w:rPr>
          <w:rFonts w:hint="eastAsia" w:eastAsia="方正仿宋_GBK"/>
          <w:sz w:val="32"/>
          <w:szCs w:val="32"/>
        </w:rPr>
      </w:pPr>
    </w:p>
    <w:p>
      <w:pPr>
        <w:pBdr>
          <w:bottom w:val="single" w:color="auto" w:sz="4" w:space="0"/>
        </w:pBdr>
        <w:spacing w:line="570" w:lineRule="exact"/>
        <w:rPr>
          <w:rFonts w:hint="eastAsia" w:eastAsia="方正仿宋_GBK"/>
          <w:sz w:val="32"/>
          <w:szCs w:val="32"/>
        </w:rPr>
      </w:pPr>
    </w:p>
    <w:p>
      <w:pPr>
        <w:spacing w:line="570" w:lineRule="exact"/>
        <w:ind w:firstLine="280" w:firstLineChars="100"/>
        <w:rPr>
          <w:rFonts w:hint="eastAsia" w:eastAsia="方正仿宋_GBK"/>
          <w:sz w:val="28"/>
          <w:szCs w:val="28"/>
        </w:rPr>
      </w:pPr>
      <w:r>
        <w:rPr>
          <w:rFonts w:hint="eastAsia" w:eastAsia="方正仿宋_GBK"/>
          <w:sz w:val="28"/>
          <w:szCs w:val="28"/>
          <w:lang/>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382270</wp:posOffset>
                </wp:positionV>
                <wp:extent cx="5600700" cy="0"/>
                <wp:effectExtent l="0" t="0" r="0" b="0"/>
                <wp:wrapNone/>
                <wp:docPr id="1" name="直线 18"/>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 o:spid="_x0000_s1026" o:spt="20" style="position:absolute;left:0pt;margin-left:0pt;margin-top:30.1pt;height:0pt;width:441pt;z-index:251659264;mso-width-relative:page;mso-height-relative:page;" filled="f" stroked="t" coordsize="21600,21600" o:gfxdata="UEsDBAoAAAAAAIdO4kAAAAAAAAAAAAAAAAAEAAAAZHJzL1BLAwQUAAAACACHTuJAGqsrU9MAAAAG&#10;AQAADwAAAGRycy9kb3ducmV2LnhtbE2PzU7DMBCE70i8g7VIXCpqN0hVFOL0UMiNC4WK6zZekqjx&#10;Oo3dH3h6FnGA48ysZr4tVxc/qBNNsQ9sYTE3oIib4HpuLby91nc5qJiQHQ6BycInRVhV11clFi6c&#10;+YVOm9QqKeFYoIUupbHQOjYdeYzzMBJL9hEmj0nk1Go34VnK/aAzY5baY8+y0OFI646a/eboLcR6&#10;S4f6a9bMzPt9Gyg7PD4/obW3NwvzACrRJf0dww++oEMlTLtwZBfVYEEeSRaWJgMlaZ5nYux+DV2V&#10;+j9+9Q1QSwMEFAAAAAgAh07iQJtPqOLoAQAA3AMAAA4AAABkcnMvZTJvRG9jLnhtbK1TS27bMBDd&#10;F+gdCO5ryQacpoLlLOKmm6INkPYAY5KSCPAHDm3ZZ+k1uuqmx8k1OqQcp003XkQLasgZvpn3Zri6&#10;OVjD9iqi9q7l81nNmXLCS+36ln//dvfumjNM4CQY71TLjwr5zfrtm9UYGrXwgzdSRUYgDpsxtHxI&#10;KTRVhWJQFnDmg3Lk7Hy0kGgb+0pGGAndmmpR11fV6KMM0QuFSKebyclPiPESQN91WqiNFzurXJpQ&#10;ozKQiBIOOiBfl2q7Ton0tetQJWZaTkxTWSkJ2du8VusVNH2EMGhxKgEuKeEFJwvaUdIz1AYSsF3U&#10;/0FZLaJH36WZ8LaaiBRFiMW8fqHNwwBBFS4kNYaz6Ph6sOLL/j4yLWkSOHNgqeGPP34+/vrN5tdZ&#10;nDFgQzEP4T6edkhmZnroos1/4sAORdDjWVB1SEzQ4fKqrt/XpLV48lXPF0PE9El5y7LRcqNd5goN&#10;7D9jomQU+hSSj41jY8s/LBdLggMavI4aTqYNVDy6vtxFb7S808bkGxj77a2JbA+5+eXLlAj3n7Cc&#10;ZAM4THHFNY3FoEB+dJKlYyBZHL0GnkuwSnJmFD2ebBEgNAm0uSSSUhtHFWRVJx2ztfXySE3Yhaj7&#10;gZSYlyqzh5pe6j0NaJ6qv/cF6flRrv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qsrU9MAAAAG&#10;AQAADwAAAAAAAAABACAAAAAiAAAAZHJzL2Rvd25yZXYueG1sUEsBAhQAFAAAAAgAh07iQJtPqOLo&#10;AQAA3AMAAA4AAAAAAAAAAQAgAAAAIgEAAGRycy9lMm9Eb2MueG1sUEsFBgAAAAAGAAYAWQEAAHwF&#10;AAAAAA==&#10;">
                <v:fill on="f" focussize="0,0"/>
                <v:stroke color="#000000" joinstyle="round"/>
                <v:imagedata o:title=""/>
                <o:lock v:ext="edit" aspectratio="f"/>
              </v:line>
            </w:pict>
          </mc:Fallback>
        </mc:AlternateContent>
      </w:r>
      <w:r>
        <w:rPr>
          <w:rFonts w:hint="eastAsia" w:eastAsia="方正仿宋_GBK"/>
          <w:sz w:val="28"/>
          <w:szCs w:val="28"/>
        </w:rPr>
        <w:t xml:space="preserve">重庆市涪陵区清溪镇党政办公室         </w:t>
      </w:r>
      <w:r>
        <w:rPr>
          <w:rFonts w:hint="eastAsia" w:ascii="方正仿宋_GBK" w:eastAsia="方正仿宋_GBK"/>
          <w:sz w:val="28"/>
          <w:szCs w:val="28"/>
        </w:rPr>
        <w:t xml:space="preserve">  2018年10月22日印</w:t>
      </w:r>
      <w:r>
        <w:rPr>
          <w:rFonts w:hint="eastAsia" w:eastAsia="方正仿宋_GBK"/>
          <w:sz w:val="28"/>
          <w:szCs w:val="28"/>
        </w:rPr>
        <w:t>发</w:t>
      </w:r>
    </w:p>
    <w:sectPr>
      <w:pgSz w:w="11906" w:h="16838"/>
      <w:pgMar w:top="2098" w:right="1474" w:bottom="1985" w:left="1588" w:header="851" w:footer="1418"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80E0000" w:usb2="00000010" w:usb3="00000000" w:csb0="00040000" w:csb1="00000000"/>
  </w:font>
  <w:font w:name="方正小标宋简体">
    <w:altName w:val="宋体"/>
    <w:panose1 w:val="02010601030101010101"/>
    <w:charset w:val="86"/>
    <w:family w:val="auto"/>
    <w:pitch w:val="default"/>
    <w:sig w:usb0="00000001" w:usb1="080E0000" w:usb2="00000010" w:usb3="00000000" w:csb0="00040000" w:csb1="00000000"/>
  </w:font>
  <w:font w:name="方正仿宋_GBK">
    <w:altName w:val="微软雅黑"/>
    <w:panose1 w:val="03000509000000000000"/>
    <w:charset w:val="86"/>
    <w:family w:val="script"/>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1" w:usb1="080E0000" w:usb2="00000010" w:usb3="00000000" w:csb0="00040000" w:csb1="00000000"/>
  </w:font>
  <w:font w:name="方正黑体_GBK">
    <w:altName w:val="微软雅黑"/>
    <w:panose1 w:val="03000509000000000000"/>
    <w:charset w:val="86"/>
    <w:family w:val="script"/>
    <w:pitch w:val="default"/>
    <w:sig w:usb0="00000001" w:usb1="080E0000" w:usb2="00000010" w:usb3="00000000" w:csb0="00040000" w:csb1="00000000"/>
  </w:font>
  <w:font w:name="方正楷体_GBK">
    <w:altName w:val="微软雅黑"/>
    <w:panose1 w:val="03000509000000000000"/>
    <w:charset w:val="86"/>
    <w:family w:val="script"/>
    <w:pitch w:val="default"/>
    <w:sig w:usb0="00000001" w:usb1="080E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hint="eastAsia" w:ascii="仿宋" w:hAnsi="仿宋" w:eastAsia="仿宋"/>
        <w:sz w:val="28"/>
        <w:szCs w:val="28"/>
      </w:rPr>
    </w:pPr>
    <w:r>
      <w:rPr>
        <w:rFonts w:hint="eastAsia" w:ascii="仿宋" w:hAnsi="仿宋" w:eastAsia="仿宋"/>
        <w:sz w:val="28"/>
        <w:szCs w:val="28"/>
      </w:rPr>
      <w:fldChar w:fldCharType="begin"/>
    </w:r>
    <w:r>
      <w:rPr>
        <w:rStyle w:val="10"/>
        <w:rFonts w:hint="eastAsia" w:ascii="仿宋" w:hAnsi="仿宋" w:eastAsia="仿宋"/>
        <w:sz w:val="28"/>
        <w:szCs w:val="28"/>
      </w:rPr>
      <w:instrText xml:space="preserve">PAGE  </w:instrText>
    </w:r>
    <w:r>
      <w:rPr>
        <w:rFonts w:hint="eastAsia" w:ascii="仿宋" w:hAnsi="仿宋" w:eastAsia="仿宋"/>
        <w:sz w:val="28"/>
        <w:szCs w:val="28"/>
      </w:rPr>
      <w:fldChar w:fldCharType="separate"/>
    </w:r>
    <w:r>
      <w:rPr>
        <w:rStyle w:val="10"/>
        <w:rFonts w:ascii="仿宋" w:hAnsi="仿宋" w:eastAsia="仿宋"/>
        <w:sz w:val="28"/>
        <w:szCs w:val="28"/>
        <w:lang/>
      </w:rPr>
      <w:t>- 1 -</w:t>
    </w:r>
    <w:r>
      <w:rPr>
        <w:rFonts w:hint="eastAsia" w:ascii="仿宋" w:hAnsi="仿宋" w:eastAsia="仿宋"/>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仿宋" w:hAnsi="仿宋" w:eastAsia="仿宋"/>
        <w:sz w:val="28"/>
        <w:szCs w:val="28"/>
      </w:rPr>
    </w:pPr>
    <w:r>
      <w:rPr>
        <w:rFonts w:ascii="仿宋" w:hAnsi="仿宋" w:eastAsia="仿宋"/>
        <w:sz w:val="28"/>
        <w:szCs w:val="28"/>
      </w:rPr>
      <w:fldChar w:fldCharType="begin"/>
    </w:r>
    <w:r>
      <w:rPr>
        <w:rStyle w:val="10"/>
        <w:rFonts w:ascii="仿宋" w:hAnsi="仿宋" w:eastAsia="仿宋"/>
        <w:sz w:val="28"/>
        <w:szCs w:val="28"/>
      </w:rPr>
      <w:instrText xml:space="preserve">PAGE  </w:instrText>
    </w:r>
    <w:r>
      <w:rPr>
        <w:rFonts w:ascii="仿宋" w:hAnsi="仿宋" w:eastAsia="仿宋"/>
        <w:sz w:val="28"/>
        <w:szCs w:val="28"/>
      </w:rPr>
      <w:fldChar w:fldCharType="separate"/>
    </w:r>
    <w:r>
      <w:rPr>
        <w:rStyle w:val="10"/>
        <w:rFonts w:ascii="仿宋" w:hAnsi="仿宋" w:eastAsia="仿宋"/>
        <w:sz w:val="28"/>
        <w:szCs w:val="28"/>
        <w:lang/>
      </w:rPr>
      <w:t>- 2 -</w:t>
    </w:r>
    <w:r>
      <w:rPr>
        <w:rFonts w:ascii="仿宋" w:hAnsi="仿宋" w:eastAsia="仿宋"/>
        <w:sz w:val="28"/>
        <w:szCs w:val="28"/>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D65533"/>
    <w:multiLevelType w:val="multilevel"/>
    <w:tmpl w:val="75D65533"/>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1BD"/>
    <w:rsid w:val="00005311"/>
    <w:rsid w:val="000228FD"/>
    <w:rsid w:val="0003656E"/>
    <w:rsid w:val="000A4DFD"/>
    <w:rsid w:val="000E23EC"/>
    <w:rsid w:val="000F0F72"/>
    <w:rsid w:val="000F512B"/>
    <w:rsid w:val="001017DD"/>
    <w:rsid w:val="0012027A"/>
    <w:rsid w:val="00145C13"/>
    <w:rsid w:val="00172F85"/>
    <w:rsid w:val="0020181D"/>
    <w:rsid w:val="00203C9A"/>
    <w:rsid w:val="00265359"/>
    <w:rsid w:val="002E1F6C"/>
    <w:rsid w:val="0033022A"/>
    <w:rsid w:val="003351BD"/>
    <w:rsid w:val="003719F7"/>
    <w:rsid w:val="003815A3"/>
    <w:rsid w:val="003857B4"/>
    <w:rsid w:val="00393518"/>
    <w:rsid w:val="003A51F3"/>
    <w:rsid w:val="003B2920"/>
    <w:rsid w:val="003C7C6E"/>
    <w:rsid w:val="0040113A"/>
    <w:rsid w:val="00403FEF"/>
    <w:rsid w:val="004432BD"/>
    <w:rsid w:val="004578CC"/>
    <w:rsid w:val="004901D6"/>
    <w:rsid w:val="004964B9"/>
    <w:rsid w:val="004C262D"/>
    <w:rsid w:val="004D0063"/>
    <w:rsid w:val="004D0A44"/>
    <w:rsid w:val="00513861"/>
    <w:rsid w:val="005375A0"/>
    <w:rsid w:val="00540BCA"/>
    <w:rsid w:val="00542529"/>
    <w:rsid w:val="005428D6"/>
    <w:rsid w:val="005471F3"/>
    <w:rsid w:val="005759FE"/>
    <w:rsid w:val="00593CF6"/>
    <w:rsid w:val="005B5C71"/>
    <w:rsid w:val="005C2A05"/>
    <w:rsid w:val="0060294B"/>
    <w:rsid w:val="00637E84"/>
    <w:rsid w:val="00643486"/>
    <w:rsid w:val="006470F9"/>
    <w:rsid w:val="00666589"/>
    <w:rsid w:val="0068294C"/>
    <w:rsid w:val="00687964"/>
    <w:rsid w:val="006B7B2F"/>
    <w:rsid w:val="0071692D"/>
    <w:rsid w:val="007332AF"/>
    <w:rsid w:val="00747937"/>
    <w:rsid w:val="007A1C93"/>
    <w:rsid w:val="007B04B0"/>
    <w:rsid w:val="007E7292"/>
    <w:rsid w:val="0082786F"/>
    <w:rsid w:val="008517E8"/>
    <w:rsid w:val="00851F4A"/>
    <w:rsid w:val="00857D01"/>
    <w:rsid w:val="00911337"/>
    <w:rsid w:val="00923820"/>
    <w:rsid w:val="00956E72"/>
    <w:rsid w:val="00957039"/>
    <w:rsid w:val="00984CE3"/>
    <w:rsid w:val="009A7ECF"/>
    <w:rsid w:val="009C22F6"/>
    <w:rsid w:val="009C51A5"/>
    <w:rsid w:val="009F2F14"/>
    <w:rsid w:val="00A0049C"/>
    <w:rsid w:val="00A10383"/>
    <w:rsid w:val="00A23963"/>
    <w:rsid w:val="00A6733B"/>
    <w:rsid w:val="00AC0B63"/>
    <w:rsid w:val="00AC76B2"/>
    <w:rsid w:val="00AF4C2C"/>
    <w:rsid w:val="00AF5885"/>
    <w:rsid w:val="00AF7722"/>
    <w:rsid w:val="00B13DD5"/>
    <w:rsid w:val="00B261EE"/>
    <w:rsid w:val="00B622DB"/>
    <w:rsid w:val="00B65CA8"/>
    <w:rsid w:val="00B66FA4"/>
    <w:rsid w:val="00B83BD5"/>
    <w:rsid w:val="00B86CD9"/>
    <w:rsid w:val="00BE1A40"/>
    <w:rsid w:val="00BE4A54"/>
    <w:rsid w:val="00C10279"/>
    <w:rsid w:val="00C43525"/>
    <w:rsid w:val="00C62B52"/>
    <w:rsid w:val="00CD0C2E"/>
    <w:rsid w:val="00CD1654"/>
    <w:rsid w:val="00CE0D9B"/>
    <w:rsid w:val="00CF2CFE"/>
    <w:rsid w:val="00D00CBD"/>
    <w:rsid w:val="00D02B2C"/>
    <w:rsid w:val="00D05ACF"/>
    <w:rsid w:val="00D064F4"/>
    <w:rsid w:val="00D139BD"/>
    <w:rsid w:val="00D347D6"/>
    <w:rsid w:val="00D57984"/>
    <w:rsid w:val="00D67E52"/>
    <w:rsid w:val="00DA684D"/>
    <w:rsid w:val="00DD56A4"/>
    <w:rsid w:val="00DD7EEC"/>
    <w:rsid w:val="00E53C84"/>
    <w:rsid w:val="00E61C04"/>
    <w:rsid w:val="00E85748"/>
    <w:rsid w:val="00EB2706"/>
    <w:rsid w:val="00ED71FA"/>
    <w:rsid w:val="00EE2FB7"/>
    <w:rsid w:val="00EF70C1"/>
    <w:rsid w:val="00F02920"/>
    <w:rsid w:val="00F26876"/>
    <w:rsid w:val="00F40F91"/>
    <w:rsid w:val="00F60E6B"/>
    <w:rsid w:val="00F876D6"/>
    <w:rsid w:val="00FB5643"/>
    <w:rsid w:val="00FB65FB"/>
    <w:rsid w:val="01F305B1"/>
    <w:rsid w:val="023915D0"/>
    <w:rsid w:val="031C4B51"/>
    <w:rsid w:val="088A03FE"/>
    <w:rsid w:val="0A1E75BA"/>
    <w:rsid w:val="0AFB46F3"/>
    <w:rsid w:val="0C987B3A"/>
    <w:rsid w:val="0CE368D1"/>
    <w:rsid w:val="121C108B"/>
    <w:rsid w:val="12410A39"/>
    <w:rsid w:val="12770857"/>
    <w:rsid w:val="133A4C53"/>
    <w:rsid w:val="15220104"/>
    <w:rsid w:val="15301E72"/>
    <w:rsid w:val="15BA1D8A"/>
    <w:rsid w:val="169F0063"/>
    <w:rsid w:val="18D34292"/>
    <w:rsid w:val="19472FB1"/>
    <w:rsid w:val="1A5B0442"/>
    <w:rsid w:val="1BCF222D"/>
    <w:rsid w:val="1E2E47D9"/>
    <w:rsid w:val="1EA155E1"/>
    <w:rsid w:val="1F6202C4"/>
    <w:rsid w:val="20F0303C"/>
    <w:rsid w:val="22854A5B"/>
    <w:rsid w:val="23036160"/>
    <w:rsid w:val="23C057B3"/>
    <w:rsid w:val="26813CAB"/>
    <w:rsid w:val="27B31222"/>
    <w:rsid w:val="282B41CF"/>
    <w:rsid w:val="288F07A3"/>
    <w:rsid w:val="28DD0ECA"/>
    <w:rsid w:val="29205969"/>
    <w:rsid w:val="2A981346"/>
    <w:rsid w:val="2B563E7C"/>
    <w:rsid w:val="2CAF58D2"/>
    <w:rsid w:val="2D4776F0"/>
    <w:rsid w:val="2E364DC2"/>
    <w:rsid w:val="2E9424A0"/>
    <w:rsid w:val="2FFA7E38"/>
    <w:rsid w:val="315023F7"/>
    <w:rsid w:val="3B7F2276"/>
    <w:rsid w:val="3BF82E7C"/>
    <w:rsid w:val="3C1F69DB"/>
    <w:rsid w:val="3DB1063D"/>
    <w:rsid w:val="3F0B6197"/>
    <w:rsid w:val="412D6741"/>
    <w:rsid w:val="43F00FD2"/>
    <w:rsid w:val="43F84F83"/>
    <w:rsid w:val="44D228AD"/>
    <w:rsid w:val="48F14036"/>
    <w:rsid w:val="49C94EA3"/>
    <w:rsid w:val="4B4C63A4"/>
    <w:rsid w:val="4CA7174E"/>
    <w:rsid w:val="4DAA0340"/>
    <w:rsid w:val="50913029"/>
    <w:rsid w:val="52AF5A00"/>
    <w:rsid w:val="55461A9D"/>
    <w:rsid w:val="57DA68AB"/>
    <w:rsid w:val="59E320BE"/>
    <w:rsid w:val="59F52741"/>
    <w:rsid w:val="5A99732C"/>
    <w:rsid w:val="5BB043B7"/>
    <w:rsid w:val="5BCF5443"/>
    <w:rsid w:val="5F3F42AF"/>
    <w:rsid w:val="606217F5"/>
    <w:rsid w:val="61295A6A"/>
    <w:rsid w:val="642C23FA"/>
    <w:rsid w:val="669C1DD0"/>
    <w:rsid w:val="671B3914"/>
    <w:rsid w:val="68A55519"/>
    <w:rsid w:val="6A3B33AB"/>
    <w:rsid w:val="6AA33E36"/>
    <w:rsid w:val="6B196688"/>
    <w:rsid w:val="6CEC7D4D"/>
    <w:rsid w:val="6D3934B4"/>
    <w:rsid w:val="6F87664A"/>
    <w:rsid w:val="731B5809"/>
    <w:rsid w:val="73520806"/>
    <w:rsid w:val="74E8427E"/>
    <w:rsid w:val="75110370"/>
    <w:rsid w:val="7BC05AB1"/>
    <w:rsid w:val="7C521F29"/>
    <w:rsid w:val="7CBB44DB"/>
    <w:rsid w:val="7EB538C0"/>
    <w:rsid w:val="7F7E15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12"/>
    <w:qFormat/>
    <w:uiPriority w:val="0"/>
    <w:pPr>
      <w:keepNext/>
      <w:spacing w:line="560" w:lineRule="exact"/>
      <w:jc w:val="center"/>
      <w:outlineLvl w:val="0"/>
    </w:pPr>
    <w:rPr>
      <w:rFonts w:ascii="仿宋_GB2312" w:eastAsia="方正小标宋简体" w:cs="仿宋_GB2312"/>
      <w:sz w:val="44"/>
      <w:szCs w:val="44"/>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3">
    <w:name w:val="Body Text"/>
    <w:basedOn w:val="1"/>
    <w:uiPriority w:val="0"/>
    <w:rPr>
      <w:rFonts w:ascii="宋体"/>
      <w:sz w:val="44"/>
    </w:rPr>
  </w:style>
  <w:style w:type="paragraph" w:styleId="4">
    <w:name w:val="Date"/>
    <w:basedOn w:val="1"/>
    <w:next w:val="1"/>
    <w:link w:val="13"/>
    <w:uiPriority w:val="0"/>
    <w:pPr>
      <w:ind w:left="100" w:leftChars="2500"/>
    </w:pPr>
  </w:style>
  <w:style w:type="paragraph" w:styleId="5">
    <w:name w:val="footer"/>
    <w:basedOn w:val="1"/>
    <w:link w:val="14"/>
    <w:uiPriority w:val="99"/>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uiPriority w:val="0"/>
  </w:style>
  <w:style w:type="character" w:styleId="11">
    <w:name w:val="Hyperlink"/>
    <w:basedOn w:val="9"/>
    <w:uiPriority w:val="0"/>
    <w:rPr>
      <w:color w:val="0000FF"/>
      <w:u w:val="single"/>
    </w:rPr>
  </w:style>
  <w:style w:type="character" w:customStyle="1" w:styleId="12">
    <w:name w:val="标题 1 Char"/>
    <w:basedOn w:val="9"/>
    <w:link w:val="2"/>
    <w:uiPriority w:val="0"/>
    <w:rPr>
      <w:rFonts w:ascii="仿宋_GB2312" w:eastAsia="方正小标宋简体" w:cs="仿宋_GB2312"/>
      <w:kern w:val="2"/>
      <w:sz w:val="44"/>
      <w:szCs w:val="44"/>
    </w:rPr>
  </w:style>
  <w:style w:type="character" w:customStyle="1" w:styleId="13">
    <w:name w:val="日期 Char"/>
    <w:basedOn w:val="9"/>
    <w:link w:val="4"/>
    <w:uiPriority w:val="0"/>
    <w:rPr>
      <w:kern w:val="2"/>
      <w:sz w:val="21"/>
      <w:szCs w:val="24"/>
    </w:rPr>
  </w:style>
  <w:style w:type="character" w:customStyle="1" w:styleId="14">
    <w:name w:val="页脚 Char"/>
    <w:basedOn w:val="9"/>
    <w:link w:val="5"/>
    <w:uiPriority w:val="99"/>
    <w:rPr>
      <w:kern w:val="2"/>
      <w:sz w:val="18"/>
      <w:szCs w:val="18"/>
    </w:rPr>
  </w:style>
  <w:style w:type="paragraph" w:styleId="15">
    <w:name w:val="List Paragraph"/>
    <w:basedOn w:val="1"/>
    <w:qFormat/>
    <w:uiPriority w:val="0"/>
    <w:pPr>
      <w:ind w:firstLine="420" w:firstLineChars="200"/>
    </w:pPr>
    <w:rPr>
      <w:rFonts w:ascii="Calibri" w:hAnsi="Calibri"/>
      <w:szCs w:val="22"/>
    </w:rPr>
  </w:style>
  <w:style w:type="paragraph" w:customStyle="1" w:styleId="16">
    <w:name w:val=" Char4 Char Char Char"/>
    <w:basedOn w:val="1"/>
    <w:uiPriority w:val="0"/>
    <w:pPr>
      <w:adjustRightInd w:val="0"/>
      <w:snapToGrid w:val="0"/>
      <w:spacing w:line="360" w:lineRule="auto"/>
      <w:ind w:firstLine="200" w:firstLineChars="200"/>
    </w:pPr>
    <w:rPr>
      <w:rFonts w:eastAsia="方正仿宋_GBK"/>
      <w:sz w:val="32"/>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4712</Words>
  <Characters>4728</Characters>
  <Lines>35</Lines>
  <Paragraphs>9</Paragraphs>
  <TotalTime>0</TotalTime>
  <ScaleCrop>false</ScaleCrop>
  <LinksUpToDate>false</LinksUpToDate>
  <CharactersWithSpaces>4780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2018-10-22T01:22:00Z</dcterms:created>
  <dc:creator>User</dc:creator>
  <cp:lastModifiedBy>yangsnrt11</cp:lastModifiedBy>
  <cp:lastPrinted>2017-03-21T07:45:00Z</cp:lastPrinted>
  <dcterms:modified xsi:type="dcterms:W3CDTF">2023-02-03T06:10:10Z</dcterms:modified>
  <dc:title>涪陵区清溪镇人民政府</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F14200141A374C5D9878CB1B394FF6F0</vt:lpwstr>
  </property>
</Properties>
</file>