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宋体" w:eastAsia="方正小标宋_GBK" w:cs="@方正仿宋_GBK"/>
          <w:sz w:val="44"/>
          <w:szCs w:val="44"/>
        </w:rPr>
      </w:pPr>
      <w:r>
        <w:rPr>
          <w:rFonts w:hint="eastAsia" w:ascii="方正小标宋_GBK" w:hAnsi="宋体" w:eastAsia="方正小标宋_GBK" w:cs="@方正仿宋_GBK"/>
          <w:sz w:val="44"/>
          <w:szCs w:val="44"/>
        </w:rPr>
        <w:t>重庆市涪陵区</w:t>
      </w:r>
      <w:r>
        <w:rPr>
          <w:rFonts w:hint="eastAsia" w:ascii="方正小标宋_GBK" w:hAnsi="宋体" w:eastAsia="方正小标宋_GBK" w:cs="@方正仿宋_GBK"/>
          <w:sz w:val="44"/>
          <w:szCs w:val="44"/>
          <w:lang w:val="en-US" w:eastAsia="zh-CN"/>
        </w:rPr>
        <w:t>清溪镇</w:t>
      </w:r>
      <w:r>
        <w:rPr>
          <w:rFonts w:hint="eastAsia" w:ascii="方正小标宋_GBK" w:hAnsi="宋体" w:eastAsia="方正小标宋_GBK" w:cs="@方正仿宋_GBK"/>
          <w:sz w:val="44"/>
          <w:szCs w:val="44"/>
        </w:rPr>
        <w:t>人民政府</w:t>
      </w:r>
    </w:p>
    <w:p>
      <w:pPr>
        <w:spacing w:line="600" w:lineRule="exact"/>
        <w:jc w:val="center"/>
        <w:rPr>
          <w:rFonts w:hint="eastAsia" w:ascii="方正小标宋_GBK" w:hAnsi="宋体" w:eastAsia="方正小标宋_GBK" w:cs="@方正仿宋_GBK"/>
          <w:sz w:val="44"/>
          <w:szCs w:val="44"/>
        </w:rPr>
      </w:pPr>
      <w:r>
        <w:rPr>
          <w:rFonts w:hint="eastAsia" w:ascii="方正小标宋_GBK" w:hAnsi="宋体" w:eastAsia="方正小标宋_GBK" w:cs="@方正仿宋_GBK"/>
          <w:sz w:val="44"/>
          <w:szCs w:val="44"/>
        </w:rPr>
        <w:t>关于</w:t>
      </w:r>
      <w:r>
        <w:rPr>
          <w:rFonts w:hint="eastAsia" w:ascii="方正小标宋_GBK" w:hAnsi="宋体" w:eastAsia="方正小标宋_GBK" w:cs="@方正仿宋_GBK"/>
          <w:sz w:val="44"/>
          <w:szCs w:val="44"/>
          <w:lang w:val="en-US" w:eastAsia="zh-CN"/>
        </w:rPr>
        <w:t>涪陵区清溪镇</w:t>
      </w:r>
      <w:r>
        <w:rPr>
          <w:rFonts w:ascii="方正小标宋_GBK" w:hAnsi="宋体" w:eastAsia="方正小标宋_GBK" w:cs="@方正仿宋_GBK"/>
          <w:sz w:val="44"/>
          <w:szCs w:val="44"/>
        </w:rPr>
        <w:t>20</w:t>
      </w:r>
      <w:r>
        <w:rPr>
          <w:rFonts w:hint="eastAsia" w:ascii="方正小标宋_GBK" w:hAnsi="宋体" w:eastAsia="方正小标宋_GBK" w:cs="@方正仿宋_GBK"/>
          <w:sz w:val="44"/>
          <w:szCs w:val="44"/>
        </w:rPr>
        <w:t>2</w:t>
      </w:r>
      <w:r>
        <w:rPr>
          <w:rFonts w:hint="eastAsia" w:ascii="方正小标宋_GBK" w:hAnsi="宋体" w:eastAsia="方正小标宋_GBK" w:cs="@方正仿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@方正仿宋_GBK"/>
          <w:sz w:val="44"/>
          <w:szCs w:val="44"/>
        </w:rPr>
        <w:t>年决算的报告</w:t>
      </w:r>
    </w:p>
    <w:p>
      <w:pPr>
        <w:jc w:val="center"/>
        <w:rPr>
          <w:rFonts w:ascii="方正楷体_GBK" w:hAnsi="宋体" w:eastAsia="方正楷体_GBK" w:cs="@方正仿宋_GBK"/>
          <w:spacing w:val="-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仿宋" w:eastAsia="方正黑体_GBK" w:cs="仿宋"/>
          <w:sz w:val="32"/>
          <w:szCs w:val="32"/>
        </w:rPr>
      </w:pPr>
      <w:r>
        <w:rPr>
          <w:rFonts w:hint="eastAsia" w:ascii="方正黑体_GBK" w:hAnsi="仿宋" w:eastAsia="方正黑体_GBK" w:cs="仿宋"/>
          <w:sz w:val="32"/>
          <w:szCs w:val="32"/>
        </w:rPr>
        <w:t>一、全</w:t>
      </w:r>
      <w:r>
        <w:rPr>
          <w:rFonts w:hint="eastAsia" w:ascii="方正黑体_GBK" w:hAnsi="仿宋" w:eastAsia="方正黑体_GBK" w:cs="仿宋"/>
          <w:sz w:val="32"/>
          <w:szCs w:val="32"/>
          <w:lang w:val="en-US" w:eastAsia="zh-CN"/>
        </w:rPr>
        <w:t>镇</w:t>
      </w:r>
      <w:r>
        <w:rPr>
          <w:rFonts w:hint="eastAsia" w:ascii="方正黑体_GBK" w:hAnsi="仿宋" w:eastAsia="方正黑体_GBK" w:cs="仿宋"/>
          <w:sz w:val="32"/>
          <w:szCs w:val="32"/>
        </w:rPr>
        <w:t>收支决算情况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楷体_GBK" w:hAnsi="仿宋" w:eastAsia="方正楷体_GBK" w:cs="仿宋"/>
          <w:sz w:val="32"/>
          <w:szCs w:val="32"/>
        </w:rPr>
      </w:pPr>
      <w:r>
        <w:rPr>
          <w:rFonts w:hint="eastAsia" w:ascii="方正楷体_GBK" w:hAnsi="仿宋" w:eastAsia="方正楷体_GBK" w:cs="仿宋"/>
          <w:sz w:val="32"/>
          <w:szCs w:val="32"/>
        </w:rPr>
        <w:t>（一）一般公共预算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年全镇一般财政公共总收入实现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8727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比增长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59.28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%。其中：中央、市区级收入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5396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万元，地方财政一般公共预算收入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万元。镇四届人大一次会议批准的镇人民政府2022年地方财政一般公共预算收入为2357万元，2022年实际完成年初预算的141.32%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2022年我镇一般财政公共收入与去年同期相比增长59.28%，地方财政一般公共预算收入同比增长53.50%。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全镇一般公共预算收入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3331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加上级转移支付收入1325万元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其中：一般转移支付收入1089万元（含体制补助768万元、固定结算补助321万元），专项转移支付收入236万元，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上年结转结余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万元，收入合计为4660万元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年度本级财政一般公共预算支出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4660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——一般公共服务支出1172万元；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——文化旅游体育与传媒支出86万元；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——社会保障和就业支出652万元；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——卫生健康支出134万元；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——节能环保支出325万元；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——城乡社区支出288万元；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——农林水支出1085万元；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——住房改革支出161万元；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——资源勘探信息支出361万元；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——专项上解336万元；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——结转下年60万元。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楷体_GBK" w:hAnsi="宋体" w:eastAsia="方正楷体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（二）政府性基金预算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全镇202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基金收入合计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5489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上级补助收入4453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万元（三峡后续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4453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万元），上年结余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1036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万元；2022年政府性基金支出总计5489万元，其中本级支出3604万元，主要用于三峡后续项目及三峡库区基金项目建设，结转下年使用1885万元。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（三）国有资本经营预算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_GBK" w:hAnsi="宋体" w:eastAsia="方正仿宋_GBK"/>
          <w:sz w:val="32"/>
          <w:szCs w:val="32"/>
        </w:rPr>
        <w:t>年，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全镇无国有资金经营情况。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二、重点报告事项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楷体_GBK" w:hAnsi="宋体" w:eastAsia="方正楷体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（一）转移支付情况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年上级共计下达我镇一般公共预算转移支付资金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1325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一般转移支付收入1089万元（体制补助768万元、固定结算补助321万元），专项转移支付收入236万元，上年结余4万元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。共计下达我镇政府性基金预算转移支付资金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5489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万元，主要是国家重大水利工程建设基金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5489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年一般公共预算镇本级转移性支出共计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万元，其中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超收分成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上解上级支出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其他专项上解54万元（上解2022年乡镇肇事肇祸精神病人救治经费44万元，上解2021年特困人员供养支出经费10万元）；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结转下年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楷体_GBK" w:hAnsi="宋体" w:eastAsia="方正楷体_GBK"/>
          <w:color w:val="000000"/>
          <w:sz w:val="32"/>
          <w:szCs w:val="32"/>
        </w:rPr>
      </w:pPr>
      <w:r>
        <w:rPr>
          <w:rFonts w:hint="eastAsia" w:ascii="方正楷体_GBK" w:hAnsi="宋体" w:eastAsia="方正楷体_GBK"/>
          <w:color w:val="000000"/>
          <w:sz w:val="32"/>
          <w:szCs w:val="32"/>
        </w:rPr>
        <w:t>（二）中央直达资金使用情况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我镇无中央直达资金。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方正楷体_GBK" w:hAnsi="宋体" w:eastAsia="方正楷体_GBK"/>
          <w:color w:val="000000"/>
          <w:sz w:val="32"/>
          <w:szCs w:val="32"/>
        </w:rPr>
      </w:pPr>
      <w:r>
        <w:rPr>
          <w:rFonts w:hint="eastAsia" w:ascii="方正楷体_GBK" w:hAnsi="宋体" w:eastAsia="方正楷体_GBK"/>
          <w:color w:val="000000"/>
          <w:sz w:val="32"/>
          <w:szCs w:val="32"/>
        </w:rPr>
        <w:t xml:space="preserve"> （三）“三保”情况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年，坚持“三保”支出优先顺序，积极落实“三保”镇级主体责任，兜牢基层“三保”底线。严格落实《涪陵区乡镇街道“三保”支出资金调度办法》，进一步规范我镇“三保”资金的调度和使用，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坚持积极稳妥，有保有压的原则，优先落实“三保”（保工资、保运转、保基本民生），重点保障镇党委政府重大决策部署，切实增强财政的可持续性。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楷体_GBK" w:hAnsi="宋体" w:eastAsia="方正楷体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（四）政府债务情况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我镇2022年未举借政府债务，限额、余额和新增债券均为0。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楷体_GBK" w:hAnsi="宋体" w:eastAsia="方正楷体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</w:t>
      </w:r>
      <w:r>
        <w:rPr>
          <w:rFonts w:hint="eastAsia" w:ascii="方正楷体_GBK" w:hAnsi="宋体" w:eastAsia="方正楷体_GBK"/>
          <w:sz w:val="32"/>
          <w:szCs w:val="32"/>
          <w:lang w:val="en-US" w:eastAsia="zh-CN"/>
        </w:rPr>
        <w:t>五</w:t>
      </w:r>
      <w:r>
        <w:rPr>
          <w:rFonts w:hint="eastAsia" w:ascii="方正楷体_GBK" w:hAnsi="宋体" w:eastAsia="方正楷体_GBK"/>
          <w:sz w:val="32"/>
          <w:szCs w:val="32"/>
        </w:rPr>
        <w:t>）预备费、结转结余资金使用情况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年镇级一般公共预算结转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万元，政府性政府性基金结转下年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1885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万元，按原项目纳入202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年预算安排支出。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楷体_GBK" w:hAnsi="宋体" w:eastAsia="方正楷体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</w:t>
      </w:r>
      <w:r>
        <w:rPr>
          <w:rFonts w:hint="eastAsia" w:ascii="方正楷体_GBK" w:hAnsi="宋体" w:eastAsia="方正楷体_GBK"/>
          <w:sz w:val="32"/>
          <w:szCs w:val="32"/>
          <w:lang w:val="en-US" w:eastAsia="zh-CN"/>
        </w:rPr>
        <w:t>六</w:t>
      </w:r>
      <w:r>
        <w:rPr>
          <w:rFonts w:hint="eastAsia" w:ascii="方正楷体_GBK" w:hAnsi="宋体" w:eastAsia="方正楷体_GBK"/>
          <w:sz w:val="32"/>
          <w:szCs w:val="32"/>
        </w:rPr>
        <w:t>）“三公”经费支出情况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年度 “三公”经费较上年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降低27.59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 ，较年初预算数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增加50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%。其中：因公出国（境）费较上年减少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万元，较年初预算数减少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万元，主要原因是202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年无因公出国（境），故无相应费用；公务用车购置及运行维护费较上年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万元，较年初预算数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万元，主要是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预算时公务用车只涵盖行政公务车辆，实际运行中事业单位特种车辆也需兜底，且公车车况较差，维修较多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。公务接待费较上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年增加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万元，较年初预算数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元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主要是招商引资接待。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方正楷体_GBK" w:hAnsi="宋体" w:eastAsia="方正楷体_GBK"/>
          <w:color w:val="000000"/>
          <w:sz w:val="32"/>
          <w:szCs w:val="32"/>
        </w:rPr>
      </w:pPr>
      <w:r>
        <w:rPr>
          <w:rFonts w:hint="eastAsia" w:ascii="方正楷体_GBK" w:hAnsi="宋体" w:eastAsia="方正楷体_GBK"/>
          <w:color w:val="000000"/>
          <w:sz w:val="32"/>
          <w:szCs w:val="32"/>
        </w:rPr>
        <w:t>（</w:t>
      </w:r>
      <w:r>
        <w:rPr>
          <w:rFonts w:hint="eastAsia" w:ascii="方正楷体_GBK" w:hAnsi="宋体" w:eastAsia="方正楷体_GBK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方正楷体_GBK" w:hAnsi="宋体" w:eastAsia="方正楷体_GBK"/>
          <w:color w:val="000000"/>
          <w:sz w:val="32"/>
          <w:szCs w:val="32"/>
        </w:rPr>
        <w:t>）预算绩效管理情况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严格落实区委区政府《关于认真贯彻落实&lt;中共重庆市委重庆市人民政府关于全面实施预算绩效管理实施意见&gt;的通知》（涪陵委〔2020〕34号）文件精神，开展绩效目标运行管理工作，本镇的绩效管理水平得到提高，资金使用效益得到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楷体_GBK" w:hAnsi="宋体" w:eastAsia="方正楷体_GBK"/>
          <w:sz w:val="32"/>
          <w:szCs w:val="32"/>
          <w:lang w:val="en-US" w:eastAsia="zh-CN"/>
        </w:rPr>
      </w:pPr>
      <w:r>
        <w:rPr>
          <w:rFonts w:hint="eastAsia" w:ascii="方正楷体_GBK" w:hAnsi="宋体" w:eastAsia="方正楷体_GBK"/>
          <w:kern w:val="2"/>
          <w:sz w:val="32"/>
          <w:szCs w:val="32"/>
          <w:lang w:val="en-US" w:eastAsia="zh-CN" w:bidi="ar-SA"/>
        </w:rPr>
        <w:t>（八）</w:t>
      </w:r>
      <w:r>
        <w:rPr>
          <w:rFonts w:hint="eastAsia" w:ascii="方正楷体_GBK" w:hAnsi="宋体" w:eastAsia="方正楷体_GBK"/>
          <w:sz w:val="32"/>
          <w:szCs w:val="32"/>
        </w:rPr>
        <w:t>区级重点专项</w:t>
      </w:r>
      <w:r>
        <w:rPr>
          <w:rFonts w:hint="eastAsia" w:ascii="方正楷体_GBK" w:hAnsi="宋体" w:eastAsia="方正楷体_GBK"/>
          <w:sz w:val="32"/>
          <w:szCs w:val="32"/>
          <w:lang w:val="en-US" w:eastAsia="zh-CN"/>
        </w:rPr>
        <w:t>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我镇无重点专项。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楷体_GBK" w:hAnsi="宋体" w:eastAsia="方正楷体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  <w:lang w:eastAsia="zh-CN"/>
        </w:rPr>
        <w:t>（</w:t>
      </w:r>
      <w:r>
        <w:rPr>
          <w:rFonts w:hint="eastAsia" w:ascii="方正楷体_GBK" w:hAnsi="宋体" w:eastAsia="方正楷体_GBK"/>
          <w:sz w:val="32"/>
          <w:szCs w:val="32"/>
          <w:lang w:val="en-US" w:eastAsia="zh-CN"/>
        </w:rPr>
        <w:t>九）</w:t>
      </w:r>
      <w:r>
        <w:rPr>
          <w:rFonts w:hint="eastAsia" w:ascii="方正楷体_GBK" w:hAnsi="宋体" w:eastAsia="方正楷体_GBK"/>
          <w:sz w:val="32"/>
          <w:szCs w:val="32"/>
        </w:rPr>
        <w:t>审计意见的整改落实情况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2021年9月区审计局对我镇开展了主要领导离任审计，</w:t>
      </w:r>
      <w:r>
        <w:rPr>
          <w:rFonts w:hint="eastAsia" w:ascii="方正仿宋_GBK" w:hAnsi="宋体" w:eastAsia="方正仿宋_GBK"/>
          <w:sz w:val="32"/>
          <w:szCs w:val="32"/>
        </w:rPr>
        <w:t>指出了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违规超标准发放应休未休假工资报酬、违规定额报销事业单位人员交通费、违规超范围发放信访津贴、违规决策借用复垦资金、三峡后续扶持资金的问题。</w:t>
      </w:r>
      <w:r>
        <w:rPr>
          <w:rFonts w:hint="eastAsia" w:ascii="方正仿宋_GBK" w:hAnsi="宋体" w:eastAsia="方正仿宋_GBK"/>
          <w:sz w:val="32"/>
          <w:szCs w:val="32"/>
        </w:rPr>
        <w:t>目前，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我镇</w:t>
      </w:r>
      <w:r>
        <w:rPr>
          <w:rFonts w:hint="eastAsia" w:ascii="方正仿宋_GBK" w:hAnsi="宋体" w:eastAsia="方正仿宋_GBK"/>
          <w:sz w:val="32"/>
          <w:szCs w:val="32"/>
        </w:rPr>
        <w:t>会同有关部门对照审计报告指出的问题，积极采取措施加以整改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已将违规发放的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应休未休假工资报酬、事业单位交通费、超范围发放的信访津贴集中清理清退，并将该资金退回镇财政；对借用的三峡后续扶持资金也进行了归还。</w:t>
      </w:r>
      <w:r>
        <w:rPr>
          <w:rFonts w:hint="eastAsia" w:ascii="方正仿宋_GBK" w:hAnsi="宋体" w:eastAsia="方正仿宋_GBK"/>
          <w:sz w:val="32"/>
          <w:szCs w:val="32"/>
        </w:rPr>
        <w:t>下</w:t>
      </w:r>
      <w:bookmarkStart w:id="0" w:name="_GoBack"/>
      <w:bookmarkEnd w:id="0"/>
      <w:r>
        <w:rPr>
          <w:rFonts w:hint="eastAsia" w:ascii="方正仿宋_GBK" w:hAnsi="宋体" w:eastAsia="方正仿宋_GBK"/>
          <w:sz w:val="32"/>
          <w:szCs w:val="32"/>
        </w:rPr>
        <w:t>一步，将进一步加强财会监督、严肃财经纪律，从体制机制上着手，以预算管理一体化系统为载体，促进财政资金规范高效运行。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附件：重庆市涪陵区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溪镇2022年决</w:t>
      </w:r>
      <w:r>
        <w:rPr>
          <w:rFonts w:hint="eastAsia" w:ascii="方正仿宋_GBK" w:hAnsi="宋体" w:eastAsia="方正仿宋_GBK"/>
          <w:sz w:val="32"/>
          <w:szCs w:val="32"/>
        </w:rPr>
        <w:t>算</w:t>
      </w:r>
    </w:p>
    <w:sectPr>
      <w:footerReference r:id="rId3" w:type="default"/>
      <w:footerReference r:id="rId4" w:type="even"/>
      <w:pgSz w:w="11906" w:h="16838"/>
      <w:pgMar w:top="2098" w:right="1418" w:bottom="1701" w:left="1644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@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Style w:val="8"/>
        <w:rFonts w:hint="eastAsia" w:ascii="方正仿宋_GBK" w:eastAsia="方正仿宋_GBK"/>
        <w:sz w:val="28"/>
        <w:szCs w:val="28"/>
      </w:rPr>
      <w:instrText xml:space="preserve">PAGE 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Style w:val="8"/>
        <w:rFonts w:ascii="方正仿宋_GBK" w:eastAsia="方正仿宋_GBK"/>
        <w:sz w:val="28"/>
        <w:szCs w:val="28"/>
        <w:lang/>
      </w:rPr>
      <w:t>- 1 -</w:t>
    </w:r>
    <w:r>
      <w:rPr>
        <w:rFonts w:hint="eastAsia" w:ascii="方正仿宋_GBK" w:eastAsia="方正仿宋_GBK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ZGU3NWEyMjU2YzU1YTliNTg2YjRmZGFkNDg3YTIifQ=="/>
  </w:docVars>
  <w:rsids>
    <w:rsidRoot w:val="00B47436"/>
    <w:rsid w:val="000014C8"/>
    <w:rsid w:val="00003183"/>
    <w:rsid w:val="00021AA3"/>
    <w:rsid w:val="00023759"/>
    <w:rsid w:val="00047776"/>
    <w:rsid w:val="00084C81"/>
    <w:rsid w:val="000A50B0"/>
    <w:rsid w:val="000B6471"/>
    <w:rsid w:val="000F0481"/>
    <w:rsid w:val="000F61DC"/>
    <w:rsid w:val="001447C3"/>
    <w:rsid w:val="00146B1D"/>
    <w:rsid w:val="00147A9B"/>
    <w:rsid w:val="00150E5B"/>
    <w:rsid w:val="001779E7"/>
    <w:rsid w:val="001B35E9"/>
    <w:rsid w:val="001B5424"/>
    <w:rsid w:val="001C0786"/>
    <w:rsid w:val="001F35FB"/>
    <w:rsid w:val="00204F11"/>
    <w:rsid w:val="002111EB"/>
    <w:rsid w:val="00211664"/>
    <w:rsid w:val="0021181E"/>
    <w:rsid w:val="00220C92"/>
    <w:rsid w:val="00223604"/>
    <w:rsid w:val="00226E82"/>
    <w:rsid w:val="00233A1F"/>
    <w:rsid w:val="00243C7A"/>
    <w:rsid w:val="00271142"/>
    <w:rsid w:val="002A0205"/>
    <w:rsid w:val="002D15CD"/>
    <w:rsid w:val="002F29B2"/>
    <w:rsid w:val="00316FAB"/>
    <w:rsid w:val="00323192"/>
    <w:rsid w:val="00344044"/>
    <w:rsid w:val="003856EC"/>
    <w:rsid w:val="00395622"/>
    <w:rsid w:val="003A1D73"/>
    <w:rsid w:val="003A31F5"/>
    <w:rsid w:val="003D07AE"/>
    <w:rsid w:val="003D13BB"/>
    <w:rsid w:val="003D620E"/>
    <w:rsid w:val="003E1C51"/>
    <w:rsid w:val="00413C32"/>
    <w:rsid w:val="004A14F1"/>
    <w:rsid w:val="004B3EB1"/>
    <w:rsid w:val="004F57C5"/>
    <w:rsid w:val="0050318B"/>
    <w:rsid w:val="00537F57"/>
    <w:rsid w:val="005749E3"/>
    <w:rsid w:val="005B1437"/>
    <w:rsid w:val="005E545C"/>
    <w:rsid w:val="005E735C"/>
    <w:rsid w:val="005F17A2"/>
    <w:rsid w:val="00606E9E"/>
    <w:rsid w:val="0061167C"/>
    <w:rsid w:val="00662CBC"/>
    <w:rsid w:val="00664B18"/>
    <w:rsid w:val="006A53F6"/>
    <w:rsid w:val="006B085A"/>
    <w:rsid w:val="006D4D1C"/>
    <w:rsid w:val="006E7DA4"/>
    <w:rsid w:val="007133AB"/>
    <w:rsid w:val="00741F9D"/>
    <w:rsid w:val="007511FE"/>
    <w:rsid w:val="0075685C"/>
    <w:rsid w:val="007747CE"/>
    <w:rsid w:val="007A26E4"/>
    <w:rsid w:val="007B102D"/>
    <w:rsid w:val="007C5842"/>
    <w:rsid w:val="007D56E1"/>
    <w:rsid w:val="00803665"/>
    <w:rsid w:val="008359B4"/>
    <w:rsid w:val="0084692B"/>
    <w:rsid w:val="00855EEB"/>
    <w:rsid w:val="0086382B"/>
    <w:rsid w:val="008D5B14"/>
    <w:rsid w:val="008F65F5"/>
    <w:rsid w:val="00903E37"/>
    <w:rsid w:val="0092207A"/>
    <w:rsid w:val="00962B54"/>
    <w:rsid w:val="009C7B2F"/>
    <w:rsid w:val="00A04E2B"/>
    <w:rsid w:val="00A61EDD"/>
    <w:rsid w:val="00A820EB"/>
    <w:rsid w:val="00A82C49"/>
    <w:rsid w:val="00AA2A24"/>
    <w:rsid w:val="00AD3112"/>
    <w:rsid w:val="00AF6705"/>
    <w:rsid w:val="00B040C7"/>
    <w:rsid w:val="00B06F94"/>
    <w:rsid w:val="00B47436"/>
    <w:rsid w:val="00B85A24"/>
    <w:rsid w:val="00B86EA2"/>
    <w:rsid w:val="00B900AD"/>
    <w:rsid w:val="00BB67FE"/>
    <w:rsid w:val="00BB7933"/>
    <w:rsid w:val="00BC2198"/>
    <w:rsid w:val="00BE6792"/>
    <w:rsid w:val="00C32576"/>
    <w:rsid w:val="00C90C39"/>
    <w:rsid w:val="00CA3D7B"/>
    <w:rsid w:val="00CB0B30"/>
    <w:rsid w:val="00CD6D0A"/>
    <w:rsid w:val="00D14988"/>
    <w:rsid w:val="00D73014"/>
    <w:rsid w:val="00E23E1F"/>
    <w:rsid w:val="00EA2B4F"/>
    <w:rsid w:val="00EC437B"/>
    <w:rsid w:val="00ED343E"/>
    <w:rsid w:val="00F13603"/>
    <w:rsid w:val="00F15D24"/>
    <w:rsid w:val="00F1783E"/>
    <w:rsid w:val="00F324A5"/>
    <w:rsid w:val="00F7254F"/>
    <w:rsid w:val="00FB4FEB"/>
    <w:rsid w:val="00FD2D00"/>
    <w:rsid w:val="00FF4690"/>
    <w:rsid w:val="00FF616C"/>
    <w:rsid w:val="02885419"/>
    <w:rsid w:val="09586896"/>
    <w:rsid w:val="1A1F5CB6"/>
    <w:rsid w:val="1CC14CA8"/>
    <w:rsid w:val="1F4F2A29"/>
    <w:rsid w:val="1FDC0C05"/>
    <w:rsid w:val="2C053A68"/>
    <w:rsid w:val="2D8E64AB"/>
    <w:rsid w:val="46384F74"/>
    <w:rsid w:val="50061783"/>
    <w:rsid w:val="52422D46"/>
    <w:rsid w:val="52462A15"/>
    <w:rsid w:val="579E0699"/>
    <w:rsid w:val="62C80B71"/>
    <w:rsid w:val="64EA3410"/>
    <w:rsid w:val="7E140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样式1"/>
    <w:basedOn w:val="2"/>
    <w:next w:val="1"/>
    <w:qFormat/>
    <w:uiPriority w:val="0"/>
    <w:pPr>
      <w:jc w:val="center"/>
    </w:pPr>
    <w:rPr>
      <w:rFonts w:ascii="Calibri" w:hAnsi="Calibri"/>
      <w:sz w:val="8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1434</Words>
  <Characters>1633</Characters>
  <Lines>23</Lines>
  <Paragraphs>6</Paragraphs>
  <TotalTime>2</TotalTime>
  <ScaleCrop>false</ScaleCrop>
  <LinksUpToDate>false</LinksUpToDate>
  <CharactersWithSpaces>1637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2022-08-18T07:01:00Z</dcterms:created>
  <dc:creator>Administrator</dc:creator>
  <cp:lastModifiedBy>看幸福的戏12138</cp:lastModifiedBy>
  <cp:lastPrinted>2022-08-22T03:06:00Z</cp:lastPrinted>
  <dcterms:modified xsi:type="dcterms:W3CDTF">2023-09-26T07:36:59Z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27671162655B40BCB4FE6D14A0E46AB0</vt:lpwstr>
  </property>
</Properties>
</file>