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</w:p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202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3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清溪镇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“三公”经费情况说明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按照《预算法》《预算法实施条例》及市政府、区政府关于推进政府信息公开工作部署和要求，现将涪陵区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清溪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年度“三公”经费决算情况公布如下：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经汇总，202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年度“三公”经费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13.33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万元，其中：因公出国（境）费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万元，公务用车运行维护费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万元，公务接待费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1.33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万元（国内接待费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1.33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万元）。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年度因公出国（境）团组数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个，因公出国（境）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人次；公务用车购置数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辆，公务用车保有量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辆；无国（境）外公务接待情况。</w:t>
      </w:r>
    </w:p>
    <w:p>
      <w:pPr>
        <w:spacing w:line="520" w:lineRule="exact"/>
        <w:ind w:firstLine="640" w:firstLineChars="200"/>
        <w:rPr>
          <w:rFonts w:hint="default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经比较，202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年度“三公”经费较上年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减少7.67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降低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36.52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 ，较年初预算数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增加1.33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增加11.08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%。其中：因公出国（境）费较上年减少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万元，较年初预算数减少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万元，主要原因是202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年无因公出国（境），故无相应费用；公务用车购置及运行维护费较上年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减少5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万元，较年初预算数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增加0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主要是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按照年初预算，严格把关公务用车的管理、使用、维护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。公务接待费较上年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减少2.67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万元，较年初预算数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增加1.33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主要是招商引资和工作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接待。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费、过路过桥费、保险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</w:docVars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C2A34"/>
    <w:rsid w:val="00D273CE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1569652A"/>
    <w:rsid w:val="2106208F"/>
    <w:rsid w:val="21623042"/>
    <w:rsid w:val="31A0462D"/>
    <w:rsid w:val="3C2809C3"/>
    <w:rsid w:val="3D6D113A"/>
    <w:rsid w:val="3FBC4693"/>
    <w:rsid w:val="44953E37"/>
    <w:rsid w:val="53F21C60"/>
    <w:rsid w:val="573C10A1"/>
    <w:rsid w:val="6DDB1F80"/>
    <w:rsid w:val="6E3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642</Words>
  <Characters>693</Characters>
  <Lines>5</Lines>
  <Paragraphs>1</Paragraphs>
  <TotalTime>0</TotalTime>
  <ScaleCrop>false</ScaleCrop>
  <LinksUpToDate>false</LinksUpToDate>
  <CharactersWithSpaces>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2022-09-08T03:50:00Z</dcterms:created>
  <dc:creator>User</dc:creator>
  <cp:lastModifiedBy>秋风秋雨</cp:lastModifiedBy>
  <cp:lastPrinted>2022-09-14T02:10:00Z</cp:lastPrinted>
  <dcterms:modified xsi:type="dcterms:W3CDTF">2024-06-25T07:48:01Z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C26CDDD02EC24D1CAFC612CF50C16E13</vt:lpwstr>
  </property>
</Properties>
</file>