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rPr>
          <w:rFonts w:hint="eastAsia" w:ascii="微软雅黑" w:hAnsi="微软雅黑" w:eastAsia="微软雅黑" w:cs="微软雅黑"/>
          <w:i w:val="0"/>
          <w:iCs w:val="0"/>
          <w:caps w:val="0"/>
          <w:color w:val="333333"/>
          <w:spacing w:val="0"/>
          <w:sz w:val="24"/>
          <w:szCs w:val="24"/>
          <w:shd w:val="clear" w:fill="FFFFFF"/>
          <w:lang w:val="en-US" w:eastAsia="zh-CN"/>
        </w:rPr>
      </w:pPr>
      <w:bookmarkStart w:id="0" w:name="_GoBack"/>
      <w:r>
        <w:rPr>
          <w:rFonts w:hint="eastAsia" w:ascii="微软雅黑" w:hAnsi="微软雅黑" w:eastAsia="微软雅黑" w:cs="微软雅黑"/>
          <w:b/>
          <w:bCs/>
          <w:i w:val="0"/>
          <w:iCs w:val="0"/>
          <w:caps w:val="0"/>
          <w:color w:val="333333"/>
          <w:spacing w:val="0"/>
          <w:sz w:val="32"/>
          <w:szCs w:val="32"/>
          <w:shd w:val="clear" w:fill="FFFFFF"/>
          <w:lang w:val="en-US" w:eastAsia="zh-CN"/>
        </w:rPr>
        <w:t>清溪镇2022年政府信息公开工作年度报告</w:t>
      </w:r>
    </w:p>
    <w:bookmarkEnd w:id="0"/>
    <w:p>
      <w:pPr>
        <w:numPr>
          <w:ilvl w:val="0"/>
          <w:numId w:val="0"/>
        </w:numPr>
        <w:ind w:leftChars="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在区委、区政府的正确领导下，我镇高度重视并积极推进政府信息公开工作，认真贯彻落实好上级相关文件要求，确保政府信息全面、及时、准确公开，提高工作的透明度和公信力，为经济社会活动和人民群众生产、生活提供服务，取得了较好成效。根据规定，现将我镇2022年度政府信息公开工作报告如下：</w:t>
      </w:r>
    </w:p>
    <w:p>
      <w:pPr>
        <w:numPr>
          <w:ilvl w:val="0"/>
          <w:numId w:val="0"/>
        </w:numPr>
        <w:ind w:leftChars="0"/>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一、总体情况</w:t>
      </w:r>
    </w:p>
    <w:p>
      <w:pPr>
        <w:numPr>
          <w:ilvl w:val="0"/>
          <w:numId w:val="0"/>
        </w:numPr>
        <w:ind w:leftChars="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2022年我镇全面贯彻落实《中华人民共和国政府信息公开条例》文件要求，按照上级部门工作部署要求，结合我镇工作实际，围绕着为群众办好事办实事，进一步提高政府信息公开工作的质量和实效，取得不错实效。</w:t>
      </w:r>
    </w:p>
    <w:p>
      <w:pPr>
        <w:numPr>
          <w:ilvl w:val="0"/>
          <w:numId w:val="0"/>
        </w:numPr>
        <w:ind w:leftChars="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（一）主动公开情况</w:t>
      </w:r>
    </w:p>
    <w:p>
      <w:pPr>
        <w:numPr>
          <w:ilvl w:val="0"/>
          <w:numId w:val="0"/>
        </w:numPr>
        <w:ind w:leftChars="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2022年，我镇充分利用网络媒体宣传发动，在巴渝都市报发布7篇报道、爱涪陵平台发布新闻稿75篇，积极宣传报道全镇重点、亮点工作。全年超额完成《涪陵要情》、《政务信息》、《涪陵宣传》等信息任务。全年完成网评写作24篇，报送统战、宣传信息191条、文明涪陵信息采用18条，报送区府办《政务信息》采用13篇、区委办《涪陵要情》采用12篇。政府信息公开工作得到了有效的贯彻落实。</w:t>
      </w:r>
    </w:p>
    <w:p>
      <w:pPr>
        <w:numPr>
          <w:ilvl w:val="0"/>
          <w:numId w:val="0"/>
        </w:numPr>
        <w:ind w:leftChars="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eastAsia="zh-CN"/>
        </w:rPr>
        <w:t>（二）依申请公开情况</w:t>
      </w:r>
      <w:r>
        <w:rPr>
          <w:rFonts w:hint="eastAsia" w:ascii="微软雅黑" w:hAnsi="微软雅黑" w:eastAsia="微软雅黑" w:cs="微软雅黑"/>
          <w:i w:val="0"/>
          <w:iCs w:val="0"/>
          <w:caps w:val="0"/>
          <w:color w:val="333333"/>
          <w:spacing w:val="0"/>
          <w:sz w:val="24"/>
          <w:szCs w:val="24"/>
          <w:shd w:val="clear" w:fill="FFFFFF"/>
          <w:lang w:eastAsia="zh-CN"/>
        </w:rPr>
        <w:br w:type="textWrapping"/>
      </w:r>
      <w:r>
        <w:rPr>
          <w:rFonts w:hint="eastAsia" w:ascii="微软雅黑" w:hAnsi="微软雅黑" w:eastAsia="微软雅黑" w:cs="微软雅黑"/>
          <w:i w:val="0"/>
          <w:iCs w:val="0"/>
          <w:caps w:val="0"/>
          <w:color w:val="333333"/>
          <w:spacing w:val="0"/>
          <w:sz w:val="24"/>
          <w:szCs w:val="24"/>
          <w:shd w:val="clear" w:fill="FFFFFF"/>
          <w:lang w:val="en-US" w:eastAsia="zh-CN"/>
        </w:rPr>
        <w:t>2022年，我</w:t>
      </w:r>
      <w:r>
        <w:rPr>
          <w:rFonts w:hint="eastAsia" w:ascii="微软雅黑" w:hAnsi="微软雅黑" w:eastAsia="微软雅黑" w:cs="微软雅黑"/>
          <w:i w:val="0"/>
          <w:iCs w:val="0"/>
          <w:caps w:val="0"/>
          <w:color w:val="333333"/>
          <w:spacing w:val="0"/>
          <w:sz w:val="24"/>
          <w:szCs w:val="24"/>
          <w:shd w:val="clear" w:fill="FFFFFF"/>
        </w:rPr>
        <w:t>镇进一步拓宽受理渠道，为申请人提供便捷的依申请公开服务。对于申请事项不属于政府信息公开工作范畴或无法按申请提供政府信息的，主动与申请人沟通，尽量取得申请人的理解。2022年</w:t>
      </w:r>
      <w:r>
        <w:rPr>
          <w:rFonts w:hint="eastAsia" w:ascii="微软雅黑" w:hAnsi="微软雅黑" w:eastAsia="微软雅黑" w:cs="微软雅黑"/>
          <w:i w:val="0"/>
          <w:iCs w:val="0"/>
          <w:caps w:val="0"/>
          <w:color w:val="333333"/>
          <w:spacing w:val="0"/>
          <w:sz w:val="24"/>
          <w:szCs w:val="24"/>
          <w:shd w:val="clear" w:fill="FFFFFF"/>
          <w:lang w:eastAsia="zh-CN"/>
        </w:rPr>
        <w:t>清溪镇</w:t>
      </w:r>
      <w:r>
        <w:rPr>
          <w:rFonts w:hint="eastAsia" w:ascii="微软雅黑" w:hAnsi="微软雅黑" w:eastAsia="微软雅黑" w:cs="微软雅黑"/>
          <w:i w:val="0"/>
          <w:iCs w:val="0"/>
          <w:caps w:val="0"/>
          <w:color w:val="333333"/>
          <w:spacing w:val="0"/>
          <w:sz w:val="24"/>
          <w:szCs w:val="24"/>
          <w:shd w:val="clear" w:fill="FFFFFF"/>
        </w:rPr>
        <w:t>镇依申请公开信息0条。</w:t>
      </w:r>
    </w:p>
    <w:p>
      <w:pPr>
        <w:numPr>
          <w:ilvl w:val="0"/>
          <w:numId w:val="0"/>
        </w:numPr>
        <w:ind w:leftChars="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eastAsia="zh-CN"/>
        </w:rPr>
        <w:t>（三）政府信息管理情况</w:t>
      </w:r>
    </w:p>
    <w:p>
      <w:pPr>
        <w:numPr>
          <w:ilvl w:val="0"/>
          <w:numId w:val="0"/>
        </w:numPr>
        <w:ind w:leftChars="0"/>
        <w:rPr>
          <w:rFonts w:hint="eastAsia" w:ascii="微软雅黑" w:hAnsi="微软雅黑" w:eastAsia="微软雅黑" w:cs="微软雅黑"/>
          <w:i w:val="0"/>
          <w:iCs w:val="0"/>
          <w:caps w:val="0"/>
          <w:color w:val="3D3D3D"/>
          <w:spacing w:val="0"/>
          <w:sz w:val="24"/>
          <w:szCs w:val="24"/>
          <w:shd w:val="clear" w:fill="FFFFFF"/>
        </w:rPr>
      </w:pPr>
      <w:r>
        <w:rPr>
          <w:rFonts w:hint="eastAsia" w:ascii="微软雅黑" w:hAnsi="微软雅黑" w:eastAsia="微软雅黑" w:cs="微软雅黑"/>
          <w:i w:val="0"/>
          <w:iCs w:val="0"/>
          <w:caps w:val="0"/>
          <w:color w:val="3D3D3D"/>
          <w:spacing w:val="0"/>
          <w:sz w:val="24"/>
          <w:szCs w:val="24"/>
          <w:shd w:val="clear" w:fill="FFFFFF"/>
        </w:rPr>
        <w:t>一是规范机制，促进政务公开平稳有序。以镇党政办为牵头办公室，各科室安排专人对接负责协助提供政务公开相关业务资料。二是完善工作机制，坚决履行公开审核、保密安全制度。对于拟公开的信息要做到审核严密，不允许出现错字漏字、内容准确有效、表述规范、可公开，并且责任到人，做到谁公开谁负责。</w:t>
      </w:r>
    </w:p>
    <w:p>
      <w:pPr>
        <w:numPr>
          <w:ilvl w:val="0"/>
          <w:numId w:val="0"/>
        </w:numPr>
        <w:ind w:leftChars="0"/>
        <w:rPr>
          <w:rFonts w:hint="eastAsia" w:ascii="微软雅黑" w:hAnsi="微软雅黑" w:eastAsia="微软雅黑" w:cs="微软雅黑"/>
          <w:i w:val="0"/>
          <w:iCs w:val="0"/>
          <w:caps w:val="0"/>
          <w:color w:val="3D3D3D"/>
          <w:spacing w:val="0"/>
          <w:sz w:val="24"/>
          <w:szCs w:val="24"/>
          <w:shd w:val="clear" w:fill="FFFFFF"/>
          <w:lang w:val="en-US" w:eastAsia="zh-CN"/>
        </w:rPr>
      </w:pPr>
      <w:r>
        <w:rPr>
          <w:rFonts w:hint="eastAsia" w:ascii="微软雅黑" w:hAnsi="微软雅黑" w:eastAsia="微软雅黑" w:cs="微软雅黑"/>
          <w:i w:val="0"/>
          <w:iCs w:val="0"/>
          <w:caps w:val="0"/>
          <w:color w:val="3D3D3D"/>
          <w:spacing w:val="0"/>
          <w:sz w:val="24"/>
          <w:szCs w:val="24"/>
          <w:shd w:val="clear" w:fill="FFFFFF"/>
          <w:lang w:val="en-US" w:eastAsia="zh-CN"/>
        </w:rPr>
        <w:t>（四）政府信息公开平台建设情况</w:t>
      </w:r>
    </w:p>
    <w:p>
      <w:pPr>
        <w:numPr>
          <w:ilvl w:val="0"/>
          <w:numId w:val="0"/>
        </w:numPr>
        <w:ind w:leftChars="0"/>
        <w:rPr>
          <w:rFonts w:hint="eastAsia" w:ascii="微软雅黑" w:hAnsi="微软雅黑" w:eastAsia="微软雅黑" w:cs="微软雅黑"/>
          <w:i w:val="0"/>
          <w:iCs w:val="0"/>
          <w:caps w:val="0"/>
          <w:color w:val="3D3D3D"/>
          <w:spacing w:val="0"/>
          <w:sz w:val="24"/>
          <w:szCs w:val="24"/>
          <w:shd w:val="clear" w:fill="FFFFFF"/>
          <w:lang w:eastAsia="zh-CN"/>
        </w:rPr>
      </w:pPr>
      <w:r>
        <w:rPr>
          <w:rFonts w:hint="eastAsia" w:ascii="微软雅黑" w:hAnsi="微软雅黑" w:eastAsia="微软雅黑" w:cs="微软雅黑"/>
          <w:i w:val="0"/>
          <w:iCs w:val="0"/>
          <w:caps w:val="0"/>
          <w:color w:val="3D3D3D"/>
          <w:spacing w:val="0"/>
          <w:sz w:val="24"/>
          <w:szCs w:val="24"/>
          <w:shd w:val="clear" w:fill="FFFFFF"/>
          <w:lang w:eastAsia="zh-CN"/>
        </w:rPr>
        <w:t>我镇</w:t>
      </w:r>
      <w:r>
        <w:rPr>
          <w:rFonts w:hint="eastAsia" w:ascii="微软雅黑" w:hAnsi="微软雅黑" w:eastAsia="微软雅黑" w:cs="微软雅黑"/>
          <w:i w:val="0"/>
          <w:iCs w:val="0"/>
          <w:caps w:val="0"/>
          <w:color w:val="3D3D3D"/>
          <w:spacing w:val="0"/>
          <w:sz w:val="24"/>
          <w:szCs w:val="24"/>
          <w:shd w:val="clear" w:fill="FFFFFF"/>
        </w:rPr>
        <w:t>按照公开目录事项标准进行目录调整和日常信息公开发布；确定专人负责日常网站运维，保障政府信息公开网站稳定</w:t>
      </w:r>
      <w:r>
        <w:rPr>
          <w:rFonts w:hint="eastAsia" w:ascii="微软雅黑" w:hAnsi="微软雅黑" w:eastAsia="微软雅黑" w:cs="微软雅黑"/>
          <w:i w:val="0"/>
          <w:iCs w:val="0"/>
          <w:caps w:val="0"/>
          <w:color w:val="3D3D3D"/>
          <w:spacing w:val="0"/>
          <w:sz w:val="24"/>
          <w:szCs w:val="24"/>
          <w:shd w:val="clear" w:fill="FFFFFF"/>
          <w:lang w:eastAsia="zh-CN"/>
        </w:rPr>
        <w:t>。</w:t>
      </w:r>
    </w:p>
    <w:p>
      <w:pPr>
        <w:numPr>
          <w:ilvl w:val="0"/>
          <w:numId w:val="0"/>
        </w:numPr>
        <w:ind w:leftChars="0"/>
        <w:rPr>
          <w:rFonts w:hint="eastAsia" w:ascii="微软雅黑" w:hAnsi="微软雅黑" w:eastAsia="微软雅黑" w:cs="微软雅黑"/>
          <w:i w:val="0"/>
          <w:iCs w:val="0"/>
          <w:caps w:val="0"/>
          <w:color w:val="3D3D3D"/>
          <w:spacing w:val="0"/>
          <w:sz w:val="24"/>
          <w:szCs w:val="24"/>
          <w:shd w:val="clear" w:fill="FFFFFF"/>
          <w:lang w:eastAsia="zh-CN"/>
        </w:rPr>
      </w:pPr>
      <w:r>
        <w:rPr>
          <w:rFonts w:hint="eastAsia" w:ascii="微软雅黑" w:hAnsi="微软雅黑" w:eastAsia="微软雅黑" w:cs="微软雅黑"/>
          <w:i w:val="0"/>
          <w:iCs w:val="0"/>
          <w:caps w:val="0"/>
          <w:color w:val="3D3D3D"/>
          <w:spacing w:val="0"/>
          <w:sz w:val="24"/>
          <w:szCs w:val="24"/>
          <w:shd w:val="clear" w:fill="FFFFFF"/>
          <w:lang w:eastAsia="zh-CN"/>
        </w:rPr>
        <w:t>（五）监督保障情况</w:t>
      </w:r>
    </w:p>
    <w:p>
      <w:pPr>
        <w:numPr>
          <w:ilvl w:val="0"/>
          <w:numId w:val="0"/>
        </w:numPr>
        <w:ind w:leftChars="0"/>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lang w:eastAsia="zh-CN"/>
        </w:rPr>
        <w:t>我镇严格按照相关要求及时</w:t>
      </w:r>
      <w:r>
        <w:rPr>
          <w:rFonts w:hint="eastAsia" w:ascii="微软雅黑" w:hAnsi="微软雅黑" w:eastAsia="微软雅黑" w:cs="微软雅黑"/>
          <w:i w:val="0"/>
          <w:iCs w:val="0"/>
          <w:caps w:val="0"/>
          <w:color w:val="333333"/>
          <w:spacing w:val="0"/>
          <w:sz w:val="24"/>
          <w:szCs w:val="24"/>
          <w:shd w:val="clear" w:fill="FFFFFF"/>
        </w:rPr>
        <w:t>公开政府信息，不断健全完善政府信息主动公开制度和依申请公开制度、保密审查等制度，为政府信息公开工作长期有效的开展提供了组织和制度保障，并确保涉密信息安全。在具体落实方面，要始终保持严谨、认真、负责的态度。对于所公开的内容做到一审再审，做到毫不出错。</w:t>
      </w:r>
    </w:p>
    <w:p>
      <w:pPr>
        <w:numPr>
          <w:ilvl w:val="0"/>
          <w:numId w:val="1"/>
        </w:numPr>
        <w:ind w:leftChars="0"/>
        <w:rPr>
          <w:rFonts w:hint="eastAsia" w:ascii="微软雅黑" w:hAnsi="微软雅黑" w:eastAsia="微软雅黑" w:cs="微软雅黑"/>
          <w:b/>
          <w:bCs/>
          <w:i w:val="0"/>
          <w:iCs w:val="0"/>
          <w:caps w:val="0"/>
          <w:color w:val="333333"/>
          <w:spacing w:val="0"/>
          <w:sz w:val="24"/>
          <w:szCs w:val="24"/>
          <w:shd w:val="clear" w:fill="FFFFFF"/>
          <w:lang w:eastAsia="zh-CN"/>
        </w:rPr>
      </w:pPr>
      <w:r>
        <w:rPr>
          <w:rFonts w:hint="eastAsia" w:ascii="微软雅黑" w:hAnsi="微软雅黑" w:eastAsia="微软雅黑" w:cs="微软雅黑"/>
          <w:b/>
          <w:bCs/>
          <w:i w:val="0"/>
          <w:iCs w:val="0"/>
          <w:caps w:val="0"/>
          <w:color w:val="333333"/>
          <w:spacing w:val="0"/>
          <w:sz w:val="24"/>
          <w:szCs w:val="24"/>
          <w:shd w:val="clear" w:fill="FFFFFF"/>
          <w:lang w:eastAsia="zh-CN"/>
        </w:rPr>
        <w:t>主动公开政府信息情况</w:t>
      </w:r>
    </w:p>
    <w:tbl>
      <w:tblPr>
        <w:tblStyle w:val="3"/>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35"/>
        <w:gridCol w:w="2435"/>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740" w:type="dxa"/>
            <w:gridSpan w:val="4"/>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信息内容</w:t>
            </w:r>
          </w:p>
        </w:tc>
        <w:tc>
          <w:tcPr>
            <w:tcW w:w="2435" w:type="dxa"/>
            <w:shd w:val="clear" w:color="auto" w:fill="auto"/>
            <w:tcMar>
              <w:left w:w="57" w:type="dxa"/>
              <w:right w:w="57" w:type="dxa"/>
            </w:tcMar>
            <w:vAlign w:val="center"/>
          </w:tcPr>
          <w:p>
            <w:pPr>
              <w:widowControl/>
              <w:jc w:val="center"/>
            </w:pPr>
            <w:r>
              <w:rPr>
                <w:rFonts w:hint="eastAsia" w:eastAsia="宋体" w:cs="宋体"/>
                <w:kern w:val="0"/>
                <w:sz w:val="20"/>
                <w:lang w:bidi="ar"/>
              </w:rPr>
              <w:t>本年制发件数</w:t>
            </w:r>
          </w:p>
        </w:tc>
        <w:tc>
          <w:tcPr>
            <w:tcW w:w="2435" w:type="dxa"/>
            <w:shd w:val="clear" w:color="auto" w:fill="auto"/>
            <w:tcMar>
              <w:left w:w="57" w:type="dxa"/>
              <w:right w:w="57" w:type="dxa"/>
            </w:tcMar>
            <w:vAlign w:val="center"/>
          </w:tcPr>
          <w:p>
            <w:pPr>
              <w:widowControl/>
              <w:jc w:val="center"/>
            </w:pPr>
            <w:r>
              <w:rPr>
                <w:rFonts w:hint="eastAsia" w:eastAsia="宋体" w:cs="宋体"/>
                <w:kern w:val="0"/>
                <w:sz w:val="20"/>
                <w:lang w:bidi="ar"/>
              </w:rPr>
              <w:t>本年废止件数</w:t>
            </w:r>
          </w:p>
        </w:tc>
        <w:tc>
          <w:tcPr>
            <w:tcW w:w="2435" w:type="dxa"/>
            <w:shd w:val="clear" w:color="auto" w:fill="auto"/>
            <w:tcMar>
              <w:left w:w="57" w:type="dxa"/>
              <w:right w:w="57" w:type="dxa"/>
            </w:tcMar>
            <w:vAlign w:val="center"/>
          </w:tcPr>
          <w:p>
            <w:pPr>
              <w:widowControl/>
              <w:jc w:val="center"/>
            </w:pPr>
            <w:r>
              <w:rPr>
                <w:rFonts w:hint="eastAsia" w:eastAsia="宋体" w:cs="宋体"/>
                <w:kern w:val="0"/>
                <w:sz w:val="20"/>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规章</w:t>
            </w:r>
          </w:p>
        </w:tc>
        <w:tc>
          <w:tcPr>
            <w:tcW w:w="2435" w:type="dxa"/>
            <w:shd w:val="clear" w:color="auto" w:fill="auto"/>
            <w:tcMar>
              <w:left w:w="57" w:type="dxa"/>
              <w:right w:w="57" w:type="dxa"/>
            </w:tcMar>
            <w:vAlign w:val="center"/>
          </w:tcPr>
          <w:p>
            <w:pPr>
              <w:widowControl/>
              <w:jc w:val="center"/>
              <w:rPr>
                <w:rFonts w:hint="eastAsia" w:eastAsia="宋体"/>
                <w:lang w:val="en-US" w:eastAsia="zh-CN"/>
              </w:rPr>
            </w:pPr>
            <w:r>
              <w:rPr>
                <w:rFonts w:hint="eastAsia" w:eastAsia="宋体" w:cs="宋体"/>
                <w:kern w:val="0"/>
                <w:sz w:val="20"/>
                <w:lang w:val="en-US" w:eastAsia="zh-CN" w:bidi="ar"/>
              </w:rPr>
              <w:t>0</w:t>
            </w:r>
          </w:p>
        </w:tc>
        <w:tc>
          <w:tcPr>
            <w:tcW w:w="2435" w:type="dxa"/>
            <w:shd w:val="clear" w:color="auto" w:fill="auto"/>
            <w:tcMar>
              <w:left w:w="57" w:type="dxa"/>
              <w:right w:w="57" w:type="dxa"/>
            </w:tcMar>
            <w:vAlign w:val="center"/>
          </w:tcPr>
          <w:p>
            <w:pPr>
              <w:widowControl/>
              <w:jc w:val="center"/>
              <w:rPr>
                <w:rFonts w:hint="eastAsia" w:eastAsia="宋体"/>
                <w:lang w:val="en-US" w:eastAsia="zh-CN"/>
              </w:rPr>
            </w:pPr>
            <w:r>
              <w:rPr>
                <w:rFonts w:hint="eastAsia" w:eastAsia="宋体" w:cs="宋体"/>
                <w:kern w:val="0"/>
                <w:sz w:val="20"/>
                <w:lang w:val="en-US" w:eastAsia="zh-CN" w:bidi="ar"/>
              </w:rPr>
              <w:t>0</w:t>
            </w:r>
          </w:p>
        </w:tc>
        <w:tc>
          <w:tcPr>
            <w:tcW w:w="2435" w:type="dxa"/>
            <w:shd w:val="clear" w:color="auto" w:fill="auto"/>
            <w:tcMar>
              <w:left w:w="57" w:type="dxa"/>
              <w:right w:w="57" w:type="dxa"/>
            </w:tcMar>
            <w:vAlign w:val="center"/>
          </w:tcPr>
          <w:p>
            <w:pPr>
              <w:widowControl/>
              <w:jc w:val="center"/>
              <w:rPr>
                <w:rFonts w:hint="eastAsia" w:eastAsiaTheme="minorEastAsia"/>
                <w:lang w:val="en-US" w:eastAsia="zh-CN"/>
              </w:rPr>
            </w:pPr>
            <w:r>
              <w:rPr>
                <w:rFonts w:hint="eastAsia" w:cs="Calibri" w:eastAsiaTheme="minorEastAsia"/>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行政规范性文件</w:t>
            </w:r>
          </w:p>
        </w:tc>
        <w:tc>
          <w:tcPr>
            <w:tcW w:w="2435" w:type="dxa"/>
            <w:shd w:val="clear" w:color="auto" w:fill="auto"/>
            <w:tcMar>
              <w:left w:w="57" w:type="dxa"/>
              <w:right w:w="57" w:type="dxa"/>
            </w:tcMar>
            <w:vAlign w:val="center"/>
          </w:tcPr>
          <w:p>
            <w:pPr>
              <w:widowControl/>
              <w:jc w:val="center"/>
              <w:rPr>
                <w:rFonts w:hint="eastAsia" w:eastAsia="宋体"/>
                <w:lang w:val="en-US" w:eastAsia="zh-CN"/>
              </w:rPr>
            </w:pPr>
            <w:r>
              <w:rPr>
                <w:rFonts w:hint="eastAsia" w:eastAsia="宋体" w:cs="宋体"/>
                <w:kern w:val="0"/>
                <w:sz w:val="20"/>
                <w:lang w:val="en-US" w:eastAsia="zh-CN" w:bidi="ar"/>
              </w:rPr>
              <w:t>0</w:t>
            </w:r>
          </w:p>
        </w:tc>
        <w:tc>
          <w:tcPr>
            <w:tcW w:w="2435" w:type="dxa"/>
            <w:shd w:val="clear" w:color="auto" w:fill="auto"/>
            <w:tcMar>
              <w:left w:w="57" w:type="dxa"/>
              <w:right w:w="57" w:type="dxa"/>
            </w:tcMar>
            <w:vAlign w:val="center"/>
          </w:tcPr>
          <w:p>
            <w:pPr>
              <w:widowControl/>
              <w:jc w:val="center"/>
              <w:rPr>
                <w:rFonts w:hint="eastAsia" w:eastAsia="宋体"/>
                <w:lang w:val="en-US" w:eastAsia="zh-CN"/>
              </w:rPr>
            </w:pPr>
            <w:r>
              <w:rPr>
                <w:rFonts w:hint="eastAsia" w:eastAsia="宋体" w:cs="宋体"/>
                <w:kern w:val="0"/>
                <w:sz w:val="20"/>
                <w:lang w:val="en-US" w:eastAsia="zh-CN" w:bidi="ar"/>
              </w:rPr>
              <w:t>0</w:t>
            </w:r>
          </w:p>
        </w:tc>
        <w:tc>
          <w:tcPr>
            <w:tcW w:w="2435" w:type="dxa"/>
            <w:shd w:val="clear" w:color="auto" w:fill="auto"/>
            <w:tcMar>
              <w:left w:w="57" w:type="dxa"/>
              <w:right w:w="57" w:type="dxa"/>
            </w:tcMar>
            <w:vAlign w:val="center"/>
          </w:tcPr>
          <w:p>
            <w:pPr>
              <w:widowControl/>
              <w:jc w:val="center"/>
              <w:rPr>
                <w:rFonts w:hint="eastAsia" w:eastAsiaTheme="minorEastAsia"/>
                <w:lang w:val="en-US" w:eastAsia="zh-CN"/>
              </w:rPr>
            </w:pPr>
            <w:r>
              <w:rPr>
                <w:rFonts w:hint="eastAsia" w:cs="Calibri" w:eastAsiaTheme="minorEastAsia"/>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740" w:type="dxa"/>
            <w:gridSpan w:val="4"/>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信息内容</w:t>
            </w:r>
          </w:p>
        </w:tc>
        <w:tc>
          <w:tcPr>
            <w:tcW w:w="7305" w:type="dxa"/>
            <w:gridSpan w:val="3"/>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行政许可</w:t>
            </w:r>
          </w:p>
        </w:tc>
        <w:tc>
          <w:tcPr>
            <w:tcW w:w="7305" w:type="dxa"/>
            <w:gridSpan w:val="3"/>
            <w:shd w:val="clear" w:color="auto" w:fill="FFFFFF" w:themeFill="background1"/>
            <w:tcMar>
              <w:left w:w="57" w:type="dxa"/>
              <w:right w:w="57" w:type="dxa"/>
            </w:tcMar>
            <w:vAlign w:val="center"/>
          </w:tcPr>
          <w:p>
            <w:pPr>
              <w:widowControl/>
              <w:jc w:val="center"/>
              <w:rPr>
                <w:rFonts w:hint="eastAsia" w:eastAsiaTheme="minorEastAsia"/>
                <w:lang w:val="en-US" w:eastAsia="zh-CN"/>
              </w:rPr>
            </w:pPr>
            <w:r>
              <w:rPr>
                <w:rFonts w:hint="eastAsia" w:cs="Calibri" w:eastAsiaTheme="minorEastAsia"/>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740" w:type="dxa"/>
            <w:gridSpan w:val="4"/>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信息内容</w:t>
            </w:r>
          </w:p>
        </w:tc>
        <w:tc>
          <w:tcPr>
            <w:tcW w:w="7305" w:type="dxa"/>
            <w:gridSpan w:val="3"/>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行政处罚</w:t>
            </w:r>
          </w:p>
        </w:tc>
        <w:tc>
          <w:tcPr>
            <w:tcW w:w="7305" w:type="dxa"/>
            <w:gridSpan w:val="3"/>
            <w:shd w:val="clear" w:color="auto" w:fill="FFFFFF" w:themeFill="background1"/>
            <w:tcMar>
              <w:left w:w="57" w:type="dxa"/>
              <w:right w:w="57" w:type="dxa"/>
            </w:tcMar>
            <w:vAlign w:val="center"/>
          </w:tcPr>
          <w:p>
            <w:pPr>
              <w:widowControl/>
              <w:jc w:val="center"/>
              <w:rPr>
                <w:rFonts w:hint="eastAsia" w:eastAsia="宋体"/>
                <w:lang w:val="en-US" w:eastAsia="zh-CN"/>
              </w:rPr>
            </w:pPr>
            <w:r>
              <w:rPr>
                <w:rFonts w:hint="eastAsia" w:eastAsia="宋体" w:cs="宋体"/>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行政强制</w:t>
            </w:r>
          </w:p>
        </w:tc>
        <w:tc>
          <w:tcPr>
            <w:tcW w:w="7305" w:type="dxa"/>
            <w:gridSpan w:val="3"/>
            <w:shd w:val="clear" w:color="auto" w:fill="FFFFFF" w:themeFill="background1"/>
            <w:tcMar>
              <w:left w:w="57" w:type="dxa"/>
              <w:right w:w="57" w:type="dxa"/>
            </w:tcMar>
            <w:vAlign w:val="center"/>
          </w:tcPr>
          <w:p>
            <w:pPr>
              <w:widowControl/>
              <w:jc w:val="center"/>
              <w:rPr>
                <w:rFonts w:hint="eastAsia" w:eastAsia="宋体"/>
                <w:lang w:val="en-US" w:eastAsia="zh-CN"/>
              </w:rPr>
            </w:pPr>
            <w:r>
              <w:rPr>
                <w:rFonts w:hint="eastAsia" w:eastAsia="宋体" w:cs="宋体"/>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740" w:type="dxa"/>
            <w:gridSpan w:val="4"/>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信息内容</w:t>
            </w:r>
          </w:p>
        </w:tc>
        <w:tc>
          <w:tcPr>
            <w:tcW w:w="7305" w:type="dxa"/>
            <w:gridSpan w:val="3"/>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行政事业性收费</w:t>
            </w:r>
          </w:p>
        </w:tc>
        <w:tc>
          <w:tcPr>
            <w:tcW w:w="7305" w:type="dxa"/>
            <w:gridSpan w:val="3"/>
            <w:shd w:val="clear" w:color="auto" w:fill="FFFFFF" w:themeFill="background1"/>
            <w:tcMar>
              <w:left w:w="57" w:type="dxa"/>
              <w:right w:w="57" w:type="dxa"/>
            </w:tcMar>
            <w:vAlign w:val="center"/>
          </w:tcPr>
          <w:p>
            <w:pPr>
              <w:jc w:val="center"/>
              <w:rPr>
                <w:rFonts w:hint="eastAsia" w:eastAsia="宋体"/>
                <w:sz w:val="24"/>
                <w:szCs w:val="24"/>
                <w:lang w:val="en-US" w:eastAsia="zh-CN"/>
              </w:rPr>
            </w:pPr>
            <w:r>
              <w:rPr>
                <w:rFonts w:hint="eastAsia" w:eastAsia="宋体"/>
                <w:sz w:val="24"/>
                <w:szCs w:val="24"/>
                <w:lang w:val="en-US" w:eastAsia="zh-CN"/>
              </w:rPr>
              <w:t>0</w:t>
            </w:r>
          </w:p>
        </w:tc>
      </w:tr>
    </w:tbl>
    <w:p>
      <w:pPr>
        <w:numPr>
          <w:ilvl w:val="0"/>
          <w:numId w:val="0"/>
        </w:numPr>
        <w:rPr>
          <w:rFonts w:hint="eastAsia" w:ascii="微软雅黑" w:hAnsi="微软雅黑" w:eastAsia="微软雅黑" w:cs="微软雅黑"/>
          <w:i w:val="0"/>
          <w:iCs w:val="0"/>
          <w:caps w:val="0"/>
          <w:color w:val="333333"/>
          <w:spacing w:val="0"/>
          <w:sz w:val="24"/>
          <w:szCs w:val="24"/>
          <w:shd w:val="clear" w:fill="FFFFFF"/>
          <w:lang w:val="en-US" w:eastAsia="zh-CN"/>
        </w:rPr>
      </w:pPr>
    </w:p>
    <w:p>
      <w:pPr>
        <w:spacing w:line="600" w:lineRule="exact"/>
        <w:rPr>
          <w:rFonts w:hint="eastAsia" w:ascii="微软雅黑" w:hAnsi="微软雅黑" w:eastAsia="微软雅黑" w:cs="微软雅黑"/>
          <w:b/>
          <w:bCs/>
          <w:color w:val="000000" w:themeColor="text1"/>
          <w:sz w:val="24"/>
          <w:szCs w:val="24"/>
          <w:lang w:eastAsia="zh-CN"/>
          <w14:textFill>
            <w14:solidFill>
              <w14:schemeClr w14:val="tx1"/>
            </w14:solidFill>
          </w14:textFill>
        </w:rPr>
      </w:pPr>
      <w:r>
        <w:rPr>
          <w:rFonts w:hint="eastAsia" w:ascii="微软雅黑" w:hAnsi="微软雅黑" w:eastAsia="微软雅黑" w:cs="微软雅黑"/>
          <w:b/>
          <w:bCs/>
          <w:i w:val="0"/>
          <w:iCs w:val="0"/>
          <w:caps w:val="0"/>
          <w:color w:val="333333"/>
          <w:spacing w:val="0"/>
          <w:sz w:val="24"/>
          <w:szCs w:val="24"/>
          <w:shd w:val="clear" w:fill="FFFFFF"/>
          <w:lang w:val="en-US" w:eastAsia="zh-CN"/>
        </w:rPr>
        <w:t>三、</w:t>
      </w:r>
      <w:r>
        <w:rPr>
          <w:rFonts w:hint="eastAsia" w:ascii="微软雅黑" w:hAnsi="微软雅黑" w:eastAsia="微软雅黑" w:cs="微软雅黑"/>
          <w:b/>
          <w:bCs/>
          <w:color w:val="000000" w:themeColor="text1"/>
          <w:sz w:val="24"/>
          <w:szCs w:val="24"/>
          <w:lang w:eastAsia="zh-CN"/>
          <w14:textFill>
            <w14:solidFill>
              <w14:schemeClr w14:val="tx1"/>
            </w14:solidFill>
          </w14:textFill>
        </w:rPr>
        <w:t>收到和处理政府信息公开申请情况</w:t>
      </w:r>
    </w:p>
    <w:tbl>
      <w:tblPr>
        <w:tblStyle w:val="3"/>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8"/>
        <w:gridCol w:w="944"/>
        <w:gridCol w:w="3211"/>
        <w:gridCol w:w="689"/>
        <w:gridCol w:w="689"/>
        <w:gridCol w:w="689"/>
        <w:gridCol w:w="689"/>
        <w:gridCol w:w="689"/>
        <w:gridCol w:w="69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vMerge w:val="restart"/>
            <w:shd w:val="clear" w:color="auto" w:fill="auto"/>
            <w:tcMar>
              <w:left w:w="108" w:type="dxa"/>
              <w:right w:w="108" w:type="dxa"/>
            </w:tcMar>
            <w:vAlign w:val="center"/>
          </w:tcPr>
          <w:p>
            <w:pPr>
              <w:widowControl/>
              <w:jc w:val="left"/>
              <w:rPr>
                <w:color w:val="000000" w:themeColor="text1"/>
                <w14:textFill>
                  <w14:solidFill>
                    <w14:schemeClr w14:val="tx1"/>
                  </w14:solidFill>
                </w14:textFill>
              </w:rPr>
            </w:pPr>
            <w:r>
              <w:rPr>
                <w:rFonts w:eastAsia="楷体" w:cs="楷体"/>
                <w:color w:val="000000" w:themeColor="text1"/>
                <w:kern w:val="0"/>
                <w:sz w:val="20"/>
                <w:lang w:bidi="ar"/>
                <w14:textFill>
                  <w14:solidFill>
                    <w14:schemeClr w14:val="tx1"/>
                  </w14:solidFill>
                </w14:textFill>
              </w:rPr>
              <w:t>（本列数据的勾稽关系为：第一项加第二项之和，等于第三项加第四项之和）</w:t>
            </w:r>
          </w:p>
        </w:tc>
        <w:tc>
          <w:tcPr>
            <w:tcW w:w="4998" w:type="dxa"/>
            <w:gridSpan w:val="7"/>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vMerge w:val="continue"/>
            <w:shd w:val="clear" w:color="auto" w:fill="auto"/>
            <w:tcMar>
              <w:left w:w="108" w:type="dxa"/>
              <w:right w:w="108" w:type="dxa"/>
            </w:tcMar>
            <w:vAlign w:val="center"/>
          </w:tcPr>
          <w:p>
            <w:pPr>
              <w:jc w:val="left"/>
              <w:rPr>
                <w:color w:val="000000" w:themeColor="text1"/>
                <w:sz w:val="24"/>
                <w:szCs w:val="24"/>
                <w14:textFill>
                  <w14:solidFill>
                    <w14:schemeClr w14:val="tx1"/>
                  </w14:solidFill>
                </w14:textFill>
              </w:rPr>
            </w:pPr>
          </w:p>
        </w:tc>
        <w:tc>
          <w:tcPr>
            <w:tcW w:w="714"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自然人</w:t>
            </w:r>
          </w:p>
        </w:tc>
        <w:tc>
          <w:tcPr>
            <w:tcW w:w="3570" w:type="dxa"/>
            <w:gridSpan w:val="5"/>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法人或其他组织</w:t>
            </w:r>
          </w:p>
        </w:tc>
        <w:tc>
          <w:tcPr>
            <w:tcW w:w="714" w:type="dxa"/>
            <w:vMerge w:val="restart"/>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vMerge w:val="continue"/>
            <w:shd w:val="clear" w:color="auto" w:fill="auto"/>
            <w:tcMar>
              <w:left w:w="108" w:type="dxa"/>
              <w:right w:w="108" w:type="dxa"/>
            </w:tcMar>
            <w:vAlign w:val="center"/>
          </w:tcPr>
          <w:p>
            <w:pPr>
              <w:jc w:val="left"/>
              <w:rPr>
                <w:color w:val="000000" w:themeColor="text1"/>
                <w:sz w:val="24"/>
                <w:szCs w:val="24"/>
                <w14:textFill>
                  <w14:solidFill>
                    <w14:schemeClr w14:val="tx1"/>
                  </w14:solidFill>
                </w14:textFill>
              </w:rPr>
            </w:pPr>
          </w:p>
        </w:tc>
        <w:tc>
          <w:tcPr>
            <w:tcW w:w="714"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商业</w:t>
            </w:r>
          </w:p>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企业</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科研</w:t>
            </w:r>
          </w:p>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机构</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社会公益组织</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法律服务机构</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p>
        </w:tc>
        <w:tc>
          <w:tcPr>
            <w:tcW w:w="714"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一、本年新收政府信息公开申请数量</w:t>
            </w:r>
          </w:p>
        </w:tc>
        <w:tc>
          <w:tcPr>
            <w:tcW w:w="714" w:type="dxa"/>
            <w:shd w:val="clear" w:color="auto" w:fill="auto"/>
            <w:tcMar>
              <w:left w:w="57" w:type="dxa"/>
              <w:right w:w="57" w:type="dxa"/>
            </w:tcMar>
            <w:vAlign w:val="center"/>
          </w:tcPr>
          <w:p>
            <w:pPr>
              <w:widowControl/>
              <w:jc w:val="left"/>
              <w:rPr>
                <w:rFonts w:hint="eastAsia" w:eastAsiaTheme="minorEastAsia"/>
                <w:color w:val="000000" w:themeColor="text1"/>
                <w:lang w:val="en-US" w:eastAsia="zh-CN"/>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二、上年结转政府信息公开申请数量</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三、本年度办理结果</w:t>
            </w:r>
          </w:p>
        </w:tc>
        <w:tc>
          <w:tcPr>
            <w:tcW w:w="4365" w:type="dxa"/>
            <w:gridSpan w:val="2"/>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（一）予以公开</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4365" w:type="dxa"/>
            <w:gridSpan w:val="2"/>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（二）部分公开</w:t>
            </w:r>
            <w:r>
              <w:rPr>
                <w:rFonts w:eastAsia="楷体" w:cs="楷体"/>
                <w:color w:val="000000" w:themeColor="text1"/>
                <w:kern w:val="0"/>
                <w:sz w:val="20"/>
                <w:lang w:bidi="ar"/>
                <w14:textFill>
                  <w14:solidFill>
                    <w14:schemeClr w14:val="tx1"/>
                  </w14:solidFill>
                </w14:textFill>
              </w:rPr>
              <w:t>（区分处理的，只计这一情形，不计其他情形）</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959"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（三）不予公开</w:t>
            </w:r>
          </w:p>
        </w:tc>
        <w:tc>
          <w:tcPr>
            <w:tcW w:w="3406"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959"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（四）无法提供</w:t>
            </w:r>
          </w:p>
        </w:tc>
        <w:tc>
          <w:tcPr>
            <w:tcW w:w="3406"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959"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（五）不予处理</w:t>
            </w:r>
          </w:p>
        </w:tc>
        <w:tc>
          <w:tcPr>
            <w:tcW w:w="3406"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3406"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85"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3406"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959"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（六）其他处理</w:t>
            </w:r>
          </w:p>
        </w:tc>
        <w:tc>
          <w:tcPr>
            <w:tcW w:w="3406"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3406"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959"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3406"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jc w:val="left"/>
              <w:rPr>
                <w:color w:val="000000" w:themeColor="text1"/>
                <w:sz w:val="24"/>
                <w:szCs w:val="24"/>
                <w14:textFill>
                  <w14:solidFill>
                    <w14:schemeClr w14:val="tx1"/>
                  </w14:solidFill>
                </w14:textFill>
              </w:rPr>
            </w:pPr>
          </w:p>
        </w:tc>
        <w:tc>
          <w:tcPr>
            <w:tcW w:w="4365" w:type="dxa"/>
            <w:gridSpan w:val="2"/>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（七）总计</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四、结转下年度继续办理</w:t>
            </w:r>
          </w:p>
        </w:tc>
        <w:tc>
          <w:tcPr>
            <w:tcW w:w="714" w:type="dxa"/>
            <w:shd w:val="clear" w:color="auto" w:fill="auto"/>
            <w:tcMar>
              <w:left w:w="57" w:type="dxa"/>
              <w:right w:w="57" w:type="dxa"/>
            </w:tcMar>
            <w:vAlign w:val="center"/>
          </w:tcPr>
          <w:p>
            <w:pPr>
              <w:widowControl/>
              <w:jc w:val="left"/>
              <w:rPr>
                <w:rFonts w:hint="eastAsia" w:eastAsiaTheme="minorEastAsia"/>
                <w:color w:val="000000" w:themeColor="text1"/>
                <w:lang w:val="en-US" w:eastAsia="zh-CN"/>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714" w:type="dxa"/>
            <w:shd w:val="clear" w:color="auto" w:fill="auto"/>
            <w:tcMar>
              <w:left w:w="57" w:type="dxa"/>
              <w:right w:w="57" w:type="dxa"/>
            </w:tcMar>
          </w:tcPr>
          <w:p>
            <w:pPr>
              <w:rPr>
                <w:color w:val="000000" w:themeColor="text1"/>
                <w:sz w:val="24"/>
                <w:szCs w:val="24"/>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bl>
    <w:p>
      <w:pPr>
        <w:numPr>
          <w:ilvl w:val="0"/>
          <w:numId w:val="0"/>
        </w:numPr>
        <w:ind w:leftChars="0"/>
        <w:rPr>
          <w:rFonts w:hint="eastAsia" w:ascii="微软雅黑" w:hAnsi="微软雅黑" w:eastAsia="微软雅黑" w:cs="微软雅黑"/>
          <w:i w:val="0"/>
          <w:iCs w:val="0"/>
          <w:caps w:val="0"/>
          <w:color w:val="333333"/>
          <w:spacing w:val="0"/>
          <w:sz w:val="24"/>
          <w:szCs w:val="24"/>
          <w:shd w:val="clear" w:fill="FFFFFF"/>
          <w:lang w:val="en-US" w:eastAsia="zh-CN"/>
        </w:rPr>
      </w:pPr>
    </w:p>
    <w:p>
      <w:pPr>
        <w:numPr>
          <w:ilvl w:val="0"/>
          <w:numId w:val="0"/>
        </w:numPr>
        <w:ind w:leftChars="0"/>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四、政府信息公开行政复议、行政诉讼情况</w:t>
      </w:r>
    </w:p>
    <w:tbl>
      <w:tblPr>
        <w:tblStyle w:val="3"/>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210" w:type="dxa"/>
            <w:gridSpan w:val="5"/>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行政复议</w:t>
            </w:r>
          </w:p>
        </w:tc>
        <w:tc>
          <w:tcPr>
            <w:tcW w:w="6428" w:type="dxa"/>
            <w:gridSpan w:val="10"/>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2"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结果维持</w:t>
            </w:r>
          </w:p>
        </w:tc>
        <w:tc>
          <w:tcPr>
            <w:tcW w:w="642"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纠正</w:t>
            </w:r>
          </w:p>
        </w:tc>
        <w:tc>
          <w:tcPr>
            <w:tcW w:w="642"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结果</w:t>
            </w:r>
          </w:p>
        </w:tc>
        <w:tc>
          <w:tcPr>
            <w:tcW w:w="642"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尚未</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审结</w:t>
            </w:r>
          </w:p>
        </w:tc>
        <w:tc>
          <w:tcPr>
            <w:tcW w:w="642"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c>
          <w:tcPr>
            <w:tcW w:w="3213" w:type="dxa"/>
            <w:gridSpan w:val="5"/>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未经复议直接起诉</w:t>
            </w:r>
          </w:p>
        </w:tc>
        <w:tc>
          <w:tcPr>
            <w:tcW w:w="3215" w:type="dxa"/>
            <w:gridSpan w:val="5"/>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2" w:type="dxa"/>
            <w:vMerge w:val="continue"/>
            <w:shd w:val="clear" w:color="auto" w:fill="auto"/>
            <w:tcMar>
              <w:left w:w="108" w:type="dxa"/>
              <w:right w:w="108" w:type="dxa"/>
            </w:tcMar>
            <w:vAlign w:val="center"/>
          </w:tcPr>
          <w:p>
            <w:pPr>
              <w:jc w:val="center"/>
              <w:rPr>
                <w:color w:val="000000" w:themeColor="text1"/>
                <w:sz w:val="24"/>
                <w:szCs w:val="24"/>
                <w14:textFill>
                  <w14:solidFill>
                    <w14:schemeClr w14:val="tx1"/>
                  </w14:solidFill>
                </w14:textFill>
              </w:rPr>
            </w:pPr>
          </w:p>
        </w:tc>
        <w:tc>
          <w:tcPr>
            <w:tcW w:w="642" w:type="dxa"/>
            <w:vMerge w:val="continue"/>
            <w:shd w:val="clear" w:color="auto" w:fill="auto"/>
            <w:tcMar>
              <w:left w:w="108" w:type="dxa"/>
              <w:right w:w="108" w:type="dxa"/>
            </w:tcMar>
            <w:vAlign w:val="center"/>
          </w:tcPr>
          <w:p>
            <w:pPr>
              <w:jc w:val="center"/>
              <w:rPr>
                <w:color w:val="000000" w:themeColor="text1"/>
                <w:sz w:val="24"/>
                <w:szCs w:val="24"/>
                <w14:textFill>
                  <w14:solidFill>
                    <w14:schemeClr w14:val="tx1"/>
                  </w14:solidFill>
                </w14:textFill>
              </w:rPr>
            </w:pPr>
          </w:p>
        </w:tc>
        <w:tc>
          <w:tcPr>
            <w:tcW w:w="642" w:type="dxa"/>
            <w:vMerge w:val="continue"/>
            <w:shd w:val="clear" w:color="auto" w:fill="auto"/>
            <w:tcMar>
              <w:left w:w="108" w:type="dxa"/>
              <w:right w:w="108" w:type="dxa"/>
            </w:tcMar>
            <w:vAlign w:val="center"/>
          </w:tcPr>
          <w:p>
            <w:pPr>
              <w:jc w:val="center"/>
              <w:rPr>
                <w:color w:val="000000" w:themeColor="text1"/>
                <w:sz w:val="24"/>
                <w:szCs w:val="24"/>
                <w14:textFill>
                  <w14:solidFill>
                    <w14:schemeClr w14:val="tx1"/>
                  </w14:solidFill>
                </w14:textFill>
              </w:rPr>
            </w:pPr>
          </w:p>
        </w:tc>
        <w:tc>
          <w:tcPr>
            <w:tcW w:w="642" w:type="dxa"/>
            <w:vMerge w:val="continue"/>
            <w:shd w:val="clear" w:color="auto" w:fill="auto"/>
            <w:tcMar>
              <w:left w:w="108" w:type="dxa"/>
              <w:right w:w="108" w:type="dxa"/>
            </w:tcMar>
            <w:vAlign w:val="center"/>
          </w:tcPr>
          <w:p>
            <w:pPr>
              <w:jc w:val="center"/>
              <w:rPr>
                <w:color w:val="000000" w:themeColor="text1"/>
                <w:sz w:val="24"/>
                <w:szCs w:val="24"/>
                <w14:textFill>
                  <w14:solidFill>
                    <w14:schemeClr w14:val="tx1"/>
                  </w14:solidFill>
                </w14:textFill>
              </w:rPr>
            </w:pPr>
          </w:p>
        </w:tc>
        <w:tc>
          <w:tcPr>
            <w:tcW w:w="642" w:type="dxa"/>
            <w:vMerge w:val="continue"/>
            <w:shd w:val="clear" w:color="auto" w:fill="auto"/>
            <w:tcMar>
              <w:left w:w="108" w:type="dxa"/>
              <w:right w:w="108" w:type="dxa"/>
            </w:tcMar>
            <w:vAlign w:val="center"/>
          </w:tcPr>
          <w:p>
            <w:pPr>
              <w:jc w:val="center"/>
              <w:rPr>
                <w:color w:val="000000" w:themeColor="text1"/>
                <w:sz w:val="24"/>
                <w:szCs w:val="24"/>
                <w14:textFill>
                  <w14:solidFill>
                    <w14:schemeClr w14:val="tx1"/>
                  </w14:solidFill>
                </w14:textFill>
              </w:rPr>
            </w:pPr>
          </w:p>
        </w:tc>
        <w:tc>
          <w:tcPr>
            <w:tcW w:w="642"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维持</w:t>
            </w:r>
          </w:p>
        </w:tc>
        <w:tc>
          <w:tcPr>
            <w:tcW w:w="642"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纠正</w:t>
            </w:r>
          </w:p>
        </w:tc>
        <w:tc>
          <w:tcPr>
            <w:tcW w:w="643"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结果</w:t>
            </w:r>
          </w:p>
        </w:tc>
        <w:tc>
          <w:tcPr>
            <w:tcW w:w="643"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尚未</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审结</w:t>
            </w:r>
          </w:p>
        </w:tc>
        <w:tc>
          <w:tcPr>
            <w:tcW w:w="643"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c>
          <w:tcPr>
            <w:tcW w:w="643"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维持</w:t>
            </w:r>
          </w:p>
        </w:tc>
        <w:tc>
          <w:tcPr>
            <w:tcW w:w="643"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纠正</w:t>
            </w:r>
          </w:p>
        </w:tc>
        <w:tc>
          <w:tcPr>
            <w:tcW w:w="643"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结果</w:t>
            </w:r>
          </w:p>
        </w:tc>
        <w:tc>
          <w:tcPr>
            <w:tcW w:w="643"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尚未</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审结</w:t>
            </w:r>
          </w:p>
        </w:tc>
        <w:tc>
          <w:tcPr>
            <w:tcW w:w="643"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42" w:type="dxa"/>
            <w:shd w:val="clear" w:color="auto" w:fill="auto"/>
            <w:tcMar>
              <w:left w:w="108" w:type="dxa"/>
              <w:right w:w="108" w:type="dxa"/>
            </w:tcMar>
            <w:vAlign w:val="center"/>
          </w:tcPr>
          <w:p>
            <w:pPr>
              <w:widowControl/>
              <w:jc w:val="center"/>
              <w:rPr>
                <w:rFonts w:hint="eastAsia" w:eastAsia="黑体"/>
                <w:color w:val="000000" w:themeColor="text1"/>
                <w:lang w:val="en-US" w:eastAsia="zh-CN"/>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2"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2"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2"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2"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2"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2"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3"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3"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3"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3"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3"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3"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3"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c>
          <w:tcPr>
            <w:tcW w:w="643" w:type="dxa"/>
            <w:shd w:val="clear" w:color="auto" w:fill="auto"/>
            <w:tcMar>
              <w:left w:w="108" w:type="dxa"/>
              <w:right w:w="108" w:type="dxa"/>
            </w:tcMar>
            <w:vAlign w:val="center"/>
          </w:tcPr>
          <w:p>
            <w:pPr>
              <w:jc w:val="center"/>
              <w:rPr>
                <w:color w:val="000000" w:themeColor="text1"/>
                <w:sz w:val="24"/>
                <w:szCs w:val="24"/>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p>
        </w:tc>
      </w:tr>
    </w:tbl>
    <w:p>
      <w:pPr>
        <w:numPr>
          <w:ilvl w:val="0"/>
          <w:numId w:val="0"/>
        </w:numPr>
        <w:ind w:leftChars="0"/>
        <w:rPr>
          <w:rFonts w:hint="eastAsia" w:ascii="微软雅黑" w:hAnsi="微软雅黑" w:eastAsia="微软雅黑" w:cs="微软雅黑"/>
          <w:i w:val="0"/>
          <w:iCs w:val="0"/>
          <w:caps w:val="0"/>
          <w:color w:val="333333"/>
          <w:spacing w:val="0"/>
          <w:sz w:val="24"/>
          <w:szCs w:val="24"/>
          <w:shd w:val="clear" w:fill="FFFFFF"/>
          <w:lang w:val="en-US" w:eastAsia="zh-CN"/>
        </w:rPr>
      </w:pPr>
    </w:p>
    <w:p>
      <w:pPr>
        <w:numPr>
          <w:ilvl w:val="0"/>
          <w:numId w:val="0"/>
        </w:numPr>
        <w:ind w:leftChars="0"/>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五、存在的主要问题及改进情况</w:t>
      </w:r>
    </w:p>
    <w:p>
      <w:pPr>
        <w:numPr>
          <w:ilvl w:val="0"/>
          <w:numId w:val="0"/>
        </w:numPr>
        <w:ind w:leftChars="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一）存在问题。一是重点领域信息公开数量质量广度有待加强。重点领域信息公开的范围不断扩大的同时，通过制定公开基本目录推进了公开内容的细化，但公开实效性不强、深度不够、质量不高、内容不全等问题，在各领域仍不同程度存在。二是政务公开工作业务水平有待提升。在政府信息与政务公开工作开展过程中，在工作扎实有效开展的同时，与上级的要求和公众的需求相比还存在一定差距，提质提量方面还有待加强。</w:t>
      </w:r>
    </w:p>
    <w:p>
      <w:pPr>
        <w:numPr>
          <w:ilvl w:val="0"/>
          <w:numId w:val="0"/>
        </w:numPr>
        <w:ind w:leftChars="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二）改进措施。一是进一步加强政务公开工作力度，防止工作松懈，确保工作有序推进。继续在区政务公开主管部门的指导下，做好基础性工作，创新工作机制，不断提高政务公开能力，确保我镇政务公开工作有序推进。二是进一步加强学习，吃透上情，规范政务公开工作。随时学习掌握上级对政务公开工作的新要求，进一步规范公开内容、公开程序、公开时限，丰富公开形式，促进政务公开工作的深入开展。及时更新政务信息，提高政务公开的数量和质量。三是大力推进公开信息化建设。加大以政府门户网站为核心的公开集约化平台体系建设，整合信息公开平台资源，健全信息发布更新机制，继续加大对政务网站、微信和移动客户端等新社交媒体的应用，增强搜索查询和互动交流功能，提高政务公开的普及性、便民性、亲和力。五是努力扩大政务的公众参与。积极推进通过政府信息公开让公众更大程度参与政府社会治理，大力推进重要政策解读，提高解读的针对性、科学性、可读性和权威性，加大重大舆情回应工作，及时回应社会关切。</w:t>
      </w:r>
    </w:p>
    <w:p>
      <w:pPr>
        <w:numPr>
          <w:ilvl w:val="0"/>
          <w:numId w:val="0"/>
        </w:numPr>
        <w:ind w:leftChars="0"/>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六、其他需要报告的事项</w:t>
      </w:r>
    </w:p>
    <w:p>
      <w:pPr>
        <w:numPr>
          <w:ilvl w:val="0"/>
          <w:numId w:val="0"/>
        </w:numPr>
        <w:ind w:leftChars="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2022年，本单位全面落实《涪陵区2022年政务公开工作要点》要求，未收取政府信息公开处理费。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PMingLiU">
    <w:altName w:val="Noto Sans CJK SC"/>
    <w:panose1 w:val="02020500000000000000"/>
    <w:charset w:val="86"/>
    <w:family w:val="auto"/>
    <w:pitch w:val="default"/>
    <w:sig w:usb0="00000000" w:usb1="00000000" w:usb2="00000016" w:usb3="00000000" w:csb0="00100001" w:csb1="00000000"/>
  </w:font>
  <w:font w:name="微软雅黑">
    <w:altName w:val="方正黑体_GBK"/>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6770E9"/>
    <w:multiLevelType w:val="singleLevel"/>
    <w:tmpl w:val="236770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ZGU3NWEyMjU2YzU1YTliNTg2YjRmZGFkNDg3YTIifQ=="/>
  </w:docVars>
  <w:rsids>
    <w:rsidRoot w:val="0B437792"/>
    <w:rsid w:val="0B437792"/>
    <w:rsid w:val="1031642E"/>
    <w:rsid w:val="7F77B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PMingLiU" w:cs="Times New Roman"/>
      <w:sz w:val="2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1577</Words>
  <Characters>1608</Characters>
  <Lines>0</Lines>
  <Paragraphs>0</Paragraphs>
  <TotalTime>11</TotalTime>
  <ScaleCrop>false</ScaleCrop>
  <LinksUpToDate>false</LinksUpToDate>
  <CharactersWithSpaces>1610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2023-01-10T15:37:00Z</dcterms:created>
  <dc:creator>WPS_1670378094</dc:creator>
  <cp:lastModifiedBy>user</cp:lastModifiedBy>
  <dcterms:modified xsi:type="dcterms:W3CDTF">2023-01-30T08:56:08Z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83C08CEE5E414A71B01CD9B476AC71BD</vt:lpwstr>
  </property>
</Properties>
</file>