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val="0"/>
        <w:topLinePunct w:val="0"/>
        <w:autoSpaceDE/>
        <w:autoSpaceDN/>
        <w:bidi w:val="0"/>
        <w:adjustRightInd/>
        <w:snapToGrid w:val="0"/>
        <w:spacing w:after="0" w:line="680" w:lineRule="atLeas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关于涪陵区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同乐</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镇</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44"/>
          <w:szCs w:val="44"/>
          <w14:textFill>
            <w14:solidFill>
              <w14:schemeClr w14:val="tx1"/>
            </w14:solidFill>
          </w14:textFill>
        </w:rPr>
        <w:t>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财政预算</w:t>
      </w:r>
    </w:p>
    <w:p>
      <w:pPr>
        <w:keepNext w:val="0"/>
        <w:keepLines w:val="0"/>
        <w:pageBreakBefore w:val="0"/>
        <w:widowControl/>
        <w:shd w:val="clear" w:color="auto" w:fill="FFFFFF"/>
        <w:kinsoku/>
        <w:wordWrap/>
        <w:overflowPunct w:val="0"/>
        <w:topLinePunct w:val="0"/>
        <w:autoSpaceDE/>
        <w:autoSpaceDN/>
        <w:bidi w:val="0"/>
        <w:adjustRightInd/>
        <w:snapToGrid w:val="0"/>
        <w:spacing w:after="0" w:line="680" w:lineRule="atLeas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执行情况</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年财政预算草案的报告</w:t>
      </w:r>
    </w:p>
    <w:p>
      <w:pPr>
        <w:pStyle w:val="10"/>
        <w:keepNext w:val="0"/>
        <w:keepLines w:val="0"/>
        <w:pageBreakBefore w:val="0"/>
        <w:widowControl/>
        <w:kinsoku/>
        <w:wordWrap/>
        <w:overflowPunct w:val="0"/>
        <w:topLinePunct w:val="0"/>
        <w:autoSpaceDE/>
        <w:autoSpaceDN/>
        <w:bidi w:val="0"/>
        <w:adjustRightInd w:val="0"/>
        <w:snapToGrid/>
        <w:spacing w:line="240" w:lineRule="auto"/>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一、202</w:t>
      </w:r>
      <w:r>
        <w:rPr>
          <w:rFonts w:hint="eastAsia" w:ascii="方正黑体_GBK" w:hAnsi="方正黑体_GBK" w:eastAsia="方正黑体_GBK" w:cs="方正黑体_GBK"/>
          <w:b w:val="0"/>
          <w:bCs/>
          <w:color w:val="000000" w:themeColor="text1"/>
          <w:sz w:val="32"/>
          <w:szCs w:val="32"/>
          <w:shd w:val="clear" w:color="auto" w:fill="FFFFFF"/>
          <w:lang w:val="en-US" w:eastAsia="zh-CN"/>
          <w14:textFill>
            <w14:solidFill>
              <w14:schemeClr w14:val="tx1"/>
            </w14:solidFill>
          </w14:textFill>
        </w:rPr>
        <w:t>1</w:t>
      </w: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年预算执行情况</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（一）收入项目执行情况</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镇本级一般公共预算收入完成</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1627</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同口径（下同）</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下降</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5.7</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%。其中</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税收完成</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1602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，下降</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5.4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，完成预算的</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90.2%</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。镇本级</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一般公共预算收入加上上级转移支付收入1704万元、上年结转27万元后，收入总计3358万元。</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（二）支出项目执行情况</w:t>
      </w:r>
      <w:bookmarkStart w:id="0" w:name="_GoBack"/>
      <w:bookmarkEnd w:id="0"/>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镇本级一般公共预算支出3226万元，增长13.2%，加上上解上级支出125万元、结转下年支出7万元后，支出总计3358万元。镇本级支出项目情况如下：</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一般公共服务支出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1010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主要用于保障党政机关</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人大正常运转。</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文化旅游体育与传媒支出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99</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主要用于保障文化体育、旅游、广播电视和新闻出版等事业支出。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社会保障和就业支出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455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主要用于保障就业、抚恤、退役安置、社会福利、残疾人事业、最低生活保障等支出。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88</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主要用于保障公共卫生、中医药支出、计划生育事务、医疗救助等支出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节能环保支出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137</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主要用于保障节能环保事业支出，页岩气开采补贴等。</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城乡社区支出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主要用于保障住建、城管等事业支出。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农林水事务支出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869</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主要用于保障农业、林业、水利、扶贫等事业支出。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资源勘探信息等支出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198</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主要用于保障制造业、工业和信息产业、支持中小企业发展等方面支出。</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住房保障支出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168</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主要用于住房公积金及公廉租房支出。</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202</w:t>
      </w: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1</w:t>
      </w: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年主要财政工作</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招商引资，常抓不懈。</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今年到目前为止,共引进新办企业31个。其中：建筑安装类9个、商贸公司7个、物流公司4个、农业开发4个、实业公司1个、旅游公司1个、其他公司5个。协议资金2.2亿元，认缴注册资金1.7205亿元，本年到位资金3097万元。圆满完成了区政府下达的2021年度招商投资促进工作目标任务，为同乐镇财政稳定增收奠定了较好的基础。</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财政收入，稳中有增。</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一年来，镇党委高度重视财税增收工作,面对全国减税降费政策、疫情影响及国际国内经济形势,结合镇情区位，调整工作思路,突出主攻方向,制定可行措施，着力改善营商环境，提升服务质量，培植稳定税源。</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支出结构,更加优化。</w:t>
      </w:r>
      <w:r>
        <w:rPr>
          <w:rFonts w:hint="eastAsia" w:ascii="方正仿宋_GBK" w:hAnsi="方正仿宋_GBK" w:eastAsia="方正仿宋_GBK" w:cs="方正仿宋_GBK"/>
          <w:color w:val="000000" w:themeColor="text1"/>
          <w:kern w:val="2"/>
          <w:sz w:val="32"/>
          <w:szCs w:val="32"/>
          <w14:textFill>
            <w14:solidFill>
              <w14:schemeClr w14:val="tx1"/>
            </w14:solidFill>
          </w14:textFill>
        </w:rPr>
        <w:t>突出保工资、保运转、保民生稳定、保重点及项目支出，有力保障了乡村振兴、疫情防控、场镇卫生清运、环保、基础设施建设、松材线虫病防控、河长制工程、创文创卫等专项支出。支出结构更加优化。</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财务管理,严格规范。</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严格执行</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镇</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人代会通过的支出预算，做到有预算才有支出。在预算拨款上，切实保障了</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三保</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14:textFill>
            <w14:solidFill>
              <w14:schemeClr w14:val="tx1"/>
            </w14:solidFill>
          </w14:textFill>
        </w:rPr>
        <w:t>经费及时发放。有效控制行政开支，努力降低行政成本，压缩</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14:textFill>
            <w14:solidFill>
              <w14:schemeClr w14:val="tx1"/>
            </w14:solidFill>
          </w14:textFill>
        </w:rPr>
        <w:t>三公</w:t>
      </w:r>
      <w:r>
        <w:rPr>
          <w:rFonts w:hint="eastAsia" w:ascii="方正仿宋_GBK" w:hAns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14:textFill>
            <w14:solidFill>
              <w14:schemeClr w14:val="tx1"/>
            </w14:solidFill>
          </w14:textFill>
        </w:rPr>
        <w:t>支出，严格执行机关财务管理办法，规范财务收支行为，坚决杜绝超预算、不合规支出。更加完善了对专项资金及村级财务的管理。</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shd w:val="clear" w:color="auto" w:fill="FFFFFF"/>
          <w:lang w:eastAsia="zh-CN"/>
          <w14:textFill>
            <w14:solidFill>
              <w14:schemeClr w14:val="tx1"/>
            </w14:solidFill>
          </w14:textFill>
        </w:rPr>
        <w:t>二</w:t>
      </w: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、202</w:t>
      </w:r>
      <w:r>
        <w:rPr>
          <w:rFonts w:hint="eastAsia" w:ascii="方正黑体_GBK" w:hAnsi="方正黑体_GBK" w:eastAsia="方正黑体_GBK" w:cs="方正黑体_GBK"/>
          <w:b w:val="0"/>
          <w:bCs/>
          <w:color w:val="000000" w:themeColor="text1"/>
          <w:sz w:val="32"/>
          <w:szCs w:val="32"/>
          <w:shd w:val="clear" w:color="auto" w:fill="FFFFFF"/>
          <w:lang w:val="en-US" w:eastAsia="zh-CN"/>
          <w14:textFill>
            <w14:solidFill>
              <w14:schemeClr w14:val="tx1"/>
            </w14:solidFill>
          </w14:textFill>
        </w:rPr>
        <w:t>2</w:t>
      </w:r>
      <w:r>
        <w:rPr>
          <w:rFonts w:hint="eastAsia" w:ascii="方正黑体_GBK" w:hAnsi="方正黑体_GBK" w:eastAsia="方正黑体_GBK" w:cs="方正黑体_GBK"/>
          <w:b w:val="0"/>
          <w:bCs/>
          <w:color w:val="000000" w:themeColor="text1"/>
          <w:sz w:val="32"/>
          <w:szCs w:val="32"/>
          <w:shd w:val="clear" w:color="auto" w:fill="FFFFFF"/>
          <w14:textFill>
            <w14:solidFill>
              <w14:schemeClr w14:val="tx1"/>
            </w14:solidFill>
          </w14:textFill>
        </w:rPr>
        <w:t>年财政预算草案</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总体要求是：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以习近平新时代中国特色社会主义思想为指导，全面贯彻各级财政工作会议精神，</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坚持稳中求进，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紧紧围绕“保运转、保稳定、促发展”的目标，抓好增收节支，盘活存量资产，</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为</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“十四五”计划开好局，助</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力</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乡村振兴，</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确保</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全</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经济社会平稳健康发展。</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shd w:val="clear" w:color="auto" w:fill="FFFFFF"/>
          <w:lang w:eastAsia="zh-CN"/>
          <w14:textFill>
            <w14:solidFill>
              <w14:schemeClr w14:val="tx1"/>
            </w14:solidFill>
          </w14:textFill>
        </w:rPr>
        <w:t>收入预算</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2022年镇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本级</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一般公共预算收入年初预算</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1936</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万元，同比增长</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%。其中：税收收入预算</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1926</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万元，同比增长</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%；非税收入预算</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一般公共预算本级收入加上上级补助收入</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1670万元、上年结转结余7万元，收入总计3606万元。</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lang w:val="en-US"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支出预算</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2021年</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镇</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本级</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一般公共预算支出年初预算</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3462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4.7</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。具体支出情况如下：</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一般公共服务支出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1042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下降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文化旅游体育与传媒支出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社会保障和就业支出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465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101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节能环保支出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141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下降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26.1</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城乡社区支出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农林水事务支出8</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94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0.7</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资源勘探信息等支出2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87</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万元,同比负增</w:t>
      </w:r>
      <w:r>
        <w:rPr>
          <w:rFonts w:hint="eastAsia" w:ascii="方正仿宋_GBK" w:hAnsi="方正仿宋_GBK" w:eastAsia="方正仿宋_GBK" w:cs="方正仿宋_GBK"/>
          <w:color w:val="000000" w:themeColor="text1"/>
          <w:sz w:val="32"/>
          <w:szCs w:val="32"/>
          <w14:textFill>
            <w14:solidFill>
              <w14:schemeClr w14:val="tx1"/>
            </w14:solidFill>
          </w14:textFill>
        </w:rPr>
        <w:t>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住房保障支出</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193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万元,同比增</w:t>
      </w:r>
      <w:r>
        <w:rPr>
          <w:rFonts w:hint="eastAsia" w:ascii="方正仿宋_GBK" w:hAnsi="方正仿宋_GBK" w:eastAsia="方正仿宋_GBK" w:cs="方正仿宋_GBK"/>
          <w:color w:val="000000" w:themeColor="text1"/>
          <w:sz w:val="32"/>
          <w:szCs w:val="32"/>
          <w14:textFill>
            <w14:solidFill>
              <w14:schemeClr w14:val="tx1"/>
            </w14:solidFill>
          </w14:textFill>
        </w:rPr>
        <w:t>长3.8%</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keepNext w:val="0"/>
        <w:keepLines w:val="0"/>
        <w:pageBreakBefore w:val="0"/>
        <w:widowControl/>
        <w:numPr>
          <w:ilvl w:val="0"/>
          <w:numId w:val="0"/>
        </w:numPr>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总预备费3</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pPr>
        <w:pStyle w:val="10"/>
        <w:keepNext w:val="0"/>
        <w:keepLines w:val="0"/>
        <w:pageBreakBefore w:val="0"/>
        <w:widowControl/>
        <w:kinsoku/>
        <w:wordWrap/>
        <w:overflowPunct w:val="0"/>
        <w:topLinePunct w:val="0"/>
        <w:autoSpaceDE/>
        <w:autoSpaceDN/>
        <w:bidi w:val="0"/>
        <w:adjustRightInd w:val="0"/>
        <w:snapToGrid/>
        <w:spacing w:line="240" w:lineRule="auto"/>
        <w:ind w:firstLine="632"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一般公共预算本级支出加上</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上解支出14</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，支出总计</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3606万元。</w:t>
      </w:r>
    </w:p>
    <w:p>
      <w:pPr>
        <w:keepNext w:val="0"/>
        <w:keepLines w:val="0"/>
        <w:pageBreakBefore w:val="0"/>
        <w:widowControl/>
        <w:kinsoku/>
        <w:wordWrap/>
        <w:overflowPunct w:val="0"/>
        <w:topLinePunct w:val="0"/>
        <w:autoSpaceDE/>
        <w:autoSpaceDN/>
        <w:bidi w:val="0"/>
        <w:adjustRightInd w:val="0"/>
        <w:snapToGrid/>
        <w:spacing w:after="0" w:line="240" w:lineRule="auto"/>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名词解释</w:t>
      </w: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1.“六稳”：指稳就业、稳金融、稳外贸、稳外资、稳投资、稳预期。</w:t>
      </w: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2.“六保”：指保居民就业、保基本民生、保市场主体、保粮食能源安全、保产业链供应链稳定、保基层运转。</w:t>
      </w: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3.三保支出：指保工资、保运转和保基本民生。</w:t>
      </w: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抗疫特别国债：指2020年在应对新冠肺炎疫情特殊时期，由中央财政统一发行用于支持地方基础设施建设和疫情防控的特别国债。</w:t>
      </w:r>
    </w:p>
    <w:p>
      <w:pPr>
        <w:keepNext w:val="0"/>
        <w:keepLines w:val="0"/>
        <w:pageBreakBefore w:val="0"/>
        <w:widowControl/>
        <w:kinsoku/>
        <w:wordWrap/>
        <w:overflowPunct w:val="0"/>
        <w:topLinePunct w:val="0"/>
        <w:autoSpaceDE/>
        <w:autoSpaceDN/>
        <w:bidi w:val="0"/>
        <w:adjustRightInd w:val="0"/>
        <w:snapToGrid/>
        <w:spacing w:after="0" w:line="240" w:lineRule="auto"/>
        <w:ind w:firstLine="632" w:firstLineChars="200"/>
        <w:jc w:val="both"/>
        <w:textAlignment w:val="auto"/>
        <w:rPr>
          <w:rFonts w:hint="eastAsia" w:ascii="方正仿宋_GBK" w:hAnsi="方正仿宋_GBK" w:eastAsia="方正仿宋_GBK" w:cs="方正仿宋_GBK"/>
          <w:b w:val="0"/>
          <w:bCs/>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.一般公共预算：指政府凭借国家政治权力，以社会管理者身份筹集以税收为主体的财政收入，用于保障和改善民生、维持国家行政职能正常运转、保障国家安全等方面的收支预算。</w:t>
      </w:r>
    </w:p>
    <w:sectPr>
      <w:pgSz w:w="11906" w:h="16838"/>
      <w:pgMar w:top="2098" w:right="1474" w:bottom="1984" w:left="1587" w:header="1417" w:footer="170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drawingGridHorizontalSpacing w:val="158"/>
  <w:drawingGridVerticalSpacing w:val="29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NjFiMWI4Yjc0OTAzZTljN2U5MmY2MGUxMTFkMjMifQ=="/>
  </w:docVars>
  <w:rsids>
    <w:rsidRoot w:val="00D31D50"/>
    <w:rsid w:val="00000162"/>
    <w:rsid w:val="00032894"/>
    <w:rsid w:val="00066F7B"/>
    <w:rsid w:val="00076AC7"/>
    <w:rsid w:val="000902CC"/>
    <w:rsid w:val="000A1E34"/>
    <w:rsid w:val="000B0E52"/>
    <w:rsid w:val="000C27D2"/>
    <w:rsid w:val="00137E57"/>
    <w:rsid w:val="00151D87"/>
    <w:rsid w:val="001E6685"/>
    <w:rsid w:val="002059DF"/>
    <w:rsid w:val="00211D63"/>
    <w:rsid w:val="002D070F"/>
    <w:rsid w:val="002D4457"/>
    <w:rsid w:val="002E3696"/>
    <w:rsid w:val="00323B43"/>
    <w:rsid w:val="00334D36"/>
    <w:rsid w:val="00337F9E"/>
    <w:rsid w:val="003424D5"/>
    <w:rsid w:val="003601FD"/>
    <w:rsid w:val="00376355"/>
    <w:rsid w:val="00382D7D"/>
    <w:rsid w:val="003D37D8"/>
    <w:rsid w:val="003D45FB"/>
    <w:rsid w:val="003D6A22"/>
    <w:rsid w:val="00416196"/>
    <w:rsid w:val="00420546"/>
    <w:rsid w:val="00426133"/>
    <w:rsid w:val="004358AB"/>
    <w:rsid w:val="004D2C50"/>
    <w:rsid w:val="005002D4"/>
    <w:rsid w:val="00502F4C"/>
    <w:rsid w:val="00522A97"/>
    <w:rsid w:val="00585B0B"/>
    <w:rsid w:val="005D49DF"/>
    <w:rsid w:val="00626067"/>
    <w:rsid w:val="00651EE9"/>
    <w:rsid w:val="00651F30"/>
    <w:rsid w:val="00682923"/>
    <w:rsid w:val="006871FD"/>
    <w:rsid w:val="006E3DA9"/>
    <w:rsid w:val="006E7FBF"/>
    <w:rsid w:val="006F5B4F"/>
    <w:rsid w:val="00715538"/>
    <w:rsid w:val="00760C04"/>
    <w:rsid w:val="00784929"/>
    <w:rsid w:val="007F1EA1"/>
    <w:rsid w:val="00810A3C"/>
    <w:rsid w:val="00830226"/>
    <w:rsid w:val="008637FD"/>
    <w:rsid w:val="008B7726"/>
    <w:rsid w:val="008D6163"/>
    <w:rsid w:val="009227F7"/>
    <w:rsid w:val="00976114"/>
    <w:rsid w:val="00986EC1"/>
    <w:rsid w:val="009A3DBC"/>
    <w:rsid w:val="009B6977"/>
    <w:rsid w:val="00A01D73"/>
    <w:rsid w:val="00A65366"/>
    <w:rsid w:val="00AB523A"/>
    <w:rsid w:val="00AC11FF"/>
    <w:rsid w:val="00AE3A40"/>
    <w:rsid w:val="00AF63B9"/>
    <w:rsid w:val="00B30CB9"/>
    <w:rsid w:val="00B4175A"/>
    <w:rsid w:val="00BA6847"/>
    <w:rsid w:val="00BC3437"/>
    <w:rsid w:val="00BC52F0"/>
    <w:rsid w:val="00BD3F8B"/>
    <w:rsid w:val="00BD463C"/>
    <w:rsid w:val="00C33C6C"/>
    <w:rsid w:val="00C40D0D"/>
    <w:rsid w:val="00C64B95"/>
    <w:rsid w:val="00C94FB4"/>
    <w:rsid w:val="00CE2CC6"/>
    <w:rsid w:val="00CF1F8B"/>
    <w:rsid w:val="00D25DA9"/>
    <w:rsid w:val="00D31D50"/>
    <w:rsid w:val="00D8613A"/>
    <w:rsid w:val="00DA4734"/>
    <w:rsid w:val="00E37E08"/>
    <w:rsid w:val="00E61D26"/>
    <w:rsid w:val="00ED1CED"/>
    <w:rsid w:val="00EE20B3"/>
    <w:rsid w:val="00EF42E3"/>
    <w:rsid w:val="00F000D5"/>
    <w:rsid w:val="00F406D3"/>
    <w:rsid w:val="00F61F94"/>
    <w:rsid w:val="00F62A70"/>
    <w:rsid w:val="00FE0E6A"/>
    <w:rsid w:val="00FE369A"/>
    <w:rsid w:val="173C3C5D"/>
    <w:rsid w:val="17936E94"/>
    <w:rsid w:val="19B63A57"/>
    <w:rsid w:val="22776C79"/>
    <w:rsid w:val="27C25BBD"/>
    <w:rsid w:val="29EE5094"/>
    <w:rsid w:val="440000FD"/>
    <w:rsid w:val="46C13CFC"/>
    <w:rsid w:val="4F8A7442"/>
    <w:rsid w:val="51203B24"/>
    <w:rsid w:val="513A3EFC"/>
    <w:rsid w:val="614D53A8"/>
    <w:rsid w:val="789D7F19"/>
    <w:rsid w:val="7BBB39DC"/>
    <w:rsid w:val="BFBF4CC0"/>
    <w:rsid w:val="FD3F5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方正仿宋_GBK" w:cstheme="minorBidi"/>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qFormat/>
    <w:uiPriority w:val="0"/>
  </w:style>
  <w:style w:type="paragraph" w:customStyle="1" w:styleId="7">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 w:type="paragraph" w:styleId="10">
    <w:name w:val="No Spacing"/>
    <w:qFormat/>
    <w:uiPriority w:val="1"/>
    <w:pPr>
      <w:adjustRightInd w:val="0"/>
      <w:snapToGrid w:val="0"/>
    </w:pPr>
    <w:rPr>
      <w:rFonts w:ascii="Tahoma" w:hAnsi="Tahoma" w:eastAsia="微软雅黑" w:cs="Times New Roman"/>
      <w:sz w:val="22"/>
      <w:szCs w:val="22"/>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2752</Words>
  <Characters>2947</Characters>
  <Lines>27</Lines>
  <Paragraphs>7</Paragraphs>
  <TotalTime>7</TotalTime>
  <ScaleCrop>false</ScaleCrop>
  <LinksUpToDate>false</LinksUpToDate>
  <CharactersWithSpaces>2977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user</dc:creator>
  <cp:lastModifiedBy>user</cp:lastModifiedBy>
  <dcterms:modified xsi:type="dcterms:W3CDTF">2022-09-08T09:25:16Z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1EE1B6510033442ABDF9FB30B2965FD1</vt:lpwstr>
  </property>
</Properties>
</file>