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240" w:firstLineChars="100"/>
        <w:rPr>
          <w:rFonts w:hint="eastAsia" w:ascii="方正楷体_GBK" w:eastAsia="方正楷体_GBK"/>
          <w:sz w:val="24"/>
          <w:szCs w:val="24"/>
          <w:lang w:val="en-US" w:eastAsia="zh-CN"/>
        </w:rPr>
        <w:sectPr>
          <w:pgSz w:w="16838" w:h="11906" w:orient="landscape"/>
          <w:pgMar w:top="1587" w:right="2098" w:bottom="1474" w:left="1984" w:header="1417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方正楷体_GBK" w:hAnsi="Calibri" w:eastAsia="方正楷体_GBK" w:cs="宋体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eastAsia="zh-CN"/>
        </w:rPr>
        <w:t>第一部分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 xml:space="preserve"> 行政许可实施情况统计表</w:t>
      </w:r>
    </w:p>
    <w:tbl>
      <w:tblPr>
        <w:tblStyle w:val="3"/>
        <w:tblW w:w="137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511"/>
        <w:gridCol w:w="1042"/>
        <w:gridCol w:w="1104"/>
        <w:gridCol w:w="1044"/>
        <w:gridCol w:w="1644"/>
        <w:gridCol w:w="2616"/>
        <w:gridCol w:w="1176"/>
        <w:gridCol w:w="1080"/>
        <w:gridCol w:w="1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农服中心（农技站）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宅基地建房审批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村建中心（规建所）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乡村建设规划许可证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规资所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不动产权证书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414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414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388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说明：1</w:t>
      </w:r>
      <w:r>
        <w:rPr>
          <w:rFonts w:hint="eastAsia" w:ascii="微软雅黑" w:hAnsi="微软雅黑" w:eastAsia="微软雅黑" w:cs="微软雅黑"/>
          <w:sz w:val="24"/>
          <w:szCs w:val="24"/>
        </w:rPr>
        <w:t>．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统计范围为1月1日至12月31日期间收到当事人许可申请、作出受理决定、许可决定、不予许可决定、撤销许可决定的数量，以及进行法制审核的数量。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08" w:firstLineChars="300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．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准予变更、延续和不予变更、延续的数量，分别计入“许可数量”“不予许可数量”。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08" w:firstLineChars="300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．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632" w:leftChars="200"/>
        <w:jc w:val="center"/>
        <w:textAlignment w:val="center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第二部分  行政处罚实施情况统计表</w:t>
      </w:r>
    </w:p>
    <w:tbl>
      <w:tblPr>
        <w:tblStyle w:val="3"/>
        <w:tblW w:w="138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172"/>
        <w:gridCol w:w="567"/>
        <w:gridCol w:w="929"/>
        <w:gridCol w:w="954"/>
        <w:gridCol w:w="1050"/>
        <w:gridCol w:w="423"/>
        <w:gridCol w:w="474"/>
        <w:gridCol w:w="600"/>
        <w:gridCol w:w="826"/>
        <w:gridCol w:w="846"/>
        <w:gridCol w:w="674"/>
        <w:gridCol w:w="627"/>
        <w:gridCol w:w="504"/>
        <w:gridCol w:w="1109"/>
        <w:gridCol w:w="1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涉嫌犯罪移送案件数量（件）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司法机关受理案件数量（件）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警告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通报批评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罚款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说明：1．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统计范围为1月1日至12月31日期间作出行政处罚决定以及法制审核的数量（包括经行政复议或者行政诉讼被撤销的行政处罚决定数量）。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08" w:firstLineChars="300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2．其他行政处罚，为法律、行政法规规定的其他行政处罚，比如驱逐出境等。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08" w:firstLineChars="300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3．单处一个类别行政处罚的，计入相应的行政处罚类别；并处两种以上行政处罚的，计入一件行政处罚，计入最重的行政处罚类别。如“给予警告，并处罚款”，计入“警告、通报批评”类别；并处明确类别的行政处罚和其他行政处罚的，计入明确类别的行政处罚，如“处罚款，并处其他行政处罚”，计入“罚款、没收违法所得、没收非法财物”类别。行政处罚类别从轻到重的顺序：（1）警告、通报批评，（2）罚款、没收违法所得、没收非法财物，（3）暂扣许可证件、降低资质等级、吊销许可证件，（4）限制开展生产经营活动、责令停产停业、责令关闭、限制从业，（5）行政拘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08" w:firstLineChars="300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4．没收违法所得、没收非法财物能确定金额的，计入“罚没金额”；不能确定金额的，不计入“罚没金额”。“罚没金额”以处罚决定书确定的金额为准。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08" w:firstLineChars="300"/>
        <w:jc w:val="center"/>
        <w:textAlignment w:val="center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第三部分  行政强制措施实施情况统计表</w:t>
      </w:r>
    </w:p>
    <w:tbl>
      <w:tblPr>
        <w:tblStyle w:val="3"/>
        <w:tblW w:w="137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3028"/>
        <w:gridCol w:w="1181"/>
        <w:gridCol w:w="1530"/>
        <w:gridCol w:w="1185"/>
        <w:gridCol w:w="1905"/>
        <w:gridCol w:w="1200"/>
        <w:gridCol w:w="1185"/>
        <w:gridCol w:w="1066"/>
        <w:gridCol w:w="10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限制公民人身自由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查封场所、设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说明：统计范围为1月1日至12月31日期间作出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“限制公民人身自由”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“查封场所、设施或者财物”“扣押财物”“冻结存款、汇款”或者“其他行政强制措施”决定的数量，以及法制审核数量。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72" w:firstLineChars="200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632" w:leftChars="20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eastAsia="zh-CN"/>
        </w:rPr>
        <w:t>第四部门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行政强制执行情况统计表</w:t>
      </w:r>
    </w:p>
    <w:tbl>
      <w:tblPr>
        <w:tblStyle w:val="3"/>
        <w:tblW w:w="138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3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其他强制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说明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．统计范围为1月1日至12月31日期间作出“加处罚款或者滞纳金”“划拨存款、汇款”“拍卖或者依法处理查封、扣押的场所、设施或者财物”“排除妨碍、恢复原状”“代履行”和“其他强制执行方式”等执行完毕或者终结执行的数量，以及对行政机关强制执行的予以法制审核的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08" w:firstLineChars="300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2．其他强制执行方式，如《城乡规划法》规定的强制拆除；《煤炭法》规定的强制停产、强制消除安全隐患等。申请法院强制执行数量的统计时间以申请日期为准。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  <w:t>第五部分  行政征收实施情况统计表</w:t>
      </w:r>
    </w:p>
    <w:tbl>
      <w:tblPr>
        <w:tblStyle w:val="3"/>
        <w:tblW w:w="138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1574"/>
        <w:gridCol w:w="1574"/>
        <w:gridCol w:w="1574"/>
        <w:gridCol w:w="1574"/>
        <w:gridCol w:w="1260"/>
        <w:gridCol w:w="1260"/>
        <w:gridCol w:w="1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2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9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义和街道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数量（件）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金额（万元）</w:t>
            </w: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说明：1．行政征收的统计范围为1月1日至12月31日期间实施数量。（因征税属于中央垂直管理，不列入统计范围）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708" w:firstLineChars="300"/>
        <w:jc w:val="both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2．土地、房屋征收实施数量的统计，以政府正式批文为准。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420" w:hanging="472" w:hangingChars="200"/>
        <w:jc w:val="center"/>
        <w:textAlignment w:val="center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第六部分  行政征用实施情况统计表</w:t>
      </w:r>
    </w:p>
    <w:tbl>
      <w:tblPr>
        <w:tblStyle w:val="3"/>
        <w:tblW w:w="139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630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说明：统计范围为1月1日至12月31日期间因抢险、救灾、反恐等公共利益需要而作出的行政征用决定的数量。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center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420" w:hanging="472" w:hangingChars="200"/>
        <w:jc w:val="center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420" w:hanging="472" w:hangingChars="200"/>
        <w:jc w:val="center"/>
        <w:textAlignment w:val="center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eastAsia="zh-CN"/>
        </w:rPr>
        <w:t>第七部分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 xml:space="preserve"> 行政检查实施情况统计表</w:t>
      </w:r>
    </w:p>
    <w:tbl>
      <w:tblPr>
        <w:tblStyle w:val="3"/>
        <w:tblW w:w="14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应急办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说明：统计范围为1月1日至12月31日期间开展的行政检查次数。检查1个检查对象，有完整、详细的检查记录，计为检查1次。无特定检查对象的巡查、巡逻，无完整、详细检查记录的，均不计为检查次数。</w:t>
      </w:r>
    </w:p>
    <w:p/>
    <w:p>
      <w:bookmarkStart w:id="0" w:name="_GoBack"/>
      <w:bookmarkEnd w:id="0"/>
    </w:p>
    <w:sectPr>
      <w:footerReference r:id="rId3" w:type="default"/>
      <w:pgSz w:w="16840" w:h="11907" w:orient="landscape"/>
      <w:pgMar w:top="1588" w:right="2098" w:bottom="1474" w:left="1985" w:header="1418" w:footer="1134" w:gutter="0"/>
      <w:pgNumType w:fmt="decimal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Style w:val="5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DA0NjQ3YmE5NGQzMDA0YTk0YWU5YjZiNzFhYTUifQ=="/>
  </w:docVars>
  <w:rsids>
    <w:rsidRoot w:val="153973F5"/>
    <w:rsid w:val="153973F5"/>
    <w:rsid w:val="5FEB382B"/>
    <w:rsid w:val="739F163C"/>
    <w:rsid w:val="742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公文标题"/>
    <w:basedOn w:val="1"/>
    <w:autoRedefine/>
    <w:qFormat/>
    <w:uiPriority w:val="0"/>
    <w:pPr>
      <w:spacing w:line="579" w:lineRule="exact"/>
      <w:jc w:val="center"/>
    </w:pPr>
    <w:rPr>
      <w:rFonts w:eastAsia="方正小标宋_GBK" w:asciiTheme="minorAscii" w:hAnsiTheme="minorAscii"/>
      <w:sz w:val="44"/>
    </w:rPr>
  </w:style>
  <w:style w:type="paragraph" w:customStyle="1" w:styleId="7">
    <w:name w:val="公文正文"/>
    <w:basedOn w:val="1"/>
    <w:autoRedefine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79" w:lineRule="exact"/>
      <w:ind w:firstLine="880" w:firstLineChars="200"/>
    </w:pPr>
    <w:rPr>
      <w:rFonts w:hint="eastAsia" w:ascii="Times New Roman" w:hAnsi="Times New Roman" w:eastAsia="方正仿宋_GBK" w:cs="微软雅黑"/>
      <w:color w:val="262626"/>
      <w:sz w:val="32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2024-01-10T07:43:00Z</dcterms:created>
  <dc:creator>坚定あ</dc:creator>
  <cp:lastModifiedBy>飛钰</cp:lastModifiedBy>
  <dcterms:modified xsi:type="dcterms:W3CDTF">2024-04-28T03:35:50Z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F328433326EA48A29AEC0CE7369DCA8B_13</vt:lpwstr>
  </property>
</Properties>
</file>