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480" w:firstLineChars="200"/>
        <w:jc w:val="left"/>
        <w:rPr>
          <w:rFonts w:ascii="方正黑体_GBK" w:hAnsi="Arial" w:eastAsia="方正黑体_GBK" w:cs="Arial"/>
          <w:kern w:val="0"/>
          <w:sz w:val="32"/>
          <w:szCs w:val="32"/>
        </w:rPr>
      </w:pPr>
      <w:r>
        <w:rPr>
          <w:rFonts w:hint="eastAsia" w:ascii="方正黑体_GBK" w:hAnsi="Arial" w:eastAsia="方正黑体_GBK" w:cs="Arial"/>
          <w:kern w:val="0"/>
          <w:sz w:val="24"/>
          <w:szCs w:val="24"/>
        </w:rPr>
        <w:t>　</w:t>
      </w:r>
      <w:r>
        <w:rPr>
          <w:rFonts w:hint="eastAsia" w:ascii="方正黑体_GBK" w:hAnsi="Arial" w:eastAsia="方正黑体_GBK" w:cs="Arial"/>
          <w:bCs/>
          <w:kern w:val="0"/>
          <w:sz w:val="32"/>
          <w:szCs w:val="32"/>
        </w:rPr>
        <w:t>一、总体情况</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仿宋_GBK" w:hAnsi="Arial" w:eastAsia="方正仿宋_GBK" w:cs="Arial"/>
          <w:kern w:val="0"/>
          <w:sz w:val="32"/>
          <w:szCs w:val="32"/>
        </w:rPr>
        <w:t>2020年发布公文523条，维护管理涪陵区政府公开信息网等政府信息公开渠道3个，通过微信公众号公开政府信息49条，回应公众关注热点或重大舆情18次。</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楷体_GBK" w:hAnsi="Arial" w:eastAsia="方正楷体_GBK" w:cs="Arial"/>
          <w:bCs/>
          <w:kern w:val="0"/>
          <w:sz w:val="32"/>
          <w:szCs w:val="32"/>
        </w:rPr>
        <w:t>（一）健全完善工作机制</w:t>
      </w:r>
      <w:r>
        <w:rPr>
          <w:rFonts w:hint="eastAsia" w:ascii="方正楷体_GBK" w:hAnsi="Arial" w:eastAsia="方正楷体_GBK" w:cs="Arial"/>
          <w:kern w:val="0"/>
          <w:sz w:val="32"/>
          <w:szCs w:val="32"/>
        </w:rPr>
        <w:t>。</w:t>
      </w:r>
      <w:r>
        <w:rPr>
          <w:rFonts w:hint="eastAsia" w:ascii="方正仿宋_GBK" w:hAnsi="Arial" w:eastAsia="方正仿宋_GBK" w:cs="Arial"/>
          <w:kern w:val="0"/>
          <w:sz w:val="32"/>
          <w:szCs w:val="32"/>
        </w:rPr>
        <w:t>我乡高度重视政府信息公开工作，明确了由乡党委副书记分管负责，乡党政办工作人员具体落实政府信息公开日常工作。为进一步完善政务公开制度，推进我乡政务公开，根据新条例规定，进一步完善了《增福乡政务信息公开发布、审核、依申请公开等制度》，并按照制度规定要求，及时发布政务信息，确保公众知情权。</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楷体_GBK" w:hAnsi="Arial" w:eastAsia="方正楷体_GBK" w:cs="Arial"/>
          <w:bCs/>
          <w:kern w:val="0"/>
          <w:sz w:val="32"/>
          <w:szCs w:val="32"/>
        </w:rPr>
        <w:t>（二）坚持依法有序公开</w:t>
      </w:r>
      <w:r>
        <w:rPr>
          <w:rFonts w:hint="eastAsia" w:ascii="方正楷体_GBK" w:hAnsi="Arial" w:eastAsia="方正楷体_GBK" w:cs="Arial"/>
          <w:kern w:val="0"/>
          <w:sz w:val="32"/>
          <w:szCs w:val="32"/>
        </w:rPr>
        <w:t>。</w:t>
      </w:r>
      <w:r>
        <w:rPr>
          <w:rFonts w:hint="eastAsia" w:ascii="方正仿宋_GBK" w:hAnsi="Arial" w:eastAsia="方正仿宋_GBK" w:cs="Arial"/>
          <w:kern w:val="0"/>
          <w:sz w:val="32"/>
          <w:szCs w:val="32"/>
        </w:rPr>
        <w:t>严格按照“谁主办、谁负责”，“谁发布、谁负责”的原则，落实信息审核发布“三审三校”制度要求，信息通过初审、复审、发布等三个流程后，由党政办工作人员统一发布。</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楷体_GBK" w:hAnsi="Arial" w:eastAsia="方正楷体_GBK" w:cs="Arial"/>
          <w:bCs/>
          <w:kern w:val="0"/>
          <w:sz w:val="32"/>
          <w:szCs w:val="32"/>
        </w:rPr>
        <w:t>（三）加强信息公开监管</w:t>
      </w:r>
      <w:r>
        <w:rPr>
          <w:rFonts w:hint="eastAsia" w:ascii="方正楷体_GBK" w:hAnsi="Arial" w:eastAsia="方正楷体_GBK" w:cs="Arial"/>
          <w:kern w:val="0"/>
          <w:sz w:val="32"/>
          <w:szCs w:val="32"/>
        </w:rPr>
        <w:t>。</w:t>
      </w:r>
      <w:r>
        <w:rPr>
          <w:rFonts w:hint="eastAsia" w:ascii="方正仿宋_GBK" w:hAnsi="Arial" w:eastAsia="方正仿宋_GBK" w:cs="Arial"/>
          <w:kern w:val="0"/>
          <w:sz w:val="32"/>
          <w:szCs w:val="32"/>
        </w:rPr>
        <w:t>我乡严格按照《中华人民共和国政府信息公开条例》要求，以规范、透明、高效为目标，严格保密审查，按照“谁提供、谁负责；谁公开，谁审查”的原则，严格落实分管领导、站所办及信息员责任做好政务公开监管。同时，落实党政办专人审核发布的政务信息。</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楷体_GBK" w:hAnsi="Arial" w:eastAsia="方正楷体_GBK" w:cs="Arial"/>
          <w:bCs/>
          <w:kern w:val="0"/>
          <w:sz w:val="32"/>
          <w:szCs w:val="32"/>
        </w:rPr>
        <w:t>（四）优化平台建设管理</w:t>
      </w:r>
      <w:r>
        <w:rPr>
          <w:rFonts w:hint="eastAsia" w:ascii="方正楷体_GBK" w:hAnsi="Arial" w:eastAsia="方正楷体_GBK" w:cs="Arial"/>
          <w:kern w:val="0"/>
          <w:sz w:val="32"/>
          <w:szCs w:val="32"/>
        </w:rPr>
        <w:t>。</w:t>
      </w:r>
      <w:r>
        <w:rPr>
          <w:rFonts w:hint="eastAsia" w:ascii="方正仿宋_GBK" w:hAnsi="Arial" w:eastAsia="方正仿宋_GBK" w:cs="Arial"/>
          <w:kern w:val="0"/>
          <w:sz w:val="32"/>
          <w:szCs w:val="32"/>
        </w:rPr>
        <w:t>我乡所发布的政府公开信息主要发布渠道为涪陵区政府信息公开平台，也可在我乡公众微信号、信息公开栏查阅。为提高本单位信息公开的规范、透明、高效性，我单位将进一步提高信息公开平台规范化建设水平，拓宽公布渠道，提高信息发布的规范性、准确性、时效性。</w:t>
      </w:r>
    </w:p>
    <w:p>
      <w:pPr>
        <w:widowControl/>
        <w:snapToGrid w:val="0"/>
        <w:spacing w:line="560" w:lineRule="exact"/>
        <w:ind w:firstLine="640" w:firstLineChars="200"/>
        <w:jc w:val="left"/>
        <w:rPr>
          <w:rFonts w:ascii="方正仿宋_GBK" w:hAnsi="Arial" w:eastAsia="方正仿宋_GBK" w:cs="Arial"/>
          <w:kern w:val="0"/>
          <w:sz w:val="32"/>
          <w:szCs w:val="32"/>
        </w:rPr>
      </w:pPr>
      <w:r>
        <w:rPr>
          <w:rFonts w:hint="eastAsia" w:ascii="方正楷体_GBK" w:hAnsi="Arial" w:eastAsia="方正楷体_GBK" w:cs="Arial"/>
          <w:bCs/>
          <w:kern w:val="0"/>
          <w:sz w:val="32"/>
          <w:szCs w:val="32"/>
        </w:rPr>
        <w:t>（五）强化监督保障</w:t>
      </w:r>
      <w:r>
        <w:rPr>
          <w:rFonts w:hint="eastAsia" w:ascii="方正楷体_GBK" w:hAnsi="Arial" w:eastAsia="方正楷体_GBK" w:cs="Arial"/>
          <w:kern w:val="0"/>
          <w:sz w:val="32"/>
          <w:szCs w:val="32"/>
        </w:rPr>
        <w:t>。</w:t>
      </w:r>
      <w:r>
        <w:rPr>
          <w:rFonts w:hint="eastAsia" w:ascii="方正仿宋_GBK" w:hAnsi="Arial" w:eastAsia="方正仿宋_GBK" w:cs="Arial"/>
          <w:kern w:val="0"/>
          <w:sz w:val="32"/>
          <w:szCs w:val="32"/>
        </w:rPr>
        <w:t>我乡所有信息公开内容均可在涪陵区政府信息公开平台查询下载，对本单位信息公开有任何疑问，请与增福乡党政综合办联系（地址：重庆市涪陵区增福乡福兴路9号，邮编：408117，电话：023-72728001，传真：023-72728077，邮箱：</w:t>
      </w:r>
      <w:r>
        <w:fldChar w:fldCharType="begin"/>
      </w:r>
      <w:r>
        <w:instrText xml:space="preserve"> HYPERLINK "mailto:72728001@163.com" </w:instrText>
      </w:r>
      <w:r>
        <w:fldChar w:fldCharType="separate"/>
      </w:r>
      <w:r>
        <w:rPr>
          <w:rFonts w:hint="eastAsia" w:ascii="方正仿宋_GBK" w:hAnsi="Arial" w:eastAsia="方正仿宋_GBK" w:cs="Arial"/>
          <w:color w:val="0000FF"/>
          <w:kern w:val="0"/>
          <w:sz w:val="32"/>
          <w:szCs w:val="32"/>
          <w:u w:val="single"/>
        </w:rPr>
        <w:t>72728001@163.com</w:t>
      </w:r>
      <w:r>
        <w:rPr>
          <w:rFonts w:hint="eastAsia" w:ascii="方正仿宋_GBK" w:hAnsi="Arial" w:eastAsia="方正仿宋_GBK" w:cs="Arial"/>
          <w:color w:val="0000FF"/>
          <w:kern w:val="0"/>
          <w:sz w:val="32"/>
          <w:szCs w:val="32"/>
          <w:u w:val="single"/>
        </w:rPr>
        <w:fldChar w:fldCharType="end"/>
      </w:r>
      <w:r>
        <w:rPr>
          <w:rFonts w:hint="eastAsia" w:ascii="方正仿宋_GBK" w:hAnsi="Arial" w:eastAsia="方正仿宋_GBK" w:cs="Arial"/>
          <w:kern w:val="0"/>
          <w:sz w:val="32"/>
          <w:szCs w:val="32"/>
        </w:rPr>
        <w:t>）。乡纪委负责对本机关政府信息公开工作的监督、检查（举报电话：023-72728791）。</w:t>
      </w:r>
    </w:p>
    <w:p>
      <w:pPr>
        <w:widowControl/>
        <w:snapToGrid w:val="0"/>
        <w:spacing w:line="560" w:lineRule="exact"/>
        <w:ind w:firstLine="640" w:firstLineChars="200"/>
        <w:jc w:val="left"/>
        <w:rPr>
          <w:rFonts w:ascii="方正黑体_GBK" w:hAnsi="Arial" w:eastAsia="方正黑体_GBK" w:cs="Arial"/>
          <w:bCs/>
          <w:kern w:val="0"/>
          <w:sz w:val="32"/>
          <w:szCs w:val="32"/>
        </w:rPr>
      </w:pPr>
      <w:r>
        <w:rPr>
          <w:rFonts w:hint="eastAsia" w:ascii="方正黑体_GBK" w:hAnsi="Arial" w:eastAsia="方正黑体_GBK" w:cs="Arial"/>
          <w:bCs/>
          <w:kern w:val="0"/>
          <w:sz w:val="32"/>
          <w:szCs w:val="32"/>
        </w:rPr>
        <w:t>二、主动公开政府信息情况</w:t>
      </w:r>
    </w:p>
    <w:tbl>
      <w:tblPr>
        <w:tblStyle w:val="5"/>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75" w:type="dxa"/>
          <w:left w:w="150" w:type="dxa"/>
          <w:bottom w:w="75" w:type="dxa"/>
          <w:right w:w="150" w:type="dxa"/>
        </w:tblCellMar>
      </w:tblPr>
      <w:tblGrid>
        <w:gridCol w:w="3346"/>
        <w:gridCol w:w="1751"/>
        <w:gridCol w:w="879"/>
        <w:gridCol w:w="879"/>
        <w:gridCol w:w="175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606"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第二十条第（一）项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信息内容</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本年新制作数量</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本年新公开数量</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对外公开总数量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规章</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规范性文件</w:t>
            </w:r>
          </w:p>
        </w:tc>
        <w:tc>
          <w:tcPr>
            <w:tcW w:w="1751" w:type="dxa"/>
            <w:vAlign w:val="center"/>
          </w:tcPr>
          <w:p>
            <w:pPr>
              <w:widowControl/>
              <w:adjustRightInd w:val="0"/>
              <w:snapToGrid w:val="0"/>
              <w:spacing w:line="360" w:lineRule="exact"/>
              <w:jc w:val="center"/>
              <w:rPr>
                <w:rFonts w:hint="eastAsia" w:ascii="微软雅黑" w:hAnsi="微软雅黑" w:eastAsia="微软雅黑" w:cs="Arial"/>
                <w:kern w:val="0"/>
                <w:szCs w:val="21"/>
                <w:lang w:eastAsia="zh-CN"/>
              </w:rPr>
            </w:pPr>
            <w:r>
              <w:rPr>
                <w:rFonts w:hint="eastAsia" w:ascii="微软雅黑" w:hAnsi="微软雅黑" w:eastAsia="微软雅黑" w:cs="Arial"/>
                <w:kern w:val="0"/>
                <w:szCs w:val="21"/>
                <w:lang w:val="en-US" w:eastAsia="zh-CN"/>
              </w:rPr>
              <w:t>1</w:t>
            </w:r>
          </w:p>
        </w:tc>
        <w:tc>
          <w:tcPr>
            <w:tcW w:w="1758" w:type="dxa"/>
            <w:gridSpan w:val="2"/>
            <w:vAlign w:val="center"/>
          </w:tcPr>
          <w:p>
            <w:pPr>
              <w:widowControl/>
              <w:adjustRightInd w:val="0"/>
              <w:snapToGrid w:val="0"/>
              <w:spacing w:line="360" w:lineRule="exact"/>
              <w:jc w:val="center"/>
              <w:rPr>
                <w:rFonts w:hint="eastAsia" w:ascii="微软雅黑" w:hAnsi="微软雅黑" w:eastAsia="微软雅黑" w:cs="Arial"/>
                <w:kern w:val="0"/>
                <w:szCs w:val="21"/>
                <w:lang w:eastAsia="zh-CN"/>
              </w:rPr>
            </w:pPr>
            <w:r>
              <w:rPr>
                <w:rFonts w:hint="eastAsia" w:ascii="微软雅黑" w:hAnsi="微软雅黑" w:eastAsia="微软雅黑" w:cs="Arial"/>
                <w:kern w:val="0"/>
                <w:szCs w:val="21"/>
                <w:lang w:val="en-US" w:eastAsia="zh-CN"/>
              </w:rPr>
              <w:t>1</w:t>
            </w:r>
          </w:p>
        </w:tc>
        <w:tc>
          <w:tcPr>
            <w:tcW w:w="1751" w:type="dxa"/>
            <w:vAlign w:val="center"/>
          </w:tcPr>
          <w:p>
            <w:pPr>
              <w:widowControl/>
              <w:adjustRightInd w:val="0"/>
              <w:snapToGrid w:val="0"/>
              <w:spacing w:line="360" w:lineRule="exact"/>
              <w:jc w:val="center"/>
              <w:rPr>
                <w:rFonts w:hint="eastAsia" w:ascii="微软雅黑" w:hAnsi="微软雅黑" w:eastAsia="微软雅黑" w:cs="Arial"/>
                <w:kern w:val="0"/>
                <w:szCs w:val="21"/>
                <w:lang w:eastAsia="zh-CN"/>
              </w:rPr>
            </w:pPr>
            <w:r>
              <w:rPr>
                <w:rFonts w:hint="eastAsia" w:ascii="微软雅黑" w:hAnsi="微软雅黑" w:eastAsia="微软雅黑" w:cs="Arial"/>
                <w:kern w:val="0"/>
                <w:szCs w:val="21"/>
                <w:lang w:val="en-US" w:eastAsia="zh-CN"/>
              </w:rPr>
              <w:t>3</w:t>
            </w:r>
            <w:bookmarkStart w:id="0" w:name="_GoBack"/>
            <w:bookmarkEnd w:id="0"/>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606"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第二十条第（五）项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信息内容</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上一年项目数量</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本年增/减</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处理决定数量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行政许可</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其他对外管理服务事项</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606"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第二十条第（六）项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信息内容</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上一年项目数量</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本年增/减</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处理决定数量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行政处罚</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行政强制</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8"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1751"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606"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第二十条第（八）项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信息内容</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上一年项目数量</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本年增/减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行政事业性收费</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606"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第二十条第（九）项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信息内容</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采购项目数量</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采购总金额</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3346"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政府集中采购</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2630" w:type="dxa"/>
            <w:gridSpan w:val="2"/>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bl>
    <w:p>
      <w:pPr>
        <w:widowControl/>
        <w:adjustRightInd w:val="0"/>
        <w:snapToGrid w:val="0"/>
        <w:spacing w:line="560" w:lineRule="exact"/>
        <w:ind w:firstLine="640" w:firstLineChars="200"/>
        <w:jc w:val="left"/>
        <w:rPr>
          <w:rFonts w:hint="eastAsia" w:ascii="方正黑体_GBK" w:hAnsi="Arial" w:eastAsia="方正黑体_GBK" w:cs="Arial"/>
          <w:bCs/>
          <w:kern w:val="0"/>
          <w:sz w:val="32"/>
          <w:szCs w:val="32"/>
        </w:rPr>
      </w:pPr>
      <w:r>
        <w:rPr>
          <w:rFonts w:hint="eastAsia" w:ascii="方正黑体_GBK" w:hAnsi="Arial" w:eastAsia="方正黑体_GBK" w:cs="Arial"/>
          <w:kern w:val="0"/>
          <w:sz w:val="32"/>
          <w:szCs w:val="32"/>
        </w:rPr>
        <w:t>　</w:t>
      </w:r>
      <w:r>
        <w:rPr>
          <w:rFonts w:hint="eastAsia" w:ascii="方正黑体_GBK" w:hAnsi="Arial" w:eastAsia="方正黑体_GBK" w:cs="Arial"/>
          <w:bCs/>
          <w:kern w:val="0"/>
          <w:sz w:val="32"/>
          <w:szCs w:val="32"/>
        </w:rPr>
        <w:t>三、收到和处理政府信息公开申请情况</w:t>
      </w:r>
    </w:p>
    <w:tbl>
      <w:tblPr>
        <w:tblStyle w:val="5"/>
        <w:tblW w:w="897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75" w:type="dxa"/>
          <w:left w:w="150" w:type="dxa"/>
          <w:bottom w:w="75" w:type="dxa"/>
          <w:right w:w="150" w:type="dxa"/>
        </w:tblCellMar>
      </w:tblPr>
      <w:tblGrid>
        <w:gridCol w:w="568"/>
        <w:gridCol w:w="850"/>
        <w:gridCol w:w="2694"/>
        <w:gridCol w:w="892"/>
        <w:gridCol w:w="708"/>
        <w:gridCol w:w="709"/>
        <w:gridCol w:w="709"/>
        <w:gridCol w:w="709"/>
        <w:gridCol w:w="567"/>
        <w:gridCol w:w="56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89" w:hRule="atLeast"/>
          <w:jc w:val="center"/>
        </w:trPr>
        <w:tc>
          <w:tcPr>
            <w:tcW w:w="4112" w:type="dxa"/>
            <w:gridSpan w:val="3"/>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（本列数据的勾稽关系为：第一项加第二项之和，等于第三项加第四项之和）</w:t>
            </w:r>
          </w:p>
        </w:tc>
        <w:tc>
          <w:tcPr>
            <w:tcW w:w="4861" w:type="dxa"/>
            <w:gridSpan w:val="7"/>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申请人情况</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372" w:hRule="atLeast"/>
          <w:jc w:val="center"/>
        </w:trPr>
        <w:tc>
          <w:tcPr>
            <w:tcW w:w="4112" w:type="dxa"/>
            <w:gridSpan w:val="3"/>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92"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自然人</w:t>
            </w:r>
          </w:p>
        </w:tc>
        <w:tc>
          <w:tcPr>
            <w:tcW w:w="3402" w:type="dxa"/>
            <w:gridSpan w:val="5"/>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法人或其他组织</w:t>
            </w:r>
          </w:p>
        </w:tc>
        <w:tc>
          <w:tcPr>
            <w:tcW w:w="567"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总计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975" w:hRule="atLeast"/>
          <w:jc w:val="center"/>
        </w:trPr>
        <w:tc>
          <w:tcPr>
            <w:tcW w:w="4112" w:type="dxa"/>
            <w:gridSpan w:val="3"/>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92"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708"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商业</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企业</w:t>
            </w:r>
          </w:p>
        </w:tc>
        <w:tc>
          <w:tcPr>
            <w:tcW w:w="709"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科研</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机构</w:t>
            </w:r>
          </w:p>
        </w:tc>
        <w:tc>
          <w:tcPr>
            <w:tcW w:w="709"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社会公益组织</w:t>
            </w:r>
          </w:p>
        </w:tc>
        <w:tc>
          <w:tcPr>
            <w:tcW w:w="709"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法律服务机构</w:t>
            </w:r>
          </w:p>
        </w:tc>
        <w:tc>
          <w:tcPr>
            <w:tcW w:w="567"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其他</w:t>
            </w:r>
          </w:p>
        </w:tc>
        <w:tc>
          <w:tcPr>
            <w:tcW w:w="567"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37" w:hRule="atLeast"/>
          <w:jc w:val="center"/>
        </w:trPr>
        <w:tc>
          <w:tcPr>
            <w:tcW w:w="4112" w:type="dxa"/>
            <w:gridSpan w:val="3"/>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一、本年新收政府信息公开申请数量</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53" w:hRule="atLeast"/>
          <w:jc w:val="center"/>
        </w:trPr>
        <w:tc>
          <w:tcPr>
            <w:tcW w:w="4112" w:type="dxa"/>
            <w:gridSpan w:val="3"/>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二、上年结转政府信息公开申请数量</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58" w:hRule="atLeast"/>
          <w:jc w:val="center"/>
        </w:trPr>
        <w:tc>
          <w:tcPr>
            <w:tcW w:w="568"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三、本年度办理结果</w:t>
            </w:r>
          </w:p>
        </w:tc>
        <w:tc>
          <w:tcPr>
            <w:tcW w:w="3544" w:type="dxa"/>
            <w:gridSpan w:val="2"/>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（一）予以公开</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293"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3544" w:type="dxa"/>
            <w:gridSpan w:val="2"/>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（二）部分公开（区分处理的，只计这一情形，不计其他情形）</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260"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（三）</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不予</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公开</w:t>
            </w: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1.属于国家秘密</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29"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2.其他法律行政法规禁止公开</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39"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3.危及“三安全一稳定”</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87"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4.保护第三方合法权益</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4"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5.属于三类内部事务信息</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1"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6.属于四类过程性信息</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4"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7.属于行政执法案卷</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1"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8.属于行政查询事项</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5"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（四）</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无法</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提供</w:t>
            </w: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1.本机关不掌握相关政府信息</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93"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2.没有现成信息需要另行制作</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28"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3.补正后申请内容仍不明确</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26"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restart"/>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（五）</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不予</w:t>
            </w:r>
          </w:p>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处理</w:t>
            </w: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1.信访举报投诉类申请</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297"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2.重复申请</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375"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3.要求提供公开出版物</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266"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4.无正当理由大量反复申请</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303"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850"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2694" w:type="dxa"/>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5.要求行政机关确认或重新出具已获取信息</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79"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3544" w:type="dxa"/>
            <w:gridSpan w:val="2"/>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（六）其他处理</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cantSplit/>
          <w:trHeight w:val="69" w:hRule="atLeast"/>
          <w:jc w:val="center"/>
        </w:trPr>
        <w:tc>
          <w:tcPr>
            <w:tcW w:w="568" w:type="dxa"/>
            <w:vMerge w:val="continue"/>
            <w:vAlign w:val="center"/>
          </w:tcPr>
          <w:p>
            <w:pPr>
              <w:widowControl/>
              <w:adjustRightInd w:val="0"/>
              <w:snapToGrid w:val="0"/>
              <w:spacing w:line="320" w:lineRule="exact"/>
              <w:jc w:val="left"/>
              <w:rPr>
                <w:rFonts w:ascii="微软雅黑" w:hAnsi="微软雅黑" w:eastAsia="微软雅黑" w:cs="Arial"/>
                <w:kern w:val="0"/>
                <w:szCs w:val="21"/>
              </w:rPr>
            </w:pPr>
          </w:p>
        </w:tc>
        <w:tc>
          <w:tcPr>
            <w:tcW w:w="3544" w:type="dxa"/>
            <w:gridSpan w:val="2"/>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（七）总计</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trHeight w:val="119" w:hRule="atLeast"/>
          <w:jc w:val="center"/>
        </w:trPr>
        <w:tc>
          <w:tcPr>
            <w:tcW w:w="4112" w:type="dxa"/>
            <w:gridSpan w:val="3"/>
            <w:vAlign w:val="center"/>
          </w:tcPr>
          <w:p>
            <w:pPr>
              <w:widowControl/>
              <w:adjustRightInd w:val="0"/>
              <w:snapToGrid w:val="0"/>
              <w:spacing w:line="320" w:lineRule="exact"/>
              <w:jc w:val="left"/>
              <w:rPr>
                <w:rFonts w:ascii="微软雅黑" w:hAnsi="微软雅黑" w:eastAsia="微软雅黑" w:cs="Arial"/>
                <w:kern w:val="0"/>
                <w:szCs w:val="21"/>
              </w:rPr>
            </w:pPr>
            <w:r>
              <w:rPr>
                <w:rFonts w:hint="eastAsia" w:ascii="微软雅黑" w:hAnsi="微软雅黑" w:eastAsia="微软雅黑" w:cs="Arial"/>
                <w:kern w:val="0"/>
                <w:szCs w:val="21"/>
              </w:rPr>
              <w:t>四、结转下年度继续办理</w:t>
            </w:r>
          </w:p>
        </w:tc>
        <w:tc>
          <w:tcPr>
            <w:tcW w:w="892"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8"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709"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67" w:type="dxa"/>
            <w:vAlign w:val="center"/>
          </w:tcPr>
          <w:p>
            <w:pPr>
              <w:widowControl/>
              <w:adjustRightInd w:val="0"/>
              <w:snapToGrid w:val="0"/>
              <w:spacing w:line="32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bl>
    <w:p>
      <w:pPr>
        <w:widowControl/>
        <w:adjustRightInd w:val="0"/>
        <w:snapToGrid w:val="0"/>
        <w:spacing w:line="560" w:lineRule="exact"/>
        <w:ind w:firstLine="640" w:firstLineChars="200"/>
        <w:jc w:val="left"/>
        <w:rPr>
          <w:rFonts w:ascii="方正黑体_GBK" w:hAnsi="Arial" w:eastAsia="方正黑体_GBK" w:cs="Arial"/>
          <w:bCs/>
          <w:kern w:val="0"/>
          <w:sz w:val="32"/>
          <w:szCs w:val="32"/>
        </w:rPr>
      </w:pPr>
      <w:r>
        <w:rPr>
          <w:rFonts w:hint="eastAsia" w:ascii="方正黑体_GBK" w:hAnsi="Arial" w:eastAsia="方正黑体_GBK" w:cs="Arial"/>
          <w:bCs/>
          <w:kern w:val="0"/>
          <w:sz w:val="32"/>
          <w:szCs w:val="32"/>
        </w:rPr>
        <w:t>四、政府信息公开行政复议、行政诉讼情况</w:t>
      </w:r>
    </w:p>
    <w:tbl>
      <w:tblPr>
        <w:tblStyle w:val="5"/>
        <w:tblW w:w="897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75" w:type="dxa"/>
          <w:left w:w="150" w:type="dxa"/>
          <w:bottom w:w="75" w:type="dxa"/>
          <w:right w:w="150" w:type="dxa"/>
        </w:tblCellMar>
      </w:tblPr>
      <w:tblGrid>
        <w:gridCol w:w="598"/>
        <w:gridCol w:w="598"/>
        <w:gridCol w:w="598"/>
        <w:gridCol w:w="598"/>
        <w:gridCol w:w="598"/>
        <w:gridCol w:w="583"/>
        <w:gridCol w:w="583"/>
        <w:gridCol w:w="583"/>
        <w:gridCol w:w="583"/>
        <w:gridCol w:w="583"/>
        <w:gridCol w:w="613"/>
        <w:gridCol w:w="613"/>
        <w:gridCol w:w="613"/>
        <w:gridCol w:w="613"/>
        <w:gridCol w:w="61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985" w:type="dxa"/>
            <w:gridSpan w:val="5"/>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行政复议</w:t>
            </w:r>
          </w:p>
        </w:tc>
        <w:tc>
          <w:tcPr>
            <w:tcW w:w="5370" w:type="dxa"/>
            <w:gridSpan w:val="10"/>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行政诉讼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600" w:type="dxa"/>
            <w:vMerge w:val="restart"/>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结果维持</w:t>
            </w:r>
          </w:p>
        </w:tc>
        <w:tc>
          <w:tcPr>
            <w:tcW w:w="600" w:type="dxa"/>
            <w:vMerge w:val="restart"/>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结果纠正</w:t>
            </w:r>
          </w:p>
        </w:tc>
        <w:tc>
          <w:tcPr>
            <w:tcW w:w="600" w:type="dxa"/>
            <w:vMerge w:val="restart"/>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其他结果</w:t>
            </w:r>
          </w:p>
        </w:tc>
        <w:tc>
          <w:tcPr>
            <w:tcW w:w="600" w:type="dxa"/>
            <w:vMerge w:val="restart"/>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尚未审结</w:t>
            </w:r>
          </w:p>
        </w:tc>
        <w:tc>
          <w:tcPr>
            <w:tcW w:w="600" w:type="dxa"/>
            <w:vMerge w:val="restart"/>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总计</w:t>
            </w:r>
          </w:p>
        </w:tc>
        <w:tc>
          <w:tcPr>
            <w:tcW w:w="2925" w:type="dxa"/>
            <w:gridSpan w:val="5"/>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未经复议直接起诉</w:t>
            </w:r>
          </w:p>
        </w:tc>
        <w:tc>
          <w:tcPr>
            <w:tcW w:w="2445" w:type="dxa"/>
            <w:gridSpan w:val="5"/>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复议后起诉</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0" w:type="auto"/>
            <w:vMerge w:val="continue"/>
            <w:vAlign w:val="center"/>
          </w:tcPr>
          <w:p>
            <w:pPr>
              <w:widowControl/>
              <w:adjustRightInd w:val="0"/>
              <w:snapToGrid w:val="0"/>
              <w:spacing w:line="360" w:lineRule="exact"/>
              <w:jc w:val="left"/>
              <w:rPr>
                <w:rFonts w:ascii="微软雅黑" w:hAnsi="微软雅黑" w:eastAsia="微软雅黑" w:cs="Arial"/>
                <w:kern w:val="0"/>
                <w:szCs w:val="21"/>
              </w:rPr>
            </w:pPr>
          </w:p>
        </w:tc>
        <w:tc>
          <w:tcPr>
            <w:tcW w:w="0" w:type="auto"/>
            <w:vMerge w:val="continue"/>
            <w:vAlign w:val="center"/>
          </w:tcPr>
          <w:p>
            <w:pPr>
              <w:widowControl/>
              <w:adjustRightInd w:val="0"/>
              <w:snapToGrid w:val="0"/>
              <w:spacing w:line="360" w:lineRule="exact"/>
              <w:jc w:val="left"/>
              <w:rPr>
                <w:rFonts w:ascii="微软雅黑" w:hAnsi="微软雅黑" w:eastAsia="微软雅黑" w:cs="Arial"/>
                <w:kern w:val="0"/>
                <w:szCs w:val="21"/>
              </w:rPr>
            </w:pPr>
          </w:p>
        </w:tc>
        <w:tc>
          <w:tcPr>
            <w:tcW w:w="0" w:type="auto"/>
            <w:vMerge w:val="continue"/>
            <w:vAlign w:val="center"/>
          </w:tcPr>
          <w:p>
            <w:pPr>
              <w:widowControl/>
              <w:adjustRightInd w:val="0"/>
              <w:snapToGrid w:val="0"/>
              <w:spacing w:line="360" w:lineRule="exact"/>
              <w:jc w:val="left"/>
              <w:rPr>
                <w:rFonts w:ascii="微软雅黑" w:hAnsi="微软雅黑" w:eastAsia="微软雅黑" w:cs="Arial"/>
                <w:kern w:val="0"/>
                <w:szCs w:val="21"/>
              </w:rPr>
            </w:pPr>
          </w:p>
        </w:tc>
        <w:tc>
          <w:tcPr>
            <w:tcW w:w="0" w:type="auto"/>
            <w:vMerge w:val="continue"/>
            <w:vAlign w:val="center"/>
          </w:tcPr>
          <w:p>
            <w:pPr>
              <w:widowControl/>
              <w:adjustRightInd w:val="0"/>
              <w:snapToGrid w:val="0"/>
              <w:spacing w:line="360" w:lineRule="exact"/>
              <w:jc w:val="left"/>
              <w:rPr>
                <w:rFonts w:ascii="微软雅黑" w:hAnsi="微软雅黑" w:eastAsia="微软雅黑" w:cs="Arial"/>
                <w:kern w:val="0"/>
                <w:szCs w:val="21"/>
              </w:rPr>
            </w:pPr>
          </w:p>
        </w:tc>
        <w:tc>
          <w:tcPr>
            <w:tcW w:w="0" w:type="auto"/>
            <w:vMerge w:val="continue"/>
            <w:vAlign w:val="center"/>
          </w:tcPr>
          <w:p>
            <w:pPr>
              <w:widowControl/>
              <w:adjustRightInd w:val="0"/>
              <w:snapToGrid w:val="0"/>
              <w:spacing w:line="360" w:lineRule="exact"/>
              <w:jc w:val="left"/>
              <w:rPr>
                <w:rFonts w:ascii="微软雅黑" w:hAnsi="微软雅黑" w:eastAsia="微软雅黑" w:cs="Arial"/>
                <w:kern w:val="0"/>
                <w:szCs w:val="21"/>
              </w:rPr>
            </w:pP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结果维持</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结果纠正</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其他结果</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尚未审结</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总计</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结果维持</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结果纠正</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其他结果</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尚未审结</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总计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600"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00"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00"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00"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00"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8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8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8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8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58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1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1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1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1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c>
          <w:tcPr>
            <w:tcW w:w="615" w:type="dxa"/>
            <w:vAlign w:val="center"/>
          </w:tcPr>
          <w:p>
            <w:pPr>
              <w:widowControl/>
              <w:adjustRightInd w:val="0"/>
              <w:snapToGrid w:val="0"/>
              <w:spacing w:line="360" w:lineRule="exact"/>
              <w:jc w:val="center"/>
              <w:rPr>
                <w:rFonts w:ascii="微软雅黑" w:hAnsi="微软雅黑" w:eastAsia="微软雅黑" w:cs="Arial"/>
                <w:kern w:val="0"/>
                <w:szCs w:val="21"/>
              </w:rPr>
            </w:pPr>
            <w:r>
              <w:rPr>
                <w:rFonts w:hint="eastAsia" w:ascii="微软雅黑" w:hAnsi="微软雅黑" w:eastAsia="微软雅黑" w:cs="Arial"/>
                <w:kern w:val="0"/>
                <w:szCs w:val="21"/>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600" w:type="dxa"/>
            <w:vAlign w:val="center"/>
          </w:tcPr>
          <w:p>
            <w:pPr>
              <w:widowControl/>
              <w:adjustRightInd w:val="0"/>
              <w:snapToGrid w:val="0"/>
              <w:spacing w:line="360" w:lineRule="exact"/>
              <w:jc w:val="left"/>
              <w:rPr>
                <w:rFonts w:ascii="方正楷体_GBK" w:hAnsi="Arial" w:eastAsia="方正楷体_GBK" w:cs="Arial"/>
                <w:kern w:val="0"/>
                <w:sz w:val="24"/>
                <w:szCs w:val="24"/>
              </w:rPr>
            </w:pPr>
            <w:r>
              <w:rPr>
                <w:rFonts w:hint="eastAsia" w:ascii="Arial" w:hAnsi="Arial" w:eastAsia="方正楷体_GBK" w:cs="Arial"/>
                <w:kern w:val="0"/>
                <w:sz w:val="24"/>
                <w:szCs w:val="24"/>
              </w:rPr>
              <w:t> </w:t>
            </w:r>
          </w:p>
        </w:tc>
        <w:tc>
          <w:tcPr>
            <w:tcW w:w="600"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00"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00"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00"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58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c>
          <w:tcPr>
            <w:tcW w:w="615" w:type="dxa"/>
            <w:vAlign w:val="center"/>
          </w:tcPr>
          <w:p>
            <w:pPr>
              <w:widowControl/>
              <w:adjustRightInd w:val="0"/>
              <w:snapToGrid w:val="0"/>
              <w:spacing w:line="360" w:lineRule="exact"/>
              <w:jc w:val="left"/>
              <w:rPr>
                <w:rFonts w:ascii="微软雅黑" w:hAnsi="微软雅黑" w:eastAsia="微软雅黑" w:cs="Arial"/>
                <w:kern w:val="0"/>
                <w:szCs w:val="21"/>
              </w:rPr>
            </w:pPr>
            <w:r>
              <w:rPr>
                <w:rFonts w:hint="eastAsia" w:ascii="微软雅黑" w:hAnsi="微软雅黑" w:eastAsia="微软雅黑" w:cs="Arial"/>
                <w:kern w:val="0"/>
                <w:szCs w:val="21"/>
              </w:rPr>
              <w:t> </w:t>
            </w:r>
          </w:p>
        </w:tc>
      </w:tr>
    </w:tbl>
    <w:p>
      <w:pPr>
        <w:widowControl/>
        <w:adjustRightInd w:val="0"/>
        <w:snapToGrid w:val="0"/>
        <w:spacing w:line="560" w:lineRule="exact"/>
        <w:jc w:val="left"/>
        <w:rPr>
          <w:rFonts w:ascii="方正仿宋_GBK" w:hAnsi="Arial" w:eastAsia="方正仿宋_GBK" w:cs="Arial"/>
          <w:b/>
          <w:bCs/>
          <w:kern w:val="0"/>
          <w:sz w:val="24"/>
          <w:szCs w:val="24"/>
        </w:rPr>
      </w:pPr>
      <w:r>
        <w:rPr>
          <w:rFonts w:hint="eastAsia" w:ascii="方正仿宋_GBK" w:hAnsi="Arial" w:eastAsia="方正仿宋_GBK" w:cs="Arial"/>
          <w:kern w:val="0"/>
          <w:sz w:val="24"/>
          <w:szCs w:val="24"/>
        </w:rPr>
        <w:t>　</w:t>
      </w:r>
      <w:r>
        <w:rPr>
          <w:rFonts w:hint="eastAsia" w:ascii="方正黑体_GBK" w:hAnsi="Arial" w:eastAsia="方正黑体_GBK" w:cs="Arial"/>
          <w:bCs/>
          <w:kern w:val="0"/>
          <w:sz w:val="32"/>
          <w:szCs w:val="32"/>
        </w:rPr>
        <w:t>　五、存在的主要问题及改进情况</w:t>
      </w:r>
    </w:p>
    <w:p>
      <w:pPr>
        <w:widowControl/>
        <w:adjustRightInd w:val="0"/>
        <w:snapToGrid w:val="0"/>
        <w:spacing w:line="560" w:lineRule="exact"/>
        <w:ind w:firstLine="64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32"/>
          <w:szCs w:val="32"/>
        </w:rPr>
        <w:t>对照市、区要求自查整改，我乡在政府信息公开方面取得了一定进展，但还存在一定不足，主要表现在主动公开力度有待加强，信息更新速度有待提升。来年，我们将进一步强化意识、规范程序，不断提高服务意识，积极加强信息公开渠道的维护和管理，进一步加大信息公开力度，突出公开重点，加强督促检查，加快更新速度，及时让人民群众了解政府工作情况，接受群众监督。</w:t>
      </w:r>
    </w:p>
    <w:p>
      <w:pPr>
        <w:widowControl/>
        <w:adjustRightInd w:val="0"/>
        <w:snapToGrid w:val="0"/>
        <w:spacing w:line="560" w:lineRule="exact"/>
        <w:ind w:firstLine="640" w:firstLineChars="200"/>
        <w:jc w:val="left"/>
        <w:rPr>
          <w:rFonts w:ascii="方正仿宋_GBK" w:hAnsi="Arial" w:eastAsia="方正仿宋_GBK" w:cs="Arial"/>
          <w:kern w:val="0"/>
          <w:sz w:val="24"/>
          <w:szCs w:val="24"/>
        </w:rPr>
      </w:pPr>
      <w:r>
        <w:rPr>
          <w:rFonts w:hint="eastAsia" w:ascii="方正黑体_GBK" w:hAnsi="Arial" w:eastAsia="方正黑体_GBK" w:cs="Arial"/>
          <w:bCs/>
          <w:kern w:val="0"/>
          <w:sz w:val="32"/>
          <w:szCs w:val="32"/>
        </w:rPr>
        <w:t>六、其他需要报告的事项</w:t>
      </w:r>
    </w:p>
    <w:p>
      <w:pPr>
        <w:widowControl/>
        <w:adjustRightInd w:val="0"/>
        <w:snapToGrid w:val="0"/>
        <w:spacing w:line="560" w:lineRule="exact"/>
        <w:ind w:firstLine="64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32"/>
          <w:szCs w:val="32"/>
        </w:rPr>
        <w:t>本年度无其他需要报告的事项。 </w:t>
      </w:r>
      <w:r>
        <w:rPr>
          <w:rFonts w:hint="eastAsia" w:ascii="方正仿宋_GBK" w:hAnsi="Arial" w:eastAsia="方正仿宋_GBK" w:cs="Arial"/>
          <w:kern w:val="0"/>
          <w:sz w:val="24"/>
          <w:szCs w:val="24"/>
        </w:rPr>
        <w:br w:type="textWrapping"/>
      </w:r>
      <w:r>
        <w:rPr>
          <w:rFonts w:hint="eastAsia" w:ascii="Arial" w:hAnsi="Arial" w:eastAsia="方正仿宋_GBK" w:cs="Arial"/>
          <w:kern w:val="0"/>
          <w:sz w:val="24"/>
          <w:szCs w:val="24"/>
        </w:rPr>
        <w:t>  </w:t>
      </w:r>
      <w:r>
        <w:rPr>
          <w:rFonts w:hint="eastAsia" w:ascii="方正仿宋_GBK" w:hAnsi="Arial" w:eastAsia="方正仿宋_GBK" w:cs="Arial"/>
          <w:kern w:val="0"/>
          <w:sz w:val="24"/>
          <w:szCs w:val="24"/>
        </w:rPr>
        <w:br w:type="textWrapping"/>
      </w:r>
      <w:r>
        <w:rPr>
          <w:rFonts w:hint="eastAsia" w:ascii="Arial" w:hAnsi="Arial" w:eastAsia="方正仿宋_GBK" w:cs="Arial"/>
          <w:kern w:val="0"/>
          <w:sz w:val="24"/>
          <w:szCs w:val="24"/>
        </w:rPr>
        <w:t>  </w:t>
      </w:r>
      <w:r>
        <w:rPr>
          <w:rFonts w:hint="eastAsia" w:ascii="方正仿宋_GBK" w:hAnsi="Arial" w:eastAsia="方正仿宋_GBK" w:cs="Arial"/>
          <w:kern w:val="0"/>
          <w:sz w:val="24"/>
          <w:szCs w:val="24"/>
        </w:rPr>
        <w:br w:type="textWrapping"/>
      </w:r>
      <w:r>
        <w:rPr>
          <w:rFonts w:hint="eastAsia" w:ascii="Arial" w:hAnsi="Arial" w:eastAsia="方正仿宋_GBK" w:cs="Arial"/>
          <w:kern w:val="0"/>
          <w:sz w:val="24"/>
          <w:szCs w:val="24"/>
        </w:rPr>
        <w:t> </w:t>
      </w: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yYTZmN2UzYzgwMTZiNTQ5OTk0ZmI1MDJmNWI5MjYifQ=="/>
  </w:docVars>
  <w:rsids>
    <w:rsidRoot w:val="003F4223"/>
    <w:rsid w:val="000329B3"/>
    <w:rsid w:val="000C6119"/>
    <w:rsid w:val="0023450D"/>
    <w:rsid w:val="00251DFE"/>
    <w:rsid w:val="002F09DA"/>
    <w:rsid w:val="003C6F28"/>
    <w:rsid w:val="003F4223"/>
    <w:rsid w:val="003F5EAD"/>
    <w:rsid w:val="00561E27"/>
    <w:rsid w:val="006524B9"/>
    <w:rsid w:val="006F06C8"/>
    <w:rsid w:val="009C76EF"/>
    <w:rsid w:val="00A37FC2"/>
    <w:rsid w:val="00A7487A"/>
    <w:rsid w:val="00A75293"/>
    <w:rsid w:val="00B36CAD"/>
    <w:rsid w:val="00BB26FA"/>
    <w:rsid w:val="00BB2913"/>
    <w:rsid w:val="00BF0190"/>
    <w:rsid w:val="00C0574A"/>
    <w:rsid w:val="00C172C4"/>
    <w:rsid w:val="00C817CF"/>
    <w:rsid w:val="00EB0EFF"/>
    <w:rsid w:val="00F644D8"/>
    <w:rsid w:val="284D5230"/>
    <w:rsid w:val="335A1C29"/>
    <w:rsid w:val="34833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line="360" w:lineRule="atLeast"/>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1796</Words>
  <Characters>1872</Characters>
  <Lines>16</Lines>
  <Paragraphs>4</Paragraphs>
  <TotalTime>62</TotalTime>
  <ScaleCrop>false</ScaleCrop>
  <LinksUpToDate>false</LinksUpToDate>
  <CharactersWithSpaces>1897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2020-12-28T11:38:00Z</dcterms:created>
  <dc:creator>陈金波</dc:creator>
  <cp:lastModifiedBy>...</cp:lastModifiedBy>
  <dcterms:modified xsi:type="dcterms:W3CDTF">2023-02-27T08:23:14Z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CB1512279AAD4480AA60E9073B3FDA08</vt:lpwstr>
  </property>
</Properties>
</file>