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BD" w:rsidRDefault="00B14ABD" w:rsidP="00410887">
      <w:pPr>
        <w:wordWrap w:val="0"/>
        <w:spacing w:line="480" w:lineRule="exact"/>
        <w:jc w:val="right"/>
        <w:rPr>
          <w:rFonts w:ascii="方正仿宋_GBK" w:eastAsia="方正仿宋_GBK"/>
          <w:color w:val="FF0000"/>
          <w:spacing w:val="20"/>
          <w:w w:val="40"/>
        </w:rPr>
      </w:pPr>
    </w:p>
    <w:p w:rsidR="00410887" w:rsidRPr="00610FE9" w:rsidRDefault="00410887" w:rsidP="00410887">
      <w:pPr>
        <w:tabs>
          <w:tab w:val="left" w:pos="8690"/>
        </w:tabs>
        <w:spacing w:line="1180" w:lineRule="exact"/>
        <w:jc w:val="center"/>
        <w:rPr>
          <w:rFonts w:ascii="方正小标宋_GBK" w:eastAsia="方正小标宋_GBK"/>
          <w:b/>
          <w:bCs/>
          <w:color w:val="FF0000"/>
          <w:spacing w:val="-20"/>
          <w:w w:val="55"/>
          <w:sz w:val="108"/>
          <w:szCs w:val="108"/>
        </w:rPr>
      </w:pPr>
      <w:r w:rsidRPr="00610FE9">
        <w:rPr>
          <w:rFonts w:ascii="方正小标宋_GBK" w:eastAsia="方正小标宋_GBK" w:hint="eastAsia"/>
          <w:b/>
          <w:bCs/>
          <w:color w:val="FF0000"/>
          <w:spacing w:val="-20"/>
          <w:w w:val="55"/>
          <w:sz w:val="108"/>
          <w:szCs w:val="108"/>
        </w:rPr>
        <w:t>重庆市涪陵区珍溪镇人民政府文件</w:t>
      </w:r>
    </w:p>
    <w:p w:rsidR="00B14ABD" w:rsidRDefault="00B14ABD" w:rsidP="00410887">
      <w:pPr>
        <w:spacing w:line="480" w:lineRule="exact"/>
        <w:jc w:val="right"/>
        <w:rPr>
          <w:rFonts w:ascii="方正仿宋_GBK" w:eastAsia="方正仿宋_GBK"/>
          <w:color w:val="FF0000"/>
          <w:spacing w:val="20"/>
          <w:w w:val="40"/>
        </w:rPr>
      </w:pPr>
    </w:p>
    <w:p w:rsidR="00B14ABD" w:rsidRDefault="00B14ABD">
      <w:pPr>
        <w:spacing w:line="440" w:lineRule="exact"/>
      </w:pPr>
    </w:p>
    <w:p w:rsidR="00410887" w:rsidRDefault="00B14ABD" w:rsidP="00410887">
      <w:pPr>
        <w:spacing w:line="440" w:lineRule="exact"/>
        <w:jc w:val="center"/>
      </w:pPr>
      <w:r>
        <w:rPr>
          <w:rFonts w:ascii="仿宋_GB2312" w:eastAsia="仿宋_GB2312" w:hint="eastAsia"/>
        </w:rPr>
        <w:t xml:space="preserve">　</w:t>
      </w:r>
      <w:r w:rsidR="00410887" w:rsidRPr="00410887">
        <w:rPr>
          <w:rFonts w:ascii="方正仿宋_GBK" w:eastAsia="方正仿宋_GBK" w:cs="仿宋_GB2312" w:hint="eastAsia"/>
          <w:szCs w:val="24"/>
        </w:rPr>
        <w:t>珍溪府发〔202</w:t>
      </w:r>
      <w:r w:rsidR="00B03E9D">
        <w:rPr>
          <w:rFonts w:ascii="方正仿宋_GBK" w:eastAsia="方正仿宋_GBK" w:cs="仿宋_GB2312" w:hint="eastAsia"/>
          <w:szCs w:val="24"/>
        </w:rPr>
        <w:t>3</w:t>
      </w:r>
      <w:r w:rsidR="00410887" w:rsidRPr="00410887">
        <w:rPr>
          <w:rFonts w:ascii="方正仿宋_GBK" w:eastAsia="方正仿宋_GBK" w:cs="仿宋_GB2312" w:hint="eastAsia"/>
          <w:szCs w:val="24"/>
        </w:rPr>
        <w:t>〕</w:t>
      </w:r>
      <w:r w:rsidR="00DA7887">
        <w:rPr>
          <w:rFonts w:ascii="方正仿宋_GBK" w:eastAsia="方正仿宋_GBK" w:cs="仿宋_GB2312" w:hint="eastAsia"/>
          <w:szCs w:val="24"/>
        </w:rPr>
        <w:t>71</w:t>
      </w:r>
      <w:r w:rsidR="00410887" w:rsidRPr="00410887">
        <w:rPr>
          <w:rFonts w:ascii="方正仿宋_GBK" w:eastAsia="方正仿宋_GBK" w:cs="仿宋_GB2312" w:hint="eastAsia"/>
          <w:szCs w:val="24"/>
        </w:rPr>
        <w:t>号</w:t>
      </w:r>
      <w:r w:rsidR="00410887" w:rsidRPr="000327CB">
        <w:rPr>
          <w:rFonts w:ascii="方正楷体_GBK" w:eastAsia="方正楷体_GBK" w:hint="eastAsia"/>
        </w:rPr>
        <w:t xml:space="preserve">  </w:t>
      </w:r>
    </w:p>
    <w:p w:rsidR="00410887" w:rsidRPr="0072081D" w:rsidRDefault="000B0F18" w:rsidP="00410887">
      <w:pPr>
        <w:jc w:val="center"/>
        <w:rPr>
          <w:rFonts w:ascii="方正仿宋_GBK"/>
        </w:rPr>
      </w:pPr>
      <w:r w:rsidRPr="000B0F18">
        <w:pict>
          <v:line id="_x0000_s1029" style="position:absolute;left:0;text-align:left;z-index:251657728" from="0,6.6pt" to="442.2pt,6.6pt" strokecolor="red" strokeweight="2.25pt">
            <w10:wrap type="square"/>
          </v:line>
        </w:pict>
      </w:r>
    </w:p>
    <w:p w:rsidR="00410887" w:rsidRPr="0072081D" w:rsidRDefault="00410887" w:rsidP="00410887">
      <w:pPr>
        <w:pStyle w:val="a6"/>
        <w:jc w:val="center"/>
        <w:rPr>
          <w:rFonts w:ascii="方正仿宋_GBK" w:eastAsia="方正仿宋_GBK"/>
        </w:rPr>
      </w:pPr>
    </w:p>
    <w:p w:rsidR="00B14ABD" w:rsidRDefault="00B14ABD" w:rsidP="00421E82">
      <w:pPr>
        <w:spacing w:line="600" w:lineRule="exact"/>
        <w:jc w:val="center"/>
        <w:rPr>
          <w:rFonts w:ascii="方正小标宋_GBK" w:eastAsia="方正小标宋_GBK" w:cs="方正小标宋简体"/>
          <w:b/>
          <w:bCs/>
          <w:sz w:val="44"/>
          <w:szCs w:val="44"/>
        </w:rPr>
      </w:pPr>
      <w:r>
        <w:rPr>
          <w:rFonts w:ascii="方正小标宋_GBK" w:eastAsia="方正小标宋_GBK" w:cs="方正小标宋简体" w:hint="eastAsia"/>
          <w:b/>
          <w:bCs/>
          <w:sz w:val="44"/>
          <w:szCs w:val="44"/>
        </w:rPr>
        <w:t>重庆市涪陵区珍溪镇人民政府</w:t>
      </w:r>
    </w:p>
    <w:p w:rsidR="00DA7887" w:rsidRDefault="00DA7887" w:rsidP="00DA7887">
      <w:pPr>
        <w:spacing w:line="600" w:lineRule="exact"/>
        <w:jc w:val="center"/>
        <w:rPr>
          <w:rFonts w:ascii="方正小标宋_GBK" w:eastAsia="方正小标宋_GBK" w:hAnsi="方正粗黑宋简体" w:cs="方正粗黑宋简体"/>
          <w:b/>
          <w:sz w:val="44"/>
          <w:szCs w:val="44"/>
        </w:rPr>
      </w:pPr>
      <w:r>
        <w:rPr>
          <w:rFonts w:ascii="方正小标宋_GBK" w:eastAsia="方正小标宋_GBK" w:cs="宋体" w:hint="eastAsia"/>
          <w:b/>
          <w:sz w:val="44"/>
          <w:szCs w:val="44"/>
        </w:rPr>
        <w:t>关于</w:t>
      </w:r>
      <w:r>
        <w:rPr>
          <w:rFonts w:ascii="方正小标宋_GBK" w:eastAsia="方正小标宋_GBK" w:hAnsi="方正粗黑宋简体" w:cs="方正粗黑宋简体" w:hint="eastAsia"/>
          <w:b/>
          <w:sz w:val="44"/>
          <w:szCs w:val="44"/>
        </w:rPr>
        <w:t>印发2023年高层建筑用电用气安全</w:t>
      </w:r>
    </w:p>
    <w:p w:rsidR="00DA7887" w:rsidRDefault="00DA7887" w:rsidP="00DA7887">
      <w:pPr>
        <w:spacing w:line="600" w:lineRule="exact"/>
        <w:jc w:val="center"/>
        <w:rPr>
          <w:rFonts w:ascii="方正小标宋_GBK" w:eastAsia="方正小标宋_GBK" w:hAnsi="方正粗黑宋简体" w:cs="方正粗黑宋简体"/>
          <w:b/>
          <w:sz w:val="44"/>
          <w:szCs w:val="44"/>
        </w:rPr>
      </w:pPr>
      <w:r>
        <w:rPr>
          <w:rFonts w:ascii="方正小标宋_GBK" w:eastAsia="方正小标宋_GBK" w:hAnsi="方正粗黑宋简体" w:cs="方正粗黑宋简体" w:hint="eastAsia"/>
          <w:b/>
          <w:sz w:val="44"/>
          <w:szCs w:val="44"/>
        </w:rPr>
        <w:t>“除险清患”专项行动实施方案的通知</w:t>
      </w:r>
    </w:p>
    <w:p w:rsidR="00DA7887" w:rsidRDefault="00DA7887" w:rsidP="00DA7887">
      <w:pPr>
        <w:spacing w:line="520" w:lineRule="exact"/>
        <w:rPr>
          <w:rFonts w:ascii="方正仿宋_GBK" w:eastAsia="方正仿宋_GBK" w:hAnsi="仿宋_GB2312" w:cs="仿宋_GB2312"/>
        </w:rPr>
      </w:pPr>
    </w:p>
    <w:p w:rsidR="00DA7887" w:rsidRDefault="00DA7887" w:rsidP="00DA7887">
      <w:pPr>
        <w:spacing w:line="560" w:lineRule="exact"/>
        <w:rPr>
          <w:rFonts w:ascii="方正仿宋_GBK" w:eastAsia="方正仿宋_GBK" w:hAnsi="仿宋_GB2312" w:cs="仿宋_GB2312"/>
        </w:rPr>
      </w:pPr>
      <w:r>
        <w:rPr>
          <w:rFonts w:ascii="方正仿宋_GBK" w:eastAsia="方正仿宋_GBK" w:hAnsi="仿宋_GB2312" w:cs="仿宋_GB2312" w:hint="eastAsia"/>
        </w:rPr>
        <w:t>镇辖各村居、各部门、各企业：</w:t>
      </w:r>
    </w:p>
    <w:p w:rsidR="00DA7887" w:rsidRDefault="00DA7887" w:rsidP="00DA7887">
      <w:pPr>
        <w:spacing w:line="560" w:lineRule="exact"/>
        <w:ind w:firstLineChars="200" w:firstLine="630"/>
        <w:rPr>
          <w:rFonts w:ascii="方正仿宋_GBK" w:eastAsia="方正仿宋_GBK" w:hAnsi="仿宋_GB2312" w:cs="仿宋_GB2312"/>
        </w:rPr>
      </w:pPr>
      <w:r>
        <w:rPr>
          <w:rFonts w:ascii="方正仿宋_GBK" w:eastAsia="方正仿宋_GBK" w:hAnsi="仿宋_GB2312" w:cs="仿宋_GB2312" w:hint="eastAsia"/>
        </w:rPr>
        <w:t>为巩固深化全镇用电用气安全整治成效,防范化解用电用气安全重大风险隐患，持续提升用电用气安全水平，按照市政府高层建筑消防安全“除险清患”专项行动有关部署，结合我镇实际，制订本方案。</w:t>
      </w:r>
    </w:p>
    <w:p w:rsidR="00DA7887" w:rsidRDefault="00DA7887" w:rsidP="00DA7887">
      <w:pPr>
        <w:spacing w:line="560" w:lineRule="exact"/>
        <w:ind w:firstLineChars="200" w:firstLine="630"/>
        <w:rPr>
          <w:rFonts w:ascii="方正黑体_GBK" w:eastAsia="方正黑体_GBK" w:hAnsi="仿宋_GB2312" w:cs="仿宋_GB2312"/>
        </w:rPr>
      </w:pPr>
      <w:r>
        <w:rPr>
          <w:rFonts w:ascii="方正黑体_GBK" w:eastAsia="方正黑体_GBK" w:hAnsi="仿宋_GB2312" w:cs="仿宋_GB2312" w:hint="eastAsia"/>
        </w:rPr>
        <w:t>一、总体要求</w:t>
      </w:r>
    </w:p>
    <w:p w:rsidR="00DA7887" w:rsidRDefault="00DA7887" w:rsidP="00DA7887">
      <w:pPr>
        <w:spacing w:line="560" w:lineRule="exact"/>
        <w:ind w:firstLineChars="200" w:firstLine="630"/>
        <w:rPr>
          <w:rFonts w:ascii="方正仿宋_GBK" w:eastAsia="方正仿宋_GBK" w:hAnsi="仿宋_GB2312" w:cs="仿宋_GB2312"/>
        </w:rPr>
      </w:pPr>
      <w:r>
        <w:rPr>
          <w:rFonts w:ascii="方正仿宋_GBK" w:eastAsia="方正仿宋_GBK" w:hAnsi="仿宋_GB2312" w:cs="仿宋_GB2312" w:hint="eastAsia"/>
        </w:rPr>
        <w:t>以习近平新时代中国特色社会主义思想为指导，深入学习贯</w:t>
      </w:r>
    </w:p>
    <w:p w:rsidR="00DA7887" w:rsidRDefault="00DA7887" w:rsidP="00DA7887">
      <w:pPr>
        <w:spacing w:line="560" w:lineRule="exact"/>
        <w:rPr>
          <w:rFonts w:ascii="方正仿宋_GBK" w:eastAsia="方正仿宋_GBK" w:hAnsi="仿宋_GB2312" w:cs="仿宋_GB2312"/>
        </w:rPr>
      </w:pPr>
      <w:r>
        <w:rPr>
          <w:rFonts w:ascii="方正仿宋_GBK" w:eastAsia="方正仿宋_GBK" w:hAnsi="仿宋_GB2312" w:cs="仿宋_GB2312" w:hint="eastAsia"/>
        </w:rPr>
        <w:t>彻党的二十大精神，按照市委、市政府文件精神和区经信委工作要求，聚焦高层建筑用电用气安全重点对象和主要风险点，全面开展排查整治和综合治理，坚决遏制较大及以上生产安全事故，</w:t>
      </w:r>
      <w:r>
        <w:rPr>
          <w:rFonts w:ascii="方正仿宋_GBK" w:eastAsia="方正仿宋_GBK" w:hAnsi="仿宋_GB2312" w:cs="仿宋_GB2312" w:hint="eastAsia"/>
        </w:rPr>
        <w:lastRenderedPageBreak/>
        <w:t>为新时代新征程新重庆建设营造稳定的社会环境。</w:t>
      </w:r>
    </w:p>
    <w:p w:rsidR="00DA7887" w:rsidRDefault="00DA7887" w:rsidP="00DA7887">
      <w:pPr>
        <w:spacing w:line="560" w:lineRule="exact"/>
        <w:ind w:firstLineChars="200" w:firstLine="630"/>
        <w:rPr>
          <w:rFonts w:ascii="方正黑体_GBK" w:eastAsia="方正黑体_GBK" w:hAnsi="仿宋_GB2312" w:cs="仿宋_GB2312"/>
        </w:rPr>
      </w:pPr>
      <w:r>
        <w:rPr>
          <w:rFonts w:ascii="方正黑体_GBK" w:eastAsia="方正黑体_GBK" w:hAnsi="仿宋_GB2312" w:cs="仿宋_GB2312" w:hint="eastAsia"/>
        </w:rPr>
        <w:t>二、整治范围及内容</w:t>
      </w:r>
    </w:p>
    <w:p w:rsidR="00DA7887" w:rsidRDefault="00DA7887" w:rsidP="00DA7887">
      <w:pPr>
        <w:spacing w:line="560" w:lineRule="exact"/>
        <w:ind w:firstLineChars="200" w:firstLine="630"/>
        <w:rPr>
          <w:rFonts w:ascii="方正仿宋_GBK" w:eastAsia="方正仿宋_GBK" w:hAnsi="仿宋_GB2312" w:cs="仿宋_GB2312"/>
        </w:rPr>
      </w:pPr>
      <w:r>
        <w:rPr>
          <w:rFonts w:ascii="方正仿宋_GBK" w:eastAsia="方正仿宋_GBK" w:hAnsi="仿宋_GB2312" w:cs="仿宋_GB2312" w:hint="eastAsia"/>
        </w:rPr>
        <w:t>此次整治范围为全镇9栋高层建筑，主要整治内容为电、气线路私拉乱接、电缆井内电气线路敷设不规范，防火封堵被破坏，电动自行车在楼道内停放充电;燃气管道、设施、用具敷设安装使用不规范,违规使用瓶装液化气等情形。</w:t>
      </w:r>
    </w:p>
    <w:p w:rsidR="00DA7887" w:rsidRDefault="00DA7887" w:rsidP="00DA7887">
      <w:pPr>
        <w:spacing w:line="560" w:lineRule="exact"/>
        <w:ind w:firstLineChars="200" w:firstLine="630"/>
        <w:rPr>
          <w:rFonts w:ascii="方正黑体_GBK" w:eastAsia="方正黑体_GBK" w:hAnsi="仿宋_GB2312" w:cs="仿宋_GB2312"/>
        </w:rPr>
      </w:pPr>
      <w:r>
        <w:rPr>
          <w:rFonts w:ascii="方正黑体_GBK" w:eastAsia="方正黑体_GBK" w:hAnsi="仿宋_GB2312" w:cs="仿宋_GB2312" w:hint="eastAsia"/>
        </w:rPr>
        <w:t>三、整治重点</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（一）楼栋转换层、架空层、设备层等空间。</w:t>
      </w:r>
      <w:r>
        <w:rPr>
          <w:rFonts w:ascii="方正仿宋_GBK" w:eastAsia="方正仿宋_GBK" w:hAnsi="仿宋_GB2312" w:cs="仿宋_GB2312" w:hint="eastAsia"/>
        </w:rPr>
        <w:t>用电方面重点排查整治电气线路敷设不规范。用气方面重点排查整治燃气管道设施老化锈蚀，转换层使用燃气用具，改变转换层用途造成燃气管道穿越卧室、卫生间，违规包裹、圈围燃气管道设施，违规使用、储存液化石油气。</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（二）地下室、半地下室、车库、庭院等空间。</w:t>
      </w:r>
      <w:r>
        <w:rPr>
          <w:rFonts w:ascii="方正仿宋_GBK" w:eastAsia="方正仿宋_GBK" w:hAnsi="仿宋_GB2312" w:cs="仿宋_GB2312" w:hint="eastAsia"/>
        </w:rPr>
        <w:t>用电方面重点排查整治私拉乱接电线，超负荷使用大功率电气设备。用气方面重点排查整治违规改造圈围燃气管道设施，未规范安装使用可燃气体泄漏报警装置，未规范安装使用机械送排风装置,违规包裹、圈围燃气管道设施，排水管道、化粪池、电力线路、发电设备与燃气管道间距不足。</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（三）楼道、大厅等空间。</w:t>
      </w:r>
      <w:r>
        <w:rPr>
          <w:rFonts w:ascii="方正仿宋_GBK" w:eastAsia="方正仿宋_GBK" w:hAnsi="仿宋_GB2312" w:cs="仿宋_GB2312" w:hint="eastAsia"/>
        </w:rPr>
        <w:t>用电方面重点排查整治违规私拉乱接，电缆井内电气线路敷设不规范，防火封堵不规范。用气方面重点排查整治燃气管道设施老化锈蚀,未规范安装使用可燃气体泄漏报警装置，未规范安装使用机械送排风装置。</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lastRenderedPageBreak/>
        <w:t>（四）单位用户。</w:t>
      </w:r>
      <w:r>
        <w:rPr>
          <w:rFonts w:ascii="方正仿宋_GBK" w:eastAsia="方正仿宋_GBK" w:hAnsi="仿宋_GB2312" w:cs="仿宋_GB2312" w:hint="eastAsia"/>
        </w:rPr>
        <w:t>用电方面重点排查整治高层建筑内教培、餐饮、商超等单位用户超负荷使用大功率电气设备，电气设备附近堆放易燃物品，外露电线绝缘层老化、破损。用气方面.重点排查整治高层建筑内教培、餐饮、商超等用户燃气灶、热水器等燃气用具安装不规范或超期使用，私拉乱接燃气管道，未安装或停用可燃气体泄漏报警装置，可燃气体泄漏报警装置信号未接入消防控制系统，管道气和液化石油气混用，二楼及以上楼层违规使用液化石油气。</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（五）居民用户。</w:t>
      </w:r>
      <w:r>
        <w:rPr>
          <w:rFonts w:ascii="方正仿宋_GBK" w:eastAsia="方正仿宋_GBK" w:hAnsi="仿宋_GB2312" w:cs="仿宋_GB2312" w:hint="eastAsia"/>
        </w:rPr>
        <w:t>用电方面重点排查整治居民用户、群租房超负荷使用大功率电器，电取暖设备附近堆放易燃物品，外露电线绝缘层老化、破损。用气方面重点排查整治居民用户、群租房私拉乱接燃气管道,燃气灶、热水器等燃气用具无产品合格证书、安装不规范或超期使用，燃气灶具无熄火保护装置,表后管道非燃气专用管道或超期使用，户内立管和表具老化锈蚀，二楼及以上楼层违规使用液化石油气。</w:t>
      </w:r>
    </w:p>
    <w:p w:rsidR="00DA7887" w:rsidRDefault="00DA7887" w:rsidP="00DA7887">
      <w:pPr>
        <w:spacing w:line="560" w:lineRule="exact"/>
        <w:ind w:firstLineChars="200" w:firstLine="630"/>
        <w:rPr>
          <w:rFonts w:ascii="方正黑体_GBK" w:eastAsia="方正黑体_GBK" w:hAnsi="仿宋_GB2312" w:cs="仿宋_GB2312"/>
        </w:rPr>
      </w:pPr>
      <w:r>
        <w:rPr>
          <w:rFonts w:ascii="方正黑体_GBK" w:eastAsia="方正黑体_GBK" w:hAnsi="仿宋_GB2312" w:cs="仿宋_GB2312" w:hint="eastAsia"/>
        </w:rPr>
        <w:t>四、整治方式</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（一）用户自查。</w:t>
      </w:r>
      <w:r>
        <w:rPr>
          <w:rFonts w:ascii="方正仿宋_GBK" w:eastAsia="方正仿宋_GBK" w:hAnsi="仿宋_GB2312" w:cs="仿宋_GB2312" w:hint="eastAsia"/>
        </w:rPr>
        <w:t>属地社区组织工作人员对辖区高层建筑物业管理单位对楼栋转换层、架空层、地下室、半地下室、车库、庭院等公共空间开展自查;组织高层建筑内餐饮、教培、医疗、商超、仓储等单位用户对用电用气设施开展自查。自查情况录入“一楼一档”清单(模板见附件1)。</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（二）专业检查。</w:t>
      </w:r>
      <w:r>
        <w:rPr>
          <w:rFonts w:ascii="方正仿宋_GBK" w:eastAsia="方正仿宋_GBK" w:hAnsi="仿宋_GB2312" w:cs="仿宋_GB2312" w:hint="eastAsia"/>
        </w:rPr>
        <w:t>产业办组织相关部门、辖区消防、供电企</w:t>
      </w:r>
      <w:r>
        <w:rPr>
          <w:rFonts w:ascii="方正仿宋_GBK" w:eastAsia="方正仿宋_GBK" w:hAnsi="仿宋_GB2312" w:cs="仿宋_GB2312" w:hint="eastAsia"/>
        </w:rPr>
        <w:lastRenderedPageBreak/>
        <w:t>业、燃气企业对高层建筑责任范围内设施，以及楼栋转换层、架空层、地下室、半地下室、车库、充电设施、庭院等公共空间开展检查;组织燃气企业对两年未实质入户居民用户、入户检查存在隐患的用户开展入户检查;组织物业管理单位、供电企业专业人员对居民用户户内用电安全开展指导;组织供电企业、燃气企业对餐饮、教培、医疗、商超、仓储等单位用户开展入户检查。专业检查情况录入“一楼一档”清单。</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（三）隐患整治。</w:t>
      </w:r>
      <w:r>
        <w:rPr>
          <w:rFonts w:ascii="方正仿宋_GBK" w:eastAsia="方正仿宋_GBK" w:hAnsi="仿宋_GB2312" w:cs="仿宋_GB2312" w:hint="eastAsia"/>
        </w:rPr>
        <w:t>燃气、电力部门综合用户自查、专业检查情况，录入“一楼一策”隐患整治清单，并根据权属和管理责任落实整治责任。其中，楼栋转换层、架空层、地下室、半地下室、车库、庭院等公共空间发现隐患，由供电企业、燃气经营企业、物业管理单位、用户等按权属和管理责任负责整改。单位用户负责权属和管理责任范围内隐患整改。居民用户产权隐患由用户负责整改。产业办、辖区消防负责隐患整改督促指导。</w:t>
      </w:r>
    </w:p>
    <w:p w:rsidR="00DA7887" w:rsidRDefault="00DA7887" w:rsidP="00DA7887">
      <w:pPr>
        <w:spacing w:line="560" w:lineRule="exact"/>
        <w:ind w:firstLineChars="200" w:firstLine="630"/>
        <w:rPr>
          <w:rFonts w:ascii="方正黑体_GBK" w:eastAsia="方正黑体_GBK" w:hAnsi="仿宋_GB2312" w:cs="仿宋_GB2312"/>
        </w:rPr>
      </w:pPr>
      <w:r>
        <w:rPr>
          <w:rFonts w:ascii="方正黑体_GBK" w:eastAsia="方正黑体_GBK" w:hAnsi="仿宋_GB2312" w:cs="仿宋_GB2312" w:hint="eastAsia"/>
        </w:rPr>
        <w:t>五、时间安排及主要任务</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（一）制订工作方案</w:t>
      </w:r>
      <w:r>
        <w:rPr>
          <w:rFonts w:ascii="方正楷体_GBK" w:eastAsia="方正楷体_GBK" w:hAnsi="仿宋_GB2312" w:cs="仿宋_GB2312" w:hint="eastAsia"/>
        </w:rPr>
        <w:t>（</w:t>
      </w:r>
      <w:r w:rsidRPr="00DA7887">
        <w:rPr>
          <w:rFonts w:ascii="方正楷体_GBK" w:eastAsia="方正楷体_GBK" w:hAnsi="仿宋_GB2312" w:cs="仿宋_GB2312" w:hint="eastAsia"/>
        </w:rPr>
        <w:t>2023年4月底</w:t>
      </w:r>
      <w:r>
        <w:rPr>
          <w:rFonts w:ascii="方正楷体_GBK" w:eastAsia="方正楷体_GBK" w:hAnsi="仿宋_GB2312" w:cs="仿宋_GB2312" w:hint="eastAsia"/>
        </w:rPr>
        <w:t>）</w:t>
      </w:r>
      <w:r w:rsidRPr="00DA7887">
        <w:rPr>
          <w:rFonts w:ascii="方正楷体_GBK" w:eastAsia="方正楷体_GBK" w:hAnsi="仿宋_GB2312" w:cs="仿宋_GB2312" w:hint="eastAsia"/>
        </w:rPr>
        <w:t>。</w:t>
      </w:r>
      <w:r>
        <w:rPr>
          <w:rFonts w:ascii="方正仿宋_GBK" w:eastAsia="方正仿宋_GBK" w:hAnsi="仿宋_GB2312" w:cs="仿宋_GB2312" w:hint="eastAsia"/>
        </w:rPr>
        <w:t>镇产业办组织制订高层建筑消防安全“除险清患”专项行动用电用气安全方案，细化工作目标任务，明确相关部门、企业及用户排查整治、监督管理等责任。</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（二）全面排查整治（2023年5月底）。</w:t>
      </w:r>
      <w:r>
        <w:rPr>
          <w:rFonts w:ascii="方正仿宋_GBK" w:eastAsia="方正仿宋_GBK" w:hAnsi="仿宋_GB2312" w:cs="仿宋_GB2312" w:hint="eastAsia"/>
        </w:rPr>
        <w:t>镇产业办组织相关行业管理部门和物业管理单位、单位用户自查和供电企业、燃气经营企业排查检查，建立高层建筑用电用气安全“一楼一档”。对</w:t>
      </w:r>
      <w:r>
        <w:rPr>
          <w:rFonts w:ascii="方正仿宋_GBK" w:eastAsia="方正仿宋_GBK" w:hAnsi="仿宋_GB2312" w:cs="仿宋_GB2312" w:hint="eastAsia"/>
        </w:rPr>
        <w:lastRenderedPageBreak/>
        <w:t>排查出的风险隐患，统筹老旧小区改造、燃气管道老化更新改造、居民用户安全装置加装等政策，明确整改责任、整改措施、整改时限、整改资金，建立隐患整治“一楼一策”清单。</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（三）综合治理攻坚（2023年11月底）。</w:t>
      </w:r>
      <w:r>
        <w:rPr>
          <w:rFonts w:ascii="方正仿宋_GBK" w:eastAsia="方正仿宋_GBK" w:hAnsi="仿宋_GB2312" w:cs="仿宋_GB2312" w:hint="eastAsia"/>
        </w:rPr>
        <w:t>镇产业办统筹推进老旧小区改造、燃气管道老化更新改造、居民用户燃气安全装置加装、燃气管道和安全装置数字化改造、高层建筑用电用气安全整治等工作，落实各责任主体工作责任，对照隐患整治“一楼一策”清单实施综合治理。</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（四）验收巩固提升（2023年12月底）。</w:t>
      </w:r>
      <w:r>
        <w:rPr>
          <w:rFonts w:ascii="方正仿宋_GBK" w:eastAsia="方正仿宋_GBK" w:hAnsi="仿宋_GB2312" w:cs="仿宋_GB2312" w:hint="eastAsia"/>
        </w:rPr>
        <w:t>镇产业办组织有关单位和部门、供电企业、燃气经营企业对照隐患整治“一楼一策”清单验收，验收不合格的加大督办力度，限期完成。将排查整治中建立的好机制、好办法、好措施，总结提炼形成长效措施，着力解决入户检查难、隐患整改难、监测预警难等问题。</w:t>
      </w:r>
    </w:p>
    <w:p w:rsidR="00DA7887" w:rsidRDefault="00DA7887" w:rsidP="00DA7887">
      <w:pPr>
        <w:spacing w:line="560" w:lineRule="exact"/>
        <w:ind w:firstLineChars="200" w:firstLine="630"/>
        <w:rPr>
          <w:rFonts w:ascii="方正黑体_GBK" w:eastAsia="方正黑体_GBK" w:hAnsi="仿宋_GB2312" w:cs="仿宋_GB2312"/>
        </w:rPr>
      </w:pPr>
      <w:r>
        <w:rPr>
          <w:rFonts w:ascii="方正黑体_GBK" w:eastAsia="方正黑体_GBK" w:hAnsi="仿宋_GB2312" w:cs="仿宋_GB2312" w:hint="eastAsia"/>
        </w:rPr>
        <w:t>六、工作措施</w:t>
      </w:r>
    </w:p>
    <w:p w:rsidR="00DA7887" w:rsidRDefault="00DA7887" w:rsidP="00DA7887">
      <w:pPr>
        <w:spacing w:line="560" w:lineRule="exact"/>
        <w:ind w:firstLineChars="200" w:firstLine="630"/>
        <w:jc w:val="left"/>
        <w:rPr>
          <w:rFonts w:ascii="方正仿宋_GBK" w:eastAsia="方正仿宋_GBK" w:hAnsi="仿宋_GB2312" w:cs="仿宋_GB2312"/>
        </w:rPr>
      </w:pPr>
      <w:r w:rsidRPr="00DA7887">
        <w:rPr>
          <w:rFonts w:ascii="方正楷体_GBK" w:eastAsia="方正楷体_GBK" w:hAnsi="仿宋_GB2312" w:cs="仿宋_GB2312" w:hint="eastAsia"/>
        </w:rPr>
        <w:t>（一）开展宣传教育。</w:t>
      </w:r>
      <w:r>
        <w:rPr>
          <w:rFonts w:ascii="方正仿宋_GBK" w:eastAsia="方正仿宋_GBK" w:hAnsi="仿宋_GB2312" w:cs="仿宋_GB2312" w:hint="eastAsia"/>
        </w:rPr>
        <w:t>辖区供电企业、 燃气经营企业要加强用电用气产品选用、设施设备维护保养、</w:t>
      </w:r>
      <w:r w:rsidR="00760FE5">
        <w:rPr>
          <w:rFonts w:ascii="方正仿宋_GBK" w:eastAsia="方正仿宋_GBK" w:hAnsi="仿宋_GB2312" w:cs="仿宋_GB2312" w:hint="eastAsia"/>
        </w:rPr>
        <w:t>隐患</w:t>
      </w:r>
      <w:r>
        <w:rPr>
          <w:rFonts w:ascii="方正仿宋_GBK" w:eastAsia="方正仿宋_GBK" w:hAnsi="仿宋_GB2312" w:cs="仿宋_GB2312" w:hint="eastAsia"/>
        </w:rPr>
        <w:t>排查整治等知识,以及相关法规的宣传,提高物业管理单位、单位用户、居民用户风险隐患识别能力和整改隐患自觉性，形成整治合力。</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（二）建立工作机制。</w:t>
      </w:r>
      <w:r>
        <w:rPr>
          <w:rFonts w:ascii="方正仿宋_GBK" w:eastAsia="方正仿宋_GBK" w:hAnsi="仿宋_GB2312" w:cs="仿宋_GB2312" w:hint="eastAsia"/>
        </w:rPr>
        <w:t>镇辖各物业管理单位、单位用户、供电企业、燃气经营企业建立完善排查检查工作机制。对无物业管理企业的居民小区，属地社区工作负责组织人员自查、排查、建档、整治、验收的统筹协调。</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lastRenderedPageBreak/>
        <w:t>（三）推进综合治理。</w:t>
      </w:r>
      <w:r>
        <w:rPr>
          <w:rFonts w:ascii="方正仿宋_GBK" w:eastAsia="方正仿宋_GBK" w:hAnsi="仿宋_GB2312" w:cs="仿宋_GB2312" w:hint="eastAsia"/>
        </w:rPr>
        <w:t>对排查发现的风险隐患，镇辖供电企业、燃气经营企业、整改责任主体，综合考虑整改任务大小、风险大小、整改难易程度、整改责任主体等因素，结合老旧小区改造、城市燃气管道老化更新改造、燃气安全装置加装等任务,注重发挥供电企业、燃气经营企业以及有关行业协会、第三方机构的专业优势，整体制订整改方案，实施综合治理。</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（四）提升技防水平。</w:t>
      </w:r>
      <w:r>
        <w:rPr>
          <w:rFonts w:ascii="方正仿宋_GBK" w:eastAsia="方正仿宋_GBK" w:hAnsi="仿宋_GB2312" w:cs="仿宋_GB2312" w:hint="eastAsia"/>
        </w:rPr>
        <w:t>镇辖供电企业、燃气经营企业要研究推进措施，在老旧高层建筑推广安装漏电保护装置,在其他高层建筑全面完成漏电保护装置，规范高层建筑建设集中充电设施;加快推进老旧小区、生活困难群众安全装置加装，加大智能安全装置推广力度。推进用电用气安全装置信号接入小区消防控制系统和安全管理信息平台。</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（五）严格执法监管。</w:t>
      </w:r>
      <w:r>
        <w:rPr>
          <w:rFonts w:ascii="方正仿宋_GBK" w:eastAsia="方正仿宋_GBK" w:hAnsi="仿宋_GB2312" w:cs="仿宋_GB2312" w:hint="eastAsia"/>
        </w:rPr>
        <w:t>镇辖产业办要督相关部门和企业加强信息互通，严肃查处违反《中华人民共和国安全生产法》《中华人民共和国消防法》《中华人民共和国治安管理处罚法》《城镇燃气管理条例》等法律法规的行为。</w:t>
      </w:r>
    </w:p>
    <w:p w:rsidR="00DA7887" w:rsidRDefault="00DA7887" w:rsidP="00DA7887">
      <w:pPr>
        <w:spacing w:line="560" w:lineRule="exact"/>
        <w:ind w:firstLineChars="200" w:firstLine="630"/>
        <w:rPr>
          <w:rFonts w:ascii="方正黑体_GBK" w:eastAsia="方正黑体_GBK" w:hAnsi="仿宋_GB2312" w:cs="仿宋_GB2312"/>
        </w:rPr>
      </w:pPr>
      <w:r>
        <w:rPr>
          <w:rFonts w:ascii="方正黑体_GBK" w:eastAsia="方正黑体_GBK" w:hAnsi="仿宋_GB2312" w:cs="仿宋_GB2312" w:hint="eastAsia"/>
        </w:rPr>
        <w:t>七、保障措施</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（一）加强组织领导。</w:t>
      </w:r>
      <w:r>
        <w:rPr>
          <w:rFonts w:ascii="方正仿宋_GBK" w:eastAsia="方正仿宋_GBK" w:hAnsi="仿宋_GB2312" w:cs="仿宋_GB2312" w:hint="eastAsia"/>
        </w:rPr>
        <w:t>根据市级高层建筑用电用气安全“除险清患实行“市级指导、区县总责、镇街组织、主体落实”文件精神。成立以镇长刘彩虹为组长，人大副主席杨华为副组长，产业办、镇消防队、电力企业、燃气企业、社区居委会为成员单位的工作领导小组，</w:t>
      </w:r>
      <w:bookmarkStart w:id="0" w:name="_GoBack"/>
      <w:bookmarkEnd w:id="0"/>
      <w:r>
        <w:rPr>
          <w:rFonts w:ascii="方正仿宋_GBK" w:eastAsia="方正仿宋_GBK" w:hAnsi="仿宋_GB2312" w:cs="仿宋_GB2312" w:hint="eastAsia"/>
        </w:rPr>
        <w:t>统筹推进高层建筑用电用气安全“除险清患”</w:t>
      </w:r>
      <w:r>
        <w:rPr>
          <w:rFonts w:ascii="方正仿宋_GBK" w:eastAsia="方正仿宋_GBK" w:hAnsi="仿宋_GB2312" w:cs="仿宋_GB2312" w:hint="eastAsia"/>
        </w:rPr>
        <w:lastRenderedPageBreak/>
        <w:t>专项行动的落实，领导小组办公室设在产业办，由产业办工作人员负责日常事务。</w:t>
      </w:r>
    </w:p>
    <w:p w:rsidR="00DA7887" w:rsidRDefault="00DA7887" w:rsidP="00DA7887">
      <w:pPr>
        <w:spacing w:line="560" w:lineRule="exact"/>
        <w:ind w:firstLineChars="200" w:firstLine="630"/>
        <w:rPr>
          <w:rFonts w:ascii="方正仿宋_GBK" w:eastAsia="方正仿宋_GBK" w:hAnsi="仿宋_GB2312" w:cs="仿宋_GB2312"/>
        </w:rPr>
      </w:pPr>
      <w:r w:rsidRPr="00DA7887">
        <w:rPr>
          <w:rFonts w:ascii="方正楷体_GBK" w:eastAsia="方正楷体_GBK" w:hAnsi="仿宋_GB2312" w:cs="仿宋_GB2312" w:hint="eastAsia"/>
        </w:rPr>
        <w:t>（二）强化统筹调度。</w:t>
      </w:r>
      <w:r>
        <w:rPr>
          <w:rFonts w:ascii="方正仿宋_GBK" w:eastAsia="方正仿宋_GBK" w:hAnsi="仿宋_GB2312" w:cs="仿宋_GB2312" w:hint="eastAsia"/>
        </w:rPr>
        <w:t>镇辖产业办建立调度机制，定期对各企业和相关部门推进情况进行汇总、分析、研判，及时研究解决问题，对进度慢、效果差的要加强督办，并将开展情况适时向区级部门加强信息报送。</w:t>
      </w:r>
    </w:p>
    <w:p w:rsidR="00DA7887" w:rsidRDefault="00DA7887" w:rsidP="00DA7887">
      <w:pPr>
        <w:spacing w:line="560" w:lineRule="exact"/>
        <w:ind w:firstLineChars="200" w:firstLine="630"/>
        <w:rPr>
          <w:rFonts w:ascii="方正仿宋_GBK" w:eastAsia="方正仿宋_GBK" w:hAnsi="仿宋_GB2312" w:cs="仿宋_GB2312"/>
        </w:rPr>
      </w:pPr>
    </w:p>
    <w:p w:rsidR="00DA7887" w:rsidRDefault="00DA7887" w:rsidP="00DA7887">
      <w:pPr>
        <w:spacing w:line="560" w:lineRule="exact"/>
        <w:ind w:firstLineChars="200" w:firstLine="630"/>
        <w:rPr>
          <w:rFonts w:ascii="方正仿宋_GBK" w:eastAsia="方正仿宋_GBK" w:hAnsi="仿宋_GB2312" w:cs="仿宋_GB2312"/>
        </w:rPr>
      </w:pPr>
      <w:r>
        <w:rPr>
          <w:rFonts w:ascii="方正仿宋_GBK" w:eastAsia="方正仿宋_GBK" w:hAnsi="仿宋_GB2312" w:cs="仿宋_GB2312" w:hint="eastAsia"/>
        </w:rPr>
        <w:t>附件: 1.高层建筑用电用气“除险清患”“一楼一档”模板</w:t>
      </w:r>
    </w:p>
    <w:p w:rsidR="00DA7887" w:rsidRDefault="00DA7887" w:rsidP="00DA7887">
      <w:pPr>
        <w:spacing w:line="560" w:lineRule="exact"/>
        <w:ind w:firstLineChars="444" w:firstLine="1399"/>
        <w:rPr>
          <w:rFonts w:ascii="方正仿宋_GBK" w:eastAsia="方正仿宋_GBK" w:hAnsi="仿宋_GB2312" w:cs="仿宋_GB2312"/>
        </w:rPr>
      </w:pPr>
      <w:r>
        <w:rPr>
          <w:rFonts w:ascii="方正仿宋_GBK" w:eastAsia="方正仿宋_GBK" w:hAnsi="仿宋_GB2312" w:cs="仿宋_GB2312" w:hint="eastAsia"/>
        </w:rPr>
        <w:t>2.高层建筑用电用气“除险清患”“一楼一策”模板</w:t>
      </w:r>
    </w:p>
    <w:p w:rsidR="00DA7887" w:rsidRDefault="00DA7887" w:rsidP="00DA7887">
      <w:pPr>
        <w:pStyle w:val="HTML"/>
        <w:widowControl/>
        <w:spacing w:line="600" w:lineRule="exact"/>
        <w:jc w:val="center"/>
        <w:rPr>
          <w:rFonts w:ascii="方正仿宋_GBK" w:eastAsia="方正仿宋_GBK" w:hAnsi="仿宋_GB2312" w:cs="仿宋_GB2312"/>
          <w:kern w:val="2"/>
          <w:sz w:val="32"/>
          <w:szCs w:val="32"/>
        </w:rPr>
      </w:pPr>
      <w:r>
        <w:rPr>
          <w:rFonts w:ascii="方正仿宋_GBK" w:eastAsia="方正仿宋_GBK" w:hint="eastAsia"/>
        </w:rPr>
        <w:t xml:space="preserve">                  </w:t>
      </w:r>
      <w:r>
        <w:rPr>
          <w:rFonts w:ascii="方正仿宋_GBK" w:eastAsia="方正仿宋_GBK" w:hAnsi="仿宋_GB2312" w:cs="仿宋_GB2312" w:hint="eastAsia"/>
          <w:kern w:val="2"/>
          <w:sz w:val="32"/>
          <w:szCs w:val="32"/>
        </w:rPr>
        <w:t xml:space="preserve"> </w:t>
      </w:r>
    </w:p>
    <w:p w:rsidR="00DA7887" w:rsidRDefault="00DA7887" w:rsidP="00DA7887">
      <w:pPr>
        <w:pStyle w:val="HTML"/>
        <w:widowControl/>
        <w:spacing w:line="600" w:lineRule="exact"/>
        <w:jc w:val="center"/>
        <w:rPr>
          <w:rFonts w:ascii="方正仿宋_GBK" w:eastAsia="方正仿宋_GBK" w:hAnsi="仿宋_GB2312" w:cs="仿宋_GB2312"/>
          <w:kern w:val="2"/>
          <w:sz w:val="32"/>
          <w:szCs w:val="32"/>
        </w:rPr>
      </w:pPr>
    </w:p>
    <w:p w:rsidR="00DA7887" w:rsidRDefault="00DA7887" w:rsidP="00DA7887">
      <w:pPr>
        <w:pStyle w:val="HTML"/>
        <w:widowControl/>
        <w:spacing w:line="600" w:lineRule="exact"/>
        <w:jc w:val="center"/>
        <w:rPr>
          <w:rFonts w:ascii="方正仿宋_GBK" w:eastAsia="方正仿宋_GBK" w:hAnsi="仿宋_GB2312" w:cs="仿宋_GB2312"/>
          <w:kern w:val="2"/>
          <w:sz w:val="32"/>
          <w:szCs w:val="32"/>
        </w:rPr>
      </w:pPr>
    </w:p>
    <w:p w:rsidR="00DA7887" w:rsidRDefault="00DA7887" w:rsidP="00DA7887">
      <w:pPr>
        <w:pStyle w:val="HTML"/>
        <w:widowControl/>
        <w:spacing w:line="600" w:lineRule="exact"/>
        <w:jc w:val="center"/>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 xml:space="preserve">                   重庆市涪陵区珍溪镇人民政府</w:t>
      </w:r>
    </w:p>
    <w:p w:rsidR="00DA7887" w:rsidRPr="0084444D" w:rsidRDefault="00DA7887" w:rsidP="0084444D">
      <w:pPr>
        <w:spacing w:line="560" w:lineRule="exact"/>
        <w:ind w:firstLineChars="1568" w:firstLine="4939"/>
        <w:rPr>
          <w:rFonts w:ascii="方正仿宋_GBK" w:eastAsia="方正仿宋_GBK" w:hAnsi="仿宋_GB2312" w:cs="仿宋_GB2312"/>
        </w:rPr>
      </w:pPr>
      <w:r>
        <w:rPr>
          <w:rFonts w:ascii="方正仿宋_GBK" w:eastAsia="方正仿宋_GBK" w:hAnsi="仿宋_GB2312" w:cs="仿宋_GB2312" w:hint="eastAsia"/>
        </w:rPr>
        <w:t>2023年4月28日</w:t>
      </w:r>
    </w:p>
    <w:p w:rsidR="00DA7887" w:rsidRDefault="00DA7887" w:rsidP="00DA7887">
      <w:pPr>
        <w:spacing w:line="520" w:lineRule="exact"/>
        <w:ind w:firstLineChars="196" w:firstLine="617"/>
        <w:rPr>
          <w:rFonts w:ascii="方正仿宋_GBK" w:eastAsia="方正仿宋_GBK"/>
        </w:rPr>
      </w:pPr>
      <w:r>
        <w:rPr>
          <w:rFonts w:ascii="方正仿宋_GBK" w:eastAsia="方正仿宋_GBK" w:hint="eastAsia"/>
        </w:rPr>
        <w:t>（此件公开发布）</w:t>
      </w:r>
    </w:p>
    <w:p w:rsidR="00DA7887" w:rsidRDefault="00DA7887" w:rsidP="00DA7887">
      <w:pPr>
        <w:spacing w:line="520" w:lineRule="exact"/>
        <w:rPr>
          <w:rFonts w:ascii="方正仿宋_GBK" w:eastAsia="方正仿宋_GBK"/>
        </w:rPr>
        <w:sectPr w:rsidR="00DA7887">
          <w:headerReference w:type="default" r:id="rId8"/>
          <w:footerReference w:type="even" r:id="rId9"/>
          <w:footerReference w:type="default" r:id="rId10"/>
          <w:pgSz w:w="11906" w:h="16838"/>
          <w:pgMar w:top="2098" w:right="1474" w:bottom="1985" w:left="1588" w:header="0" w:footer="1134" w:gutter="0"/>
          <w:pgNumType w:fmt="numberInDash"/>
          <w:cols w:space="720"/>
          <w:docGrid w:type="linesAndChars" w:linePitch="579" w:charSpace="-1024"/>
        </w:sectPr>
      </w:pPr>
    </w:p>
    <w:p w:rsidR="00DA7887" w:rsidRPr="00FE7E8C" w:rsidRDefault="00DA7887" w:rsidP="00DA7887">
      <w:pPr>
        <w:spacing w:line="400" w:lineRule="exact"/>
        <w:rPr>
          <w:rFonts w:ascii="方正黑体_GBK" w:eastAsia="方正黑体_GBK"/>
          <w:sz w:val="30"/>
          <w:szCs w:val="30"/>
        </w:rPr>
      </w:pPr>
      <w:r w:rsidRPr="00FE7E8C">
        <w:rPr>
          <w:rFonts w:ascii="方正黑体_GBK" w:eastAsia="方正黑体_GBK" w:hint="eastAsia"/>
          <w:sz w:val="30"/>
          <w:szCs w:val="30"/>
        </w:rPr>
        <w:lastRenderedPageBreak/>
        <w:t>附件1</w:t>
      </w:r>
    </w:p>
    <w:p w:rsidR="00DA7887" w:rsidRPr="003B520B" w:rsidRDefault="00DA7887" w:rsidP="00DA7887">
      <w:pPr>
        <w:spacing w:line="500" w:lineRule="exact"/>
        <w:jc w:val="center"/>
        <w:rPr>
          <w:sz w:val="36"/>
          <w:szCs w:val="36"/>
        </w:rPr>
      </w:pPr>
      <w:r w:rsidRPr="003B520B">
        <w:rPr>
          <w:rFonts w:hint="eastAsia"/>
          <w:sz w:val="36"/>
          <w:szCs w:val="36"/>
        </w:rPr>
        <w:t>高层建筑用电用气“除险清患”“一楼一档”模版</w:t>
      </w:r>
    </w:p>
    <w:p w:rsidR="00DA7887" w:rsidRPr="003B520B" w:rsidRDefault="00DA7887" w:rsidP="00DA7887">
      <w:pPr>
        <w:spacing w:line="400" w:lineRule="exact"/>
        <w:rPr>
          <w:sz w:val="24"/>
          <w:szCs w:val="24"/>
          <w:u w:val="single"/>
        </w:rPr>
      </w:pPr>
      <w:r w:rsidRPr="003B520B">
        <w:rPr>
          <w:rFonts w:hint="eastAsia"/>
          <w:sz w:val="24"/>
          <w:szCs w:val="24"/>
        </w:rPr>
        <w:t>建筑名称：</w:t>
      </w:r>
      <w:r w:rsidRPr="003B520B">
        <w:rPr>
          <w:rFonts w:hint="eastAsia"/>
          <w:sz w:val="24"/>
          <w:szCs w:val="24"/>
        </w:rPr>
        <w:t xml:space="preserve">                                         </w:t>
      </w:r>
      <w:r>
        <w:rPr>
          <w:rFonts w:hint="eastAsia"/>
          <w:sz w:val="24"/>
          <w:szCs w:val="24"/>
        </w:rPr>
        <w:t xml:space="preserve">   </w:t>
      </w:r>
      <w:r w:rsidRPr="003B520B">
        <w:rPr>
          <w:rFonts w:hint="eastAsia"/>
          <w:sz w:val="24"/>
          <w:szCs w:val="24"/>
        </w:rPr>
        <w:t>建筑地址：</w:t>
      </w:r>
    </w:p>
    <w:p w:rsidR="00DA7887" w:rsidRPr="003B520B" w:rsidRDefault="00DA7887" w:rsidP="00DA7887">
      <w:pPr>
        <w:spacing w:line="400" w:lineRule="exact"/>
        <w:rPr>
          <w:sz w:val="24"/>
          <w:szCs w:val="24"/>
        </w:rPr>
      </w:pPr>
      <w:r w:rsidRPr="003B520B">
        <w:rPr>
          <w:rFonts w:hint="eastAsia"/>
          <w:sz w:val="24"/>
          <w:szCs w:val="24"/>
        </w:rPr>
        <w:t>注：建筑名称、地址与高层建筑信息采集系统保持一致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6"/>
        <w:gridCol w:w="1200"/>
        <w:gridCol w:w="1426"/>
        <w:gridCol w:w="1621"/>
        <w:gridCol w:w="1622"/>
        <w:gridCol w:w="1622"/>
        <w:gridCol w:w="1622"/>
        <w:gridCol w:w="1622"/>
      </w:tblGrid>
      <w:tr w:rsidR="00DA7887" w:rsidRPr="003B520B" w:rsidTr="00DE5822">
        <w:trPr>
          <w:trHeight w:val="527"/>
          <w:jc w:val="center"/>
        </w:trPr>
        <w:tc>
          <w:tcPr>
            <w:tcW w:w="2236" w:type="dxa"/>
            <w:vMerge w:val="restart"/>
            <w:vAlign w:val="center"/>
          </w:tcPr>
          <w:p w:rsidR="00DA7887" w:rsidRPr="003B520B" w:rsidRDefault="00DA7887" w:rsidP="00DE5822">
            <w:pPr>
              <w:jc w:val="center"/>
              <w:rPr>
                <w:sz w:val="24"/>
                <w:szCs w:val="24"/>
                <w:u w:val="single"/>
              </w:rPr>
            </w:pPr>
            <w:r w:rsidRPr="003B520B">
              <w:rPr>
                <w:rFonts w:hint="eastAsia"/>
                <w:sz w:val="24"/>
                <w:szCs w:val="24"/>
              </w:rPr>
              <w:t>对象</w:t>
            </w:r>
          </w:p>
        </w:tc>
        <w:tc>
          <w:tcPr>
            <w:tcW w:w="2626" w:type="dxa"/>
            <w:gridSpan w:val="2"/>
            <w:vAlign w:val="center"/>
          </w:tcPr>
          <w:p w:rsidR="00DA7887" w:rsidRPr="003B520B" w:rsidRDefault="00DA7887" w:rsidP="00DE5822">
            <w:pPr>
              <w:jc w:val="center"/>
              <w:rPr>
                <w:sz w:val="24"/>
                <w:szCs w:val="24"/>
                <w:u w:val="single"/>
              </w:rPr>
            </w:pPr>
            <w:r w:rsidRPr="003B520B">
              <w:rPr>
                <w:rFonts w:hint="eastAsia"/>
                <w:sz w:val="24"/>
                <w:szCs w:val="24"/>
              </w:rPr>
              <w:t>用户自查</w:t>
            </w:r>
          </w:p>
        </w:tc>
        <w:tc>
          <w:tcPr>
            <w:tcW w:w="3243" w:type="dxa"/>
            <w:gridSpan w:val="2"/>
            <w:vAlign w:val="center"/>
          </w:tcPr>
          <w:p w:rsidR="00DA7887" w:rsidRPr="003B520B" w:rsidRDefault="00DA7887" w:rsidP="00DE5822">
            <w:pPr>
              <w:jc w:val="center"/>
              <w:rPr>
                <w:sz w:val="24"/>
                <w:szCs w:val="24"/>
              </w:rPr>
            </w:pPr>
            <w:r w:rsidRPr="003B520B">
              <w:rPr>
                <w:rFonts w:hint="eastAsia"/>
                <w:sz w:val="24"/>
                <w:szCs w:val="24"/>
              </w:rPr>
              <w:t>燃气经营企业专业检查</w:t>
            </w:r>
          </w:p>
        </w:tc>
        <w:tc>
          <w:tcPr>
            <w:tcW w:w="3244" w:type="dxa"/>
            <w:gridSpan w:val="2"/>
            <w:vAlign w:val="center"/>
          </w:tcPr>
          <w:p w:rsidR="00DA7887" w:rsidRPr="003B520B" w:rsidRDefault="00DA7887" w:rsidP="00DE5822">
            <w:pPr>
              <w:jc w:val="center"/>
              <w:rPr>
                <w:sz w:val="24"/>
                <w:szCs w:val="24"/>
              </w:rPr>
            </w:pPr>
            <w:r w:rsidRPr="003B520B">
              <w:rPr>
                <w:rFonts w:hint="eastAsia"/>
                <w:sz w:val="24"/>
                <w:szCs w:val="24"/>
              </w:rPr>
              <w:t>电力企业专业检查</w:t>
            </w:r>
          </w:p>
        </w:tc>
        <w:tc>
          <w:tcPr>
            <w:tcW w:w="1622" w:type="dxa"/>
            <w:vMerge w:val="restart"/>
            <w:vAlign w:val="center"/>
          </w:tcPr>
          <w:p w:rsidR="00DA7887" w:rsidRPr="003B520B" w:rsidRDefault="00DA7887" w:rsidP="00DE5822">
            <w:pPr>
              <w:jc w:val="center"/>
              <w:rPr>
                <w:sz w:val="24"/>
                <w:szCs w:val="24"/>
                <w:u w:val="single"/>
              </w:rPr>
            </w:pPr>
            <w:r w:rsidRPr="003B520B">
              <w:rPr>
                <w:rFonts w:hint="eastAsia"/>
                <w:sz w:val="24"/>
                <w:szCs w:val="24"/>
              </w:rPr>
              <w:t>确认隐患数</w:t>
            </w:r>
          </w:p>
        </w:tc>
      </w:tr>
      <w:tr w:rsidR="00DA7887" w:rsidRPr="003B520B" w:rsidTr="00DE5822">
        <w:trPr>
          <w:jc w:val="center"/>
        </w:trPr>
        <w:tc>
          <w:tcPr>
            <w:tcW w:w="2236" w:type="dxa"/>
            <w:vMerge/>
            <w:vAlign w:val="center"/>
          </w:tcPr>
          <w:p w:rsidR="00DA7887" w:rsidRPr="003B520B" w:rsidRDefault="00DA7887" w:rsidP="00DE5822">
            <w:pPr>
              <w:jc w:val="center"/>
              <w:rPr>
                <w:sz w:val="24"/>
                <w:szCs w:val="24"/>
                <w:u w:val="single"/>
              </w:rPr>
            </w:pPr>
          </w:p>
        </w:tc>
        <w:tc>
          <w:tcPr>
            <w:tcW w:w="1200" w:type="dxa"/>
            <w:vAlign w:val="center"/>
          </w:tcPr>
          <w:p w:rsidR="00DA7887" w:rsidRPr="003B520B" w:rsidRDefault="00DA7887" w:rsidP="00DE5822">
            <w:pPr>
              <w:jc w:val="center"/>
              <w:rPr>
                <w:sz w:val="24"/>
                <w:szCs w:val="24"/>
                <w:u w:val="single"/>
              </w:rPr>
            </w:pPr>
            <w:r w:rsidRPr="003B520B">
              <w:rPr>
                <w:rFonts w:hint="eastAsia"/>
                <w:sz w:val="24"/>
                <w:szCs w:val="24"/>
              </w:rPr>
              <w:t>检查时间</w:t>
            </w:r>
          </w:p>
        </w:tc>
        <w:tc>
          <w:tcPr>
            <w:tcW w:w="1426" w:type="dxa"/>
            <w:vAlign w:val="center"/>
          </w:tcPr>
          <w:p w:rsidR="00DA7887" w:rsidRPr="003B520B" w:rsidRDefault="00DA7887" w:rsidP="00DE5822">
            <w:pPr>
              <w:jc w:val="center"/>
              <w:rPr>
                <w:sz w:val="24"/>
                <w:szCs w:val="24"/>
                <w:u w:val="single"/>
              </w:rPr>
            </w:pPr>
            <w:r w:rsidRPr="003B520B">
              <w:rPr>
                <w:rFonts w:hint="eastAsia"/>
                <w:sz w:val="24"/>
                <w:szCs w:val="24"/>
              </w:rPr>
              <w:t>参加人员</w:t>
            </w:r>
          </w:p>
        </w:tc>
        <w:tc>
          <w:tcPr>
            <w:tcW w:w="1621" w:type="dxa"/>
            <w:vAlign w:val="center"/>
          </w:tcPr>
          <w:p w:rsidR="00DA7887" w:rsidRPr="003B520B" w:rsidRDefault="00DA7887" w:rsidP="00DE5822">
            <w:pPr>
              <w:jc w:val="center"/>
              <w:rPr>
                <w:sz w:val="24"/>
                <w:szCs w:val="24"/>
              </w:rPr>
            </w:pPr>
            <w:r w:rsidRPr="003B520B">
              <w:rPr>
                <w:rFonts w:hint="eastAsia"/>
                <w:sz w:val="24"/>
                <w:szCs w:val="24"/>
              </w:rPr>
              <w:t>检查时间</w:t>
            </w:r>
          </w:p>
        </w:tc>
        <w:tc>
          <w:tcPr>
            <w:tcW w:w="1622" w:type="dxa"/>
            <w:vAlign w:val="center"/>
          </w:tcPr>
          <w:p w:rsidR="00DA7887" w:rsidRPr="003B520B" w:rsidRDefault="00DA7887" w:rsidP="00DE5822">
            <w:pPr>
              <w:jc w:val="center"/>
              <w:rPr>
                <w:sz w:val="24"/>
                <w:szCs w:val="24"/>
              </w:rPr>
            </w:pPr>
            <w:r w:rsidRPr="003B520B">
              <w:rPr>
                <w:rFonts w:hint="eastAsia"/>
                <w:sz w:val="24"/>
                <w:szCs w:val="24"/>
              </w:rPr>
              <w:t>检查人员</w:t>
            </w:r>
          </w:p>
        </w:tc>
        <w:tc>
          <w:tcPr>
            <w:tcW w:w="1622" w:type="dxa"/>
            <w:vAlign w:val="center"/>
          </w:tcPr>
          <w:p w:rsidR="00DA7887" w:rsidRPr="003B520B" w:rsidRDefault="00DA7887" w:rsidP="00DE5822">
            <w:pPr>
              <w:jc w:val="center"/>
              <w:rPr>
                <w:sz w:val="24"/>
                <w:szCs w:val="24"/>
              </w:rPr>
            </w:pPr>
            <w:r w:rsidRPr="003B520B">
              <w:rPr>
                <w:rFonts w:hint="eastAsia"/>
                <w:sz w:val="24"/>
                <w:szCs w:val="24"/>
              </w:rPr>
              <w:t>检查时间</w:t>
            </w:r>
          </w:p>
        </w:tc>
        <w:tc>
          <w:tcPr>
            <w:tcW w:w="1622" w:type="dxa"/>
            <w:vAlign w:val="center"/>
          </w:tcPr>
          <w:p w:rsidR="00DA7887" w:rsidRPr="003B520B" w:rsidRDefault="00DA7887" w:rsidP="00DE5822">
            <w:pPr>
              <w:jc w:val="center"/>
              <w:rPr>
                <w:sz w:val="24"/>
                <w:szCs w:val="24"/>
              </w:rPr>
            </w:pPr>
            <w:r w:rsidRPr="003B520B">
              <w:rPr>
                <w:rFonts w:hint="eastAsia"/>
                <w:sz w:val="24"/>
                <w:szCs w:val="24"/>
              </w:rPr>
              <w:t>检查人员</w:t>
            </w:r>
          </w:p>
        </w:tc>
        <w:tc>
          <w:tcPr>
            <w:tcW w:w="1622" w:type="dxa"/>
            <w:vMerge/>
            <w:vAlign w:val="center"/>
          </w:tcPr>
          <w:p w:rsidR="00DA7887" w:rsidRPr="003B520B" w:rsidRDefault="00DA7887" w:rsidP="00DE5822">
            <w:pPr>
              <w:jc w:val="center"/>
              <w:rPr>
                <w:sz w:val="24"/>
                <w:szCs w:val="24"/>
                <w:u w:val="single"/>
              </w:rPr>
            </w:pPr>
          </w:p>
        </w:tc>
      </w:tr>
      <w:tr w:rsidR="00DA7887" w:rsidRPr="003B520B" w:rsidTr="00DE5822">
        <w:trPr>
          <w:jc w:val="center"/>
        </w:trPr>
        <w:tc>
          <w:tcPr>
            <w:tcW w:w="2236" w:type="dxa"/>
            <w:vAlign w:val="center"/>
          </w:tcPr>
          <w:p w:rsidR="00DA7887" w:rsidRPr="003B520B" w:rsidRDefault="00DA7887" w:rsidP="00DE5822">
            <w:pPr>
              <w:spacing w:line="440" w:lineRule="exact"/>
              <w:jc w:val="center"/>
              <w:rPr>
                <w:sz w:val="24"/>
                <w:szCs w:val="24"/>
              </w:rPr>
            </w:pPr>
            <w:r w:rsidRPr="003B520B">
              <w:rPr>
                <w:rFonts w:hint="eastAsia"/>
                <w:sz w:val="24"/>
                <w:szCs w:val="24"/>
              </w:rPr>
              <w:t>楼栋转换层、架空层、设备层等空间</w:t>
            </w:r>
          </w:p>
        </w:tc>
        <w:tc>
          <w:tcPr>
            <w:tcW w:w="1200" w:type="dxa"/>
            <w:vAlign w:val="center"/>
          </w:tcPr>
          <w:p w:rsidR="00DA7887" w:rsidRPr="003B520B" w:rsidRDefault="00DA7887" w:rsidP="00DE5822">
            <w:pPr>
              <w:spacing w:line="440" w:lineRule="exact"/>
              <w:jc w:val="center"/>
              <w:rPr>
                <w:sz w:val="24"/>
                <w:szCs w:val="24"/>
              </w:rPr>
            </w:pPr>
          </w:p>
        </w:tc>
        <w:tc>
          <w:tcPr>
            <w:tcW w:w="1426" w:type="dxa"/>
            <w:vAlign w:val="center"/>
          </w:tcPr>
          <w:p w:rsidR="00DA7887" w:rsidRPr="003B520B" w:rsidRDefault="00DA7887" w:rsidP="00DE5822">
            <w:pPr>
              <w:spacing w:line="440" w:lineRule="exact"/>
              <w:jc w:val="center"/>
              <w:rPr>
                <w:sz w:val="24"/>
                <w:szCs w:val="24"/>
              </w:rPr>
            </w:pPr>
          </w:p>
        </w:tc>
        <w:tc>
          <w:tcPr>
            <w:tcW w:w="1621"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r>
      <w:tr w:rsidR="00DA7887" w:rsidRPr="003B520B" w:rsidTr="00DE5822">
        <w:trPr>
          <w:jc w:val="center"/>
        </w:trPr>
        <w:tc>
          <w:tcPr>
            <w:tcW w:w="2236" w:type="dxa"/>
            <w:vAlign w:val="center"/>
          </w:tcPr>
          <w:p w:rsidR="00DA7887" w:rsidRPr="003B520B" w:rsidRDefault="00DA7887" w:rsidP="00DE5822">
            <w:pPr>
              <w:spacing w:line="440" w:lineRule="exact"/>
              <w:jc w:val="center"/>
              <w:rPr>
                <w:sz w:val="24"/>
                <w:szCs w:val="24"/>
              </w:rPr>
            </w:pPr>
            <w:r w:rsidRPr="003B520B">
              <w:rPr>
                <w:rFonts w:hint="eastAsia"/>
                <w:sz w:val="24"/>
                <w:szCs w:val="24"/>
              </w:rPr>
              <w:t>地下室、半地下室、车库、庭院灯空间</w:t>
            </w:r>
          </w:p>
        </w:tc>
        <w:tc>
          <w:tcPr>
            <w:tcW w:w="1200" w:type="dxa"/>
            <w:vAlign w:val="center"/>
          </w:tcPr>
          <w:p w:rsidR="00DA7887" w:rsidRPr="003B520B" w:rsidRDefault="00DA7887" w:rsidP="00DE5822">
            <w:pPr>
              <w:spacing w:line="440" w:lineRule="exact"/>
              <w:jc w:val="center"/>
              <w:rPr>
                <w:sz w:val="24"/>
                <w:szCs w:val="24"/>
              </w:rPr>
            </w:pPr>
          </w:p>
        </w:tc>
        <w:tc>
          <w:tcPr>
            <w:tcW w:w="1426" w:type="dxa"/>
            <w:vAlign w:val="center"/>
          </w:tcPr>
          <w:p w:rsidR="00DA7887" w:rsidRPr="003B520B" w:rsidRDefault="00DA7887" w:rsidP="00DE5822">
            <w:pPr>
              <w:spacing w:line="440" w:lineRule="exact"/>
              <w:jc w:val="center"/>
              <w:rPr>
                <w:sz w:val="24"/>
                <w:szCs w:val="24"/>
              </w:rPr>
            </w:pPr>
          </w:p>
        </w:tc>
        <w:tc>
          <w:tcPr>
            <w:tcW w:w="1621"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r>
      <w:tr w:rsidR="00DA7887" w:rsidRPr="003B520B" w:rsidTr="00DE5822">
        <w:trPr>
          <w:jc w:val="center"/>
        </w:trPr>
        <w:tc>
          <w:tcPr>
            <w:tcW w:w="2236" w:type="dxa"/>
            <w:vAlign w:val="center"/>
          </w:tcPr>
          <w:p w:rsidR="00DA7887" w:rsidRPr="003B520B" w:rsidRDefault="00DA7887" w:rsidP="00DE5822">
            <w:pPr>
              <w:spacing w:line="440" w:lineRule="exact"/>
              <w:jc w:val="center"/>
              <w:rPr>
                <w:sz w:val="24"/>
                <w:szCs w:val="24"/>
              </w:rPr>
            </w:pPr>
            <w:r w:rsidRPr="003B520B">
              <w:rPr>
                <w:rFonts w:hint="eastAsia"/>
                <w:sz w:val="24"/>
                <w:szCs w:val="24"/>
              </w:rPr>
              <w:t>楼道、大厅等空间</w:t>
            </w:r>
          </w:p>
        </w:tc>
        <w:tc>
          <w:tcPr>
            <w:tcW w:w="1200" w:type="dxa"/>
            <w:vAlign w:val="center"/>
          </w:tcPr>
          <w:p w:rsidR="00DA7887" w:rsidRPr="003B520B" w:rsidRDefault="00DA7887" w:rsidP="00DE5822">
            <w:pPr>
              <w:spacing w:line="440" w:lineRule="exact"/>
              <w:jc w:val="center"/>
              <w:rPr>
                <w:sz w:val="24"/>
                <w:szCs w:val="24"/>
              </w:rPr>
            </w:pPr>
          </w:p>
        </w:tc>
        <w:tc>
          <w:tcPr>
            <w:tcW w:w="1426" w:type="dxa"/>
            <w:vAlign w:val="center"/>
          </w:tcPr>
          <w:p w:rsidR="00DA7887" w:rsidRPr="003B520B" w:rsidRDefault="00DA7887" w:rsidP="00DE5822">
            <w:pPr>
              <w:spacing w:line="440" w:lineRule="exact"/>
              <w:jc w:val="center"/>
              <w:rPr>
                <w:sz w:val="24"/>
                <w:szCs w:val="24"/>
              </w:rPr>
            </w:pPr>
          </w:p>
        </w:tc>
        <w:tc>
          <w:tcPr>
            <w:tcW w:w="1621"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r>
      <w:tr w:rsidR="00DA7887" w:rsidRPr="003B520B" w:rsidTr="00DE5822">
        <w:trPr>
          <w:jc w:val="center"/>
        </w:trPr>
        <w:tc>
          <w:tcPr>
            <w:tcW w:w="2236" w:type="dxa"/>
            <w:vAlign w:val="center"/>
          </w:tcPr>
          <w:p w:rsidR="00DA7887" w:rsidRPr="003B520B" w:rsidRDefault="00DA7887" w:rsidP="00DE5822">
            <w:pPr>
              <w:spacing w:line="440" w:lineRule="exact"/>
              <w:jc w:val="center"/>
              <w:rPr>
                <w:sz w:val="24"/>
                <w:szCs w:val="24"/>
              </w:rPr>
            </w:pPr>
            <w:r w:rsidRPr="003B520B">
              <w:rPr>
                <w:rFonts w:hint="eastAsia"/>
                <w:sz w:val="24"/>
                <w:szCs w:val="24"/>
              </w:rPr>
              <w:t>单位用户：</w:t>
            </w:r>
          </w:p>
        </w:tc>
        <w:tc>
          <w:tcPr>
            <w:tcW w:w="1200" w:type="dxa"/>
            <w:vAlign w:val="center"/>
          </w:tcPr>
          <w:p w:rsidR="00DA7887" w:rsidRPr="003B520B" w:rsidRDefault="00DA7887" w:rsidP="00DE5822">
            <w:pPr>
              <w:spacing w:line="440" w:lineRule="exact"/>
              <w:jc w:val="center"/>
              <w:rPr>
                <w:sz w:val="24"/>
                <w:szCs w:val="24"/>
              </w:rPr>
            </w:pPr>
          </w:p>
        </w:tc>
        <w:tc>
          <w:tcPr>
            <w:tcW w:w="1426" w:type="dxa"/>
            <w:vAlign w:val="center"/>
          </w:tcPr>
          <w:p w:rsidR="00DA7887" w:rsidRPr="003B520B" w:rsidRDefault="00DA7887" w:rsidP="00DE5822">
            <w:pPr>
              <w:spacing w:line="440" w:lineRule="exact"/>
              <w:jc w:val="center"/>
              <w:rPr>
                <w:sz w:val="24"/>
                <w:szCs w:val="24"/>
              </w:rPr>
            </w:pPr>
          </w:p>
        </w:tc>
        <w:tc>
          <w:tcPr>
            <w:tcW w:w="1621"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r>
      <w:tr w:rsidR="00DA7887" w:rsidRPr="003B520B" w:rsidTr="00DE5822">
        <w:trPr>
          <w:jc w:val="center"/>
        </w:trPr>
        <w:tc>
          <w:tcPr>
            <w:tcW w:w="2236" w:type="dxa"/>
            <w:vAlign w:val="center"/>
          </w:tcPr>
          <w:p w:rsidR="00DA7887" w:rsidRPr="003B520B" w:rsidRDefault="00DA7887" w:rsidP="00DE5822">
            <w:pPr>
              <w:spacing w:line="440" w:lineRule="exact"/>
              <w:jc w:val="center"/>
              <w:rPr>
                <w:sz w:val="24"/>
                <w:szCs w:val="24"/>
              </w:rPr>
            </w:pPr>
            <w:r w:rsidRPr="003B520B">
              <w:rPr>
                <w:rFonts w:hint="eastAsia"/>
                <w:sz w:val="24"/>
                <w:szCs w:val="24"/>
              </w:rPr>
              <w:t>单位用户：</w:t>
            </w:r>
          </w:p>
        </w:tc>
        <w:tc>
          <w:tcPr>
            <w:tcW w:w="1200" w:type="dxa"/>
            <w:vAlign w:val="center"/>
          </w:tcPr>
          <w:p w:rsidR="00DA7887" w:rsidRPr="003B520B" w:rsidRDefault="00DA7887" w:rsidP="00DE5822">
            <w:pPr>
              <w:spacing w:line="440" w:lineRule="exact"/>
              <w:jc w:val="center"/>
              <w:rPr>
                <w:sz w:val="24"/>
                <w:szCs w:val="24"/>
              </w:rPr>
            </w:pPr>
          </w:p>
        </w:tc>
        <w:tc>
          <w:tcPr>
            <w:tcW w:w="1426" w:type="dxa"/>
            <w:vAlign w:val="center"/>
          </w:tcPr>
          <w:p w:rsidR="00DA7887" w:rsidRPr="003B520B" w:rsidRDefault="00DA7887" w:rsidP="00DE5822">
            <w:pPr>
              <w:spacing w:line="440" w:lineRule="exact"/>
              <w:jc w:val="center"/>
              <w:rPr>
                <w:sz w:val="24"/>
                <w:szCs w:val="24"/>
              </w:rPr>
            </w:pPr>
          </w:p>
        </w:tc>
        <w:tc>
          <w:tcPr>
            <w:tcW w:w="1621"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r>
      <w:tr w:rsidR="00DA7887" w:rsidRPr="003B520B" w:rsidTr="00DE5822">
        <w:trPr>
          <w:jc w:val="center"/>
        </w:trPr>
        <w:tc>
          <w:tcPr>
            <w:tcW w:w="2236" w:type="dxa"/>
            <w:vAlign w:val="center"/>
          </w:tcPr>
          <w:p w:rsidR="00DA7887" w:rsidRPr="003B520B" w:rsidRDefault="00DA7887" w:rsidP="00DE5822">
            <w:pPr>
              <w:spacing w:line="440" w:lineRule="exact"/>
              <w:jc w:val="center"/>
              <w:rPr>
                <w:sz w:val="24"/>
                <w:szCs w:val="24"/>
              </w:rPr>
            </w:pPr>
            <w:r w:rsidRPr="003B520B">
              <w:rPr>
                <w:rFonts w:hint="eastAsia"/>
                <w:sz w:val="24"/>
                <w:szCs w:val="24"/>
              </w:rPr>
              <w:t>居民用户：</w:t>
            </w:r>
          </w:p>
        </w:tc>
        <w:tc>
          <w:tcPr>
            <w:tcW w:w="1200" w:type="dxa"/>
            <w:vAlign w:val="center"/>
          </w:tcPr>
          <w:p w:rsidR="00DA7887" w:rsidRPr="003B520B" w:rsidRDefault="00DA7887" w:rsidP="00DE5822">
            <w:pPr>
              <w:spacing w:line="440" w:lineRule="exact"/>
              <w:jc w:val="center"/>
              <w:rPr>
                <w:sz w:val="24"/>
                <w:szCs w:val="24"/>
              </w:rPr>
            </w:pPr>
          </w:p>
        </w:tc>
        <w:tc>
          <w:tcPr>
            <w:tcW w:w="1426" w:type="dxa"/>
            <w:vAlign w:val="center"/>
          </w:tcPr>
          <w:p w:rsidR="00DA7887" w:rsidRPr="003B520B" w:rsidRDefault="00DA7887" w:rsidP="00DE5822">
            <w:pPr>
              <w:spacing w:line="440" w:lineRule="exact"/>
              <w:jc w:val="center"/>
              <w:rPr>
                <w:sz w:val="24"/>
                <w:szCs w:val="24"/>
              </w:rPr>
            </w:pPr>
          </w:p>
        </w:tc>
        <w:tc>
          <w:tcPr>
            <w:tcW w:w="1621"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r>
      <w:tr w:rsidR="00DA7887" w:rsidRPr="003B520B" w:rsidTr="00DE5822">
        <w:trPr>
          <w:jc w:val="center"/>
        </w:trPr>
        <w:tc>
          <w:tcPr>
            <w:tcW w:w="2236" w:type="dxa"/>
            <w:vAlign w:val="center"/>
          </w:tcPr>
          <w:p w:rsidR="00DA7887" w:rsidRPr="003B520B" w:rsidRDefault="00DA7887" w:rsidP="00DE5822">
            <w:pPr>
              <w:spacing w:line="440" w:lineRule="exact"/>
              <w:jc w:val="center"/>
              <w:rPr>
                <w:sz w:val="24"/>
                <w:szCs w:val="24"/>
              </w:rPr>
            </w:pPr>
            <w:r w:rsidRPr="003B520B">
              <w:rPr>
                <w:rFonts w:hint="eastAsia"/>
                <w:sz w:val="24"/>
                <w:szCs w:val="24"/>
              </w:rPr>
              <w:t>居民用户：</w:t>
            </w:r>
          </w:p>
        </w:tc>
        <w:tc>
          <w:tcPr>
            <w:tcW w:w="1200" w:type="dxa"/>
            <w:vAlign w:val="center"/>
          </w:tcPr>
          <w:p w:rsidR="00DA7887" w:rsidRPr="003B520B" w:rsidRDefault="00DA7887" w:rsidP="00DE5822">
            <w:pPr>
              <w:spacing w:line="440" w:lineRule="exact"/>
              <w:jc w:val="center"/>
              <w:rPr>
                <w:sz w:val="24"/>
                <w:szCs w:val="24"/>
              </w:rPr>
            </w:pPr>
          </w:p>
        </w:tc>
        <w:tc>
          <w:tcPr>
            <w:tcW w:w="1426" w:type="dxa"/>
            <w:vAlign w:val="center"/>
          </w:tcPr>
          <w:p w:rsidR="00DA7887" w:rsidRPr="003B520B" w:rsidRDefault="00DA7887" w:rsidP="00DE5822">
            <w:pPr>
              <w:spacing w:line="440" w:lineRule="exact"/>
              <w:jc w:val="center"/>
              <w:rPr>
                <w:sz w:val="24"/>
                <w:szCs w:val="24"/>
              </w:rPr>
            </w:pPr>
          </w:p>
        </w:tc>
        <w:tc>
          <w:tcPr>
            <w:tcW w:w="1621"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r>
      <w:tr w:rsidR="00DA7887" w:rsidRPr="003B520B" w:rsidTr="00DE5822">
        <w:trPr>
          <w:jc w:val="center"/>
        </w:trPr>
        <w:tc>
          <w:tcPr>
            <w:tcW w:w="2236" w:type="dxa"/>
            <w:vAlign w:val="center"/>
          </w:tcPr>
          <w:p w:rsidR="00DA7887" w:rsidRPr="003B520B" w:rsidRDefault="00DA7887" w:rsidP="00DE5822">
            <w:pPr>
              <w:spacing w:line="440" w:lineRule="exact"/>
              <w:jc w:val="center"/>
              <w:rPr>
                <w:sz w:val="24"/>
                <w:szCs w:val="24"/>
              </w:rPr>
            </w:pPr>
            <w:r w:rsidRPr="003B520B">
              <w:rPr>
                <w:rFonts w:hint="eastAsia"/>
                <w:sz w:val="24"/>
                <w:szCs w:val="24"/>
              </w:rPr>
              <w:t>居民用户：</w:t>
            </w:r>
          </w:p>
        </w:tc>
        <w:tc>
          <w:tcPr>
            <w:tcW w:w="1200" w:type="dxa"/>
            <w:vAlign w:val="center"/>
          </w:tcPr>
          <w:p w:rsidR="00DA7887" w:rsidRPr="003B520B" w:rsidRDefault="00DA7887" w:rsidP="00DE5822">
            <w:pPr>
              <w:spacing w:line="440" w:lineRule="exact"/>
              <w:jc w:val="center"/>
              <w:rPr>
                <w:sz w:val="24"/>
                <w:szCs w:val="24"/>
              </w:rPr>
            </w:pPr>
          </w:p>
        </w:tc>
        <w:tc>
          <w:tcPr>
            <w:tcW w:w="1426" w:type="dxa"/>
            <w:vAlign w:val="center"/>
          </w:tcPr>
          <w:p w:rsidR="00DA7887" w:rsidRPr="003B520B" w:rsidRDefault="00DA7887" w:rsidP="00DE5822">
            <w:pPr>
              <w:spacing w:line="440" w:lineRule="exact"/>
              <w:jc w:val="center"/>
              <w:rPr>
                <w:sz w:val="24"/>
                <w:szCs w:val="24"/>
              </w:rPr>
            </w:pPr>
          </w:p>
        </w:tc>
        <w:tc>
          <w:tcPr>
            <w:tcW w:w="1621"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r>
      <w:tr w:rsidR="00DA7887" w:rsidRPr="003B520B" w:rsidTr="00DE5822">
        <w:trPr>
          <w:jc w:val="center"/>
        </w:trPr>
        <w:tc>
          <w:tcPr>
            <w:tcW w:w="2236" w:type="dxa"/>
            <w:vAlign w:val="center"/>
          </w:tcPr>
          <w:p w:rsidR="00DA7887" w:rsidRPr="003B520B" w:rsidRDefault="00DA7887" w:rsidP="00DE5822">
            <w:pPr>
              <w:spacing w:line="440" w:lineRule="exact"/>
              <w:jc w:val="center"/>
              <w:rPr>
                <w:sz w:val="24"/>
                <w:szCs w:val="24"/>
              </w:rPr>
            </w:pPr>
            <w:r w:rsidRPr="003B520B">
              <w:rPr>
                <w:rFonts w:hint="eastAsia"/>
                <w:sz w:val="24"/>
                <w:szCs w:val="24"/>
              </w:rPr>
              <w:t>居民用户：</w:t>
            </w:r>
          </w:p>
        </w:tc>
        <w:tc>
          <w:tcPr>
            <w:tcW w:w="1200" w:type="dxa"/>
            <w:vAlign w:val="center"/>
          </w:tcPr>
          <w:p w:rsidR="00DA7887" w:rsidRPr="003B520B" w:rsidRDefault="00DA7887" w:rsidP="00DE5822">
            <w:pPr>
              <w:spacing w:line="440" w:lineRule="exact"/>
              <w:jc w:val="center"/>
              <w:rPr>
                <w:sz w:val="24"/>
                <w:szCs w:val="24"/>
              </w:rPr>
            </w:pPr>
          </w:p>
        </w:tc>
        <w:tc>
          <w:tcPr>
            <w:tcW w:w="1426" w:type="dxa"/>
            <w:vAlign w:val="center"/>
          </w:tcPr>
          <w:p w:rsidR="00DA7887" w:rsidRPr="003B520B" w:rsidRDefault="00DA7887" w:rsidP="00DE5822">
            <w:pPr>
              <w:spacing w:line="440" w:lineRule="exact"/>
              <w:jc w:val="center"/>
              <w:rPr>
                <w:sz w:val="24"/>
                <w:szCs w:val="24"/>
              </w:rPr>
            </w:pPr>
          </w:p>
        </w:tc>
        <w:tc>
          <w:tcPr>
            <w:tcW w:w="1621"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c>
          <w:tcPr>
            <w:tcW w:w="1622" w:type="dxa"/>
            <w:vAlign w:val="center"/>
          </w:tcPr>
          <w:p w:rsidR="00DA7887" w:rsidRPr="003B520B" w:rsidRDefault="00DA7887" w:rsidP="00DE5822">
            <w:pPr>
              <w:spacing w:line="440" w:lineRule="exact"/>
              <w:jc w:val="center"/>
              <w:rPr>
                <w:sz w:val="24"/>
                <w:szCs w:val="24"/>
                <w:u w:val="single"/>
              </w:rPr>
            </w:pPr>
          </w:p>
        </w:tc>
      </w:tr>
    </w:tbl>
    <w:p w:rsidR="00DA7887" w:rsidRDefault="00DA7887" w:rsidP="00DA7887">
      <w:pPr>
        <w:rPr>
          <w:rFonts w:ascii="方正黑体_GBK" w:eastAsia="方正黑体_GBK"/>
          <w:sz w:val="30"/>
          <w:szCs w:val="30"/>
        </w:rPr>
      </w:pPr>
    </w:p>
    <w:p w:rsidR="00DA7887" w:rsidRDefault="00DA7887" w:rsidP="00DA7887">
      <w:pPr>
        <w:rPr>
          <w:rFonts w:ascii="方正黑体_GBK" w:eastAsia="方正黑体_GBK"/>
          <w:sz w:val="30"/>
          <w:szCs w:val="30"/>
        </w:rPr>
      </w:pPr>
    </w:p>
    <w:p w:rsidR="00DA7887" w:rsidRPr="00FE7E8C" w:rsidRDefault="00DA7887" w:rsidP="00DA7887">
      <w:pPr>
        <w:rPr>
          <w:rFonts w:ascii="方正黑体_GBK" w:eastAsia="方正黑体_GBK"/>
          <w:sz w:val="30"/>
          <w:szCs w:val="30"/>
        </w:rPr>
      </w:pPr>
      <w:r w:rsidRPr="00FE7E8C">
        <w:rPr>
          <w:rFonts w:ascii="方正黑体_GBK" w:eastAsia="方正黑体_GBK" w:hint="eastAsia"/>
          <w:sz w:val="30"/>
          <w:szCs w:val="30"/>
        </w:rPr>
        <w:t>附件2</w:t>
      </w:r>
    </w:p>
    <w:p w:rsidR="00DA7887" w:rsidRPr="003B520B" w:rsidRDefault="00DA7887" w:rsidP="00DA7887">
      <w:pPr>
        <w:spacing w:line="500" w:lineRule="exact"/>
        <w:jc w:val="center"/>
        <w:rPr>
          <w:sz w:val="36"/>
          <w:szCs w:val="36"/>
        </w:rPr>
      </w:pPr>
      <w:r w:rsidRPr="003B520B">
        <w:rPr>
          <w:rFonts w:hint="eastAsia"/>
          <w:sz w:val="36"/>
          <w:szCs w:val="36"/>
        </w:rPr>
        <w:t>高层建筑用电用气“除险清患”“一楼一策”模版</w:t>
      </w:r>
    </w:p>
    <w:p w:rsidR="00DA7887" w:rsidRPr="003B520B" w:rsidRDefault="00DA7887" w:rsidP="00DA7887">
      <w:pPr>
        <w:spacing w:line="400" w:lineRule="exact"/>
        <w:rPr>
          <w:sz w:val="24"/>
          <w:szCs w:val="24"/>
          <w:u w:val="single"/>
        </w:rPr>
      </w:pPr>
      <w:r w:rsidRPr="003B520B">
        <w:rPr>
          <w:rFonts w:hint="eastAsia"/>
          <w:sz w:val="24"/>
          <w:szCs w:val="24"/>
        </w:rPr>
        <w:t>建筑名称：</w:t>
      </w:r>
      <w:r w:rsidRPr="003B520B">
        <w:rPr>
          <w:rFonts w:hint="eastAsia"/>
          <w:sz w:val="24"/>
          <w:szCs w:val="24"/>
        </w:rPr>
        <w:t xml:space="preserve">                                    </w:t>
      </w:r>
      <w:r>
        <w:rPr>
          <w:rFonts w:hint="eastAsia"/>
          <w:sz w:val="24"/>
          <w:szCs w:val="24"/>
        </w:rPr>
        <w:t xml:space="preserve">   </w:t>
      </w:r>
      <w:r w:rsidRPr="003B520B">
        <w:rPr>
          <w:rFonts w:hint="eastAsia"/>
          <w:sz w:val="24"/>
          <w:szCs w:val="24"/>
        </w:rPr>
        <w:t>建筑地址：</w:t>
      </w:r>
    </w:p>
    <w:p w:rsidR="00DA7887" w:rsidRPr="003B520B" w:rsidRDefault="00DA7887" w:rsidP="00DA7887">
      <w:pPr>
        <w:spacing w:line="400" w:lineRule="exact"/>
        <w:rPr>
          <w:sz w:val="24"/>
          <w:szCs w:val="24"/>
        </w:rPr>
      </w:pPr>
      <w:r w:rsidRPr="003B520B">
        <w:rPr>
          <w:rFonts w:hint="eastAsia"/>
          <w:sz w:val="24"/>
          <w:szCs w:val="24"/>
        </w:rPr>
        <w:t>注：建筑名称、地址与高层建筑信息采集系统保持一致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1395"/>
        <w:gridCol w:w="1804"/>
        <w:gridCol w:w="1296"/>
        <w:gridCol w:w="1297"/>
        <w:gridCol w:w="1297"/>
        <w:gridCol w:w="1297"/>
        <w:gridCol w:w="1297"/>
        <w:gridCol w:w="1297"/>
        <w:gridCol w:w="1297"/>
      </w:tblGrid>
      <w:tr w:rsidR="00DA7887" w:rsidRPr="003B520B" w:rsidTr="00DE5822">
        <w:trPr>
          <w:jc w:val="center"/>
        </w:trPr>
        <w:tc>
          <w:tcPr>
            <w:tcW w:w="689" w:type="dxa"/>
            <w:vAlign w:val="center"/>
          </w:tcPr>
          <w:p w:rsidR="00DA7887" w:rsidRPr="003B520B" w:rsidRDefault="00DA7887" w:rsidP="00DE5822">
            <w:pPr>
              <w:spacing w:line="480" w:lineRule="auto"/>
              <w:jc w:val="center"/>
              <w:rPr>
                <w:sz w:val="24"/>
                <w:szCs w:val="24"/>
              </w:rPr>
            </w:pPr>
            <w:r w:rsidRPr="003B520B">
              <w:rPr>
                <w:rFonts w:hint="eastAsia"/>
                <w:sz w:val="24"/>
                <w:szCs w:val="24"/>
              </w:rPr>
              <w:t>序号</w:t>
            </w:r>
          </w:p>
        </w:tc>
        <w:tc>
          <w:tcPr>
            <w:tcW w:w="1395" w:type="dxa"/>
            <w:vAlign w:val="center"/>
          </w:tcPr>
          <w:p w:rsidR="00DA7887" w:rsidRPr="003B520B" w:rsidRDefault="00DA7887" w:rsidP="00DE5822">
            <w:pPr>
              <w:spacing w:line="480" w:lineRule="auto"/>
              <w:jc w:val="center"/>
              <w:rPr>
                <w:sz w:val="24"/>
                <w:szCs w:val="24"/>
              </w:rPr>
            </w:pPr>
            <w:r w:rsidRPr="003B520B">
              <w:rPr>
                <w:rFonts w:hint="eastAsia"/>
                <w:sz w:val="24"/>
                <w:szCs w:val="24"/>
              </w:rPr>
              <w:t>排查时间</w:t>
            </w:r>
          </w:p>
        </w:tc>
        <w:tc>
          <w:tcPr>
            <w:tcW w:w="1804" w:type="dxa"/>
            <w:vAlign w:val="center"/>
          </w:tcPr>
          <w:p w:rsidR="00DA7887" w:rsidRPr="003B520B" w:rsidRDefault="00DA7887" w:rsidP="00DE5822">
            <w:pPr>
              <w:spacing w:line="480" w:lineRule="auto"/>
              <w:jc w:val="center"/>
              <w:rPr>
                <w:sz w:val="24"/>
                <w:szCs w:val="24"/>
              </w:rPr>
            </w:pPr>
            <w:r w:rsidRPr="003B520B">
              <w:rPr>
                <w:rFonts w:hint="eastAsia"/>
                <w:sz w:val="24"/>
                <w:szCs w:val="24"/>
              </w:rPr>
              <w:t>隐患类别</w:t>
            </w:r>
          </w:p>
        </w:tc>
        <w:tc>
          <w:tcPr>
            <w:tcW w:w="1296" w:type="dxa"/>
            <w:vAlign w:val="center"/>
          </w:tcPr>
          <w:p w:rsidR="00DA7887" w:rsidRPr="003B520B" w:rsidRDefault="00DA7887" w:rsidP="00DE5822">
            <w:pPr>
              <w:spacing w:line="480" w:lineRule="auto"/>
              <w:jc w:val="center"/>
              <w:rPr>
                <w:sz w:val="24"/>
                <w:szCs w:val="24"/>
              </w:rPr>
            </w:pPr>
            <w:r w:rsidRPr="003B520B">
              <w:rPr>
                <w:rFonts w:hint="eastAsia"/>
                <w:sz w:val="24"/>
                <w:szCs w:val="24"/>
              </w:rPr>
              <w:t>隐患类型</w:t>
            </w:r>
          </w:p>
        </w:tc>
        <w:tc>
          <w:tcPr>
            <w:tcW w:w="1297" w:type="dxa"/>
            <w:vAlign w:val="center"/>
          </w:tcPr>
          <w:p w:rsidR="00DA7887" w:rsidRPr="003B520B" w:rsidRDefault="00DA7887" w:rsidP="00DE5822">
            <w:pPr>
              <w:spacing w:line="480" w:lineRule="auto"/>
              <w:jc w:val="center"/>
              <w:rPr>
                <w:sz w:val="24"/>
                <w:szCs w:val="24"/>
              </w:rPr>
            </w:pPr>
            <w:r w:rsidRPr="003B520B">
              <w:rPr>
                <w:rFonts w:hint="eastAsia"/>
                <w:sz w:val="24"/>
                <w:szCs w:val="24"/>
              </w:rPr>
              <w:t>隐患描述</w:t>
            </w:r>
          </w:p>
        </w:tc>
        <w:tc>
          <w:tcPr>
            <w:tcW w:w="1297" w:type="dxa"/>
            <w:vAlign w:val="center"/>
          </w:tcPr>
          <w:p w:rsidR="00DA7887" w:rsidRPr="003B520B" w:rsidRDefault="00DA7887" w:rsidP="00DE5822">
            <w:pPr>
              <w:spacing w:line="480" w:lineRule="auto"/>
              <w:jc w:val="center"/>
              <w:rPr>
                <w:sz w:val="24"/>
                <w:szCs w:val="24"/>
              </w:rPr>
            </w:pPr>
            <w:r w:rsidRPr="003B520B">
              <w:rPr>
                <w:rFonts w:hint="eastAsia"/>
                <w:sz w:val="24"/>
                <w:szCs w:val="24"/>
              </w:rPr>
              <w:t>整改主体</w:t>
            </w:r>
          </w:p>
        </w:tc>
        <w:tc>
          <w:tcPr>
            <w:tcW w:w="1297" w:type="dxa"/>
            <w:vAlign w:val="center"/>
          </w:tcPr>
          <w:p w:rsidR="00DA7887" w:rsidRPr="003B520B" w:rsidRDefault="00DA7887" w:rsidP="00DE5822">
            <w:pPr>
              <w:spacing w:line="480" w:lineRule="auto"/>
              <w:jc w:val="center"/>
              <w:rPr>
                <w:sz w:val="24"/>
                <w:szCs w:val="24"/>
              </w:rPr>
            </w:pPr>
            <w:r w:rsidRPr="003B520B">
              <w:rPr>
                <w:rFonts w:hint="eastAsia"/>
                <w:sz w:val="24"/>
                <w:szCs w:val="24"/>
              </w:rPr>
              <w:t>整改措施</w:t>
            </w:r>
          </w:p>
        </w:tc>
        <w:tc>
          <w:tcPr>
            <w:tcW w:w="1297" w:type="dxa"/>
            <w:vAlign w:val="center"/>
          </w:tcPr>
          <w:p w:rsidR="00DA7887" w:rsidRPr="003B520B" w:rsidRDefault="00DA7887" w:rsidP="00DE5822">
            <w:pPr>
              <w:spacing w:line="480" w:lineRule="auto"/>
              <w:jc w:val="center"/>
              <w:rPr>
                <w:sz w:val="24"/>
                <w:szCs w:val="24"/>
              </w:rPr>
            </w:pPr>
            <w:r w:rsidRPr="003B520B">
              <w:rPr>
                <w:rFonts w:hint="eastAsia"/>
                <w:sz w:val="24"/>
                <w:szCs w:val="24"/>
              </w:rPr>
              <w:t>整改资金</w:t>
            </w:r>
          </w:p>
        </w:tc>
        <w:tc>
          <w:tcPr>
            <w:tcW w:w="1297" w:type="dxa"/>
            <w:vAlign w:val="center"/>
          </w:tcPr>
          <w:p w:rsidR="00DA7887" w:rsidRPr="003B520B" w:rsidRDefault="00DA7887" w:rsidP="00DE5822">
            <w:pPr>
              <w:spacing w:line="480" w:lineRule="auto"/>
              <w:jc w:val="center"/>
              <w:rPr>
                <w:sz w:val="24"/>
                <w:szCs w:val="24"/>
              </w:rPr>
            </w:pPr>
            <w:r w:rsidRPr="003B520B">
              <w:rPr>
                <w:rFonts w:hint="eastAsia"/>
                <w:sz w:val="24"/>
                <w:szCs w:val="24"/>
              </w:rPr>
              <w:t>整改时限</w:t>
            </w:r>
          </w:p>
        </w:tc>
        <w:tc>
          <w:tcPr>
            <w:tcW w:w="1297" w:type="dxa"/>
            <w:vAlign w:val="center"/>
          </w:tcPr>
          <w:p w:rsidR="00DA7887" w:rsidRPr="003B520B" w:rsidRDefault="00DA7887" w:rsidP="00DE5822">
            <w:pPr>
              <w:spacing w:line="480" w:lineRule="auto"/>
              <w:jc w:val="center"/>
              <w:rPr>
                <w:sz w:val="24"/>
                <w:szCs w:val="24"/>
              </w:rPr>
            </w:pPr>
            <w:r w:rsidRPr="003B520B">
              <w:rPr>
                <w:rFonts w:hint="eastAsia"/>
                <w:sz w:val="24"/>
                <w:szCs w:val="24"/>
              </w:rPr>
              <w:t>整改预案</w:t>
            </w:r>
          </w:p>
        </w:tc>
      </w:tr>
      <w:tr w:rsidR="00DA7887" w:rsidRPr="003B520B" w:rsidTr="00DE5822">
        <w:trPr>
          <w:jc w:val="center"/>
        </w:trPr>
        <w:tc>
          <w:tcPr>
            <w:tcW w:w="689" w:type="dxa"/>
            <w:vAlign w:val="center"/>
          </w:tcPr>
          <w:p w:rsidR="00DA7887" w:rsidRPr="003B520B" w:rsidRDefault="00DA7887" w:rsidP="00DE5822">
            <w:pPr>
              <w:spacing w:line="560" w:lineRule="exact"/>
              <w:jc w:val="center"/>
              <w:rPr>
                <w:sz w:val="24"/>
                <w:szCs w:val="24"/>
              </w:rPr>
            </w:pPr>
            <w:r w:rsidRPr="003B520B">
              <w:rPr>
                <w:rFonts w:hint="eastAsia"/>
                <w:sz w:val="24"/>
                <w:szCs w:val="24"/>
              </w:rPr>
              <w:t>1</w:t>
            </w:r>
          </w:p>
        </w:tc>
        <w:tc>
          <w:tcPr>
            <w:tcW w:w="1395" w:type="dxa"/>
            <w:vAlign w:val="center"/>
          </w:tcPr>
          <w:p w:rsidR="00DA7887" w:rsidRPr="003B520B" w:rsidRDefault="00DA7887" w:rsidP="00DE5822">
            <w:pPr>
              <w:spacing w:line="560" w:lineRule="exact"/>
              <w:jc w:val="center"/>
              <w:rPr>
                <w:sz w:val="24"/>
                <w:szCs w:val="24"/>
              </w:rPr>
            </w:pPr>
          </w:p>
        </w:tc>
        <w:tc>
          <w:tcPr>
            <w:tcW w:w="1804" w:type="dxa"/>
            <w:vAlign w:val="center"/>
          </w:tcPr>
          <w:p w:rsidR="00DA7887" w:rsidRPr="003B520B" w:rsidRDefault="00DA7887" w:rsidP="00DE5822">
            <w:pPr>
              <w:spacing w:line="560" w:lineRule="exact"/>
              <w:jc w:val="center"/>
              <w:rPr>
                <w:sz w:val="24"/>
                <w:szCs w:val="24"/>
              </w:rPr>
            </w:pPr>
          </w:p>
        </w:tc>
        <w:tc>
          <w:tcPr>
            <w:tcW w:w="1296"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r>
      <w:tr w:rsidR="00DA7887" w:rsidRPr="003B520B" w:rsidTr="00DE5822">
        <w:trPr>
          <w:trHeight w:val="287"/>
          <w:jc w:val="center"/>
        </w:trPr>
        <w:tc>
          <w:tcPr>
            <w:tcW w:w="689" w:type="dxa"/>
            <w:vAlign w:val="center"/>
          </w:tcPr>
          <w:p w:rsidR="00DA7887" w:rsidRPr="003B520B" w:rsidRDefault="00DA7887" w:rsidP="00DE5822">
            <w:pPr>
              <w:spacing w:line="560" w:lineRule="exact"/>
              <w:jc w:val="center"/>
              <w:rPr>
                <w:sz w:val="24"/>
                <w:szCs w:val="24"/>
              </w:rPr>
            </w:pPr>
            <w:r w:rsidRPr="003B520B">
              <w:rPr>
                <w:rFonts w:hint="eastAsia"/>
                <w:sz w:val="24"/>
                <w:szCs w:val="24"/>
              </w:rPr>
              <w:t>2</w:t>
            </w:r>
          </w:p>
        </w:tc>
        <w:tc>
          <w:tcPr>
            <w:tcW w:w="1395" w:type="dxa"/>
            <w:vAlign w:val="center"/>
          </w:tcPr>
          <w:p w:rsidR="00DA7887" w:rsidRPr="003B520B" w:rsidRDefault="00DA7887" w:rsidP="00DE5822">
            <w:pPr>
              <w:spacing w:line="560" w:lineRule="exact"/>
              <w:jc w:val="center"/>
              <w:rPr>
                <w:sz w:val="24"/>
                <w:szCs w:val="24"/>
              </w:rPr>
            </w:pPr>
          </w:p>
        </w:tc>
        <w:tc>
          <w:tcPr>
            <w:tcW w:w="1804" w:type="dxa"/>
            <w:vAlign w:val="center"/>
          </w:tcPr>
          <w:p w:rsidR="00DA7887" w:rsidRPr="003B520B" w:rsidRDefault="00DA7887" w:rsidP="00DE5822">
            <w:pPr>
              <w:spacing w:line="560" w:lineRule="exact"/>
              <w:jc w:val="center"/>
              <w:rPr>
                <w:sz w:val="24"/>
                <w:szCs w:val="24"/>
              </w:rPr>
            </w:pPr>
          </w:p>
        </w:tc>
        <w:tc>
          <w:tcPr>
            <w:tcW w:w="1296"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r>
      <w:tr w:rsidR="00DA7887" w:rsidRPr="003B520B" w:rsidTr="00DE5822">
        <w:trPr>
          <w:jc w:val="center"/>
        </w:trPr>
        <w:tc>
          <w:tcPr>
            <w:tcW w:w="689" w:type="dxa"/>
            <w:vAlign w:val="center"/>
          </w:tcPr>
          <w:p w:rsidR="00DA7887" w:rsidRPr="003B520B" w:rsidRDefault="00DA7887" w:rsidP="00DE5822">
            <w:pPr>
              <w:spacing w:line="560" w:lineRule="exact"/>
              <w:jc w:val="center"/>
              <w:rPr>
                <w:sz w:val="24"/>
                <w:szCs w:val="24"/>
              </w:rPr>
            </w:pPr>
            <w:r w:rsidRPr="003B520B">
              <w:rPr>
                <w:rFonts w:hint="eastAsia"/>
                <w:sz w:val="24"/>
                <w:szCs w:val="24"/>
              </w:rPr>
              <w:t>3</w:t>
            </w:r>
          </w:p>
        </w:tc>
        <w:tc>
          <w:tcPr>
            <w:tcW w:w="1395" w:type="dxa"/>
            <w:vAlign w:val="center"/>
          </w:tcPr>
          <w:p w:rsidR="00DA7887" w:rsidRPr="003B520B" w:rsidRDefault="00DA7887" w:rsidP="00DE5822">
            <w:pPr>
              <w:spacing w:line="560" w:lineRule="exact"/>
              <w:jc w:val="center"/>
              <w:rPr>
                <w:sz w:val="24"/>
                <w:szCs w:val="24"/>
              </w:rPr>
            </w:pPr>
          </w:p>
        </w:tc>
        <w:tc>
          <w:tcPr>
            <w:tcW w:w="1804" w:type="dxa"/>
            <w:vAlign w:val="center"/>
          </w:tcPr>
          <w:p w:rsidR="00DA7887" w:rsidRPr="003B520B" w:rsidRDefault="00DA7887" w:rsidP="00DE5822">
            <w:pPr>
              <w:spacing w:line="560" w:lineRule="exact"/>
              <w:jc w:val="center"/>
              <w:rPr>
                <w:sz w:val="24"/>
                <w:szCs w:val="24"/>
              </w:rPr>
            </w:pPr>
          </w:p>
        </w:tc>
        <w:tc>
          <w:tcPr>
            <w:tcW w:w="1296"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r>
      <w:tr w:rsidR="00DA7887" w:rsidRPr="003B520B" w:rsidTr="00DE5822">
        <w:trPr>
          <w:jc w:val="center"/>
        </w:trPr>
        <w:tc>
          <w:tcPr>
            <w:tcW w:w="689" w:type="dxa"/>
            <w:vAlign w:val="center"/>
          </w:tcPr>
          <w:p w:rsidR="00DA7887" w:rsidRPr="003B520B" w:rsidRDefault="00DA7887" w:rsidP="00DE5822">
            <w:pPr>
              <w:spacing w:line="560" w:lineRule="exact"/>
              <w:jc w:val="center"/>
              <w:rPr>
                <w:sz w:val="24"/>
                <w:szCs w:val="24"/>
              </w:rPr>
            </w:pPr>
            <w:r w:rsidRPr="003B520B">
              <w:rPr>
                <w:rFonts w:hint="eastAsia"/>
                <w:sz w:val="24"/>
                <w:szCs w:val="24"/>
              </w:rPr>
              <w:t>4</w:t>
            </w:r>
          </w:p>
        </w:tc>
        <w:tc>
          <w:tcPr>
            <w:tcW w:w="1395" w:type="dxa"/>
            <w:vAlign w:val="center"/>
          </w:tcPr>
          <w:p w:rsidR="00DA7887" w:rsidRPr="003B520B" w:rsidRDefault="00DA7887" w:rsidP="00DE5822">
            <w:pPr>
              <w:spacing w:line="560" w:lineRule="exact"/>
              <w:jc w:val="center"/>
              <w:rPr>
                <w:sz w:val="24"/>
                <w:szCs w:val="24"/>
              </w:rPr>
            </w:pPr>
          </w:p>
        </w:tc>
        <w:tc>
          <w:tcPr>
            <w:tcW w:w="1804" w:type="dxa"/>
            <w:vAlign w:val="center"/>
          </w:tcPr>
          <w:p w:rsidR="00DA7887" w:rsidRPr="003B520B" w:rsidRDefault="00DA7887" w:rsidP="00DE5822">
            <w:pPr>
              <w:spacing w:line="560" w:lineRule="exact"/>
              <w:jc w:val="center"/>
              <w:rPr>
                <w:sz w:val="24"/>
                <w:szCs w:val="24"/>
              </w:rPr>
            </w:pPr>
          </w:p>
        </w:tc>
        <w:tc>
          <w:tcPr>
            <w:tcW w:w="1296"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r>
      <w:tr w:rsidR="00DA7887" w:rsidRPr="003B520B" w:rsidTr="00DE5822">
        <w:trPr>
          <w:jc w:val="center"/>
        </w:trPr>
        <w:tc>
          <w:tcPr>
            <w:tcW w:w="689" w:type="dxa"/>
            <w:vAlign w:val="center"/>
          </w:tcPr>
          <w:p w:rsidR="00DA7887" w:rsidRPr="003B520B" w:rsidRDefault="00DA7887" w:rsidP="00DE5822">
            <w:pPr>
              <w:spacing w:line="560" w:lineRule="exact"/>
              <w:jc w:val="center"/>
              <w:rPr>
                <w:sz w:val="24"/>
                <w:szCs w:val="24"/>
              </w:rPr>
            </w:pPr>
            <w:r w:rsidRPr="003B520B">
              <w:rPr>
                <w:rFonts w:hint="eastAsia"/>
                <w:sz w:val="24"/>
                <w:szCs w:val="24"/>
              </w:rPr>
              <w:t>5</w:t>
            </w:r>
          </w:p>
        </w:tc>
        <w:tc>
          <w:tcPr>
            <w:tcW w:w="1395" w:type="dxa"/>
            <w:vAlign w:val="center"/>
          </w:tcPr>
          <w:p w:rsidR="00DA7887" w:rsidRPr="003B520B" w:rsidRDefault="00DA7887" w:rsidP="00DE5822">
            <w:pPr>
              <w:spacing w:line="560" w:lineRule="exact"/>
              <w:jc w:val="center"/>
              <w:rPr>
                <w:sz w:val="24"/>
                <w:szCs w:val="24"/>
              </w:rPr>
            </w:pPr>
          </w:p>
        </w:tc>
        <w:tc>
          <w:tcPr>
            <w:tcW w:w="1804" w:type="dxa"/>
            <w:vAlign w:val="center"/>
          </w:tcPr>
          <w:p w:rsidR="00DA7887" w:rsidRPr="003B520B" w:rsidRDefault="00DA7887" w:rsidP="00DE5822">
            <w:pPr>
              <w:spacing w:line="560" w:lineRule="exact"/>
              <w:jc w:val="center"/>
              <w:rPr>
                <w:sz w:val="24"/>
                <w:szCs w:val="24"/>
              </w:rPr>
            </w:pPr>
          </w:p>
        </w:tc>
        <w:tc>
          <w:tcPr>
            <w:tcW w:w="1296"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c>
          <w:tcPr>
            <w:tcW w:w="1297" w:type="dxa"/>
            <w:vAlign w:val="center"/>
          </w:tcPr>
          <w:p w:rsidR="00DA7887" w:rsidRPr="003B520B" w:rsidRDefault="00DA7887" w:rsidP="00DE5822">
            <w:pPr>
              <w:spacing w:line="560" w:lineRule="exact"/>
              <w:jc w:val="center"/>
              <w:rPr>
                <w:sz w:val="24"/>
                <w:szCs w:val="24"/>
                <w:u w:val="single"/>
              </w:rPr>
            </w:pPr>
          </w:p>
        </w:tc>
      </w:tr>
    </w:tbl>
    <w:p w:rsidR="00DA7887" w:rsidRPr="003B520B" w:rsidRDefault="00DA7887" w:rsidP="00DA7887">
      <w:pPr>
        <w:spacing w:line="400" w:lineRule="exact"/>
        <w:rPr>
          <w:sz w:val="24"/>
          <w:szCs w:val="24"/>
        </w:rPr>
      </w:pPr>
      <w:r w:rsidRPr="003B520B">
        <w:rPr>
          <w:rFonts w:hint="eastAsia"/>
          <w:sz w:val="24"/>
          <w:szCs w:val="24"/>
        </w:rPr>
        <w:t>注：</w:t>
      </w:r>
      <w:r w:rsidRPr="003B520B">
        <w:rPr>
          <w:rFonts w:hint="eastAsia"/>
          <w:sz w:val="24"/>
          <w:szCs w:val="24"/>
        </w:rPr>
        <w:t>1</w:t>
      </w:r>
      <w:r w:rsidRPr="003B520B">
        <w:rPr>
          <w:rFonts w:hint="eastAsia"/>
          <w:sz w:val="24"/>
          <w:szCs w:val="24"/>
        </w:rPr>
        <w:t>、隐患类别：选填用电隐患或用气隐患。</w:t>
      </w:r>
    </w:p>
    <w:p w:rsidR="00DA7887" w:rsidRPr="003B520B" w:rsidRDefault="00DA7887" w:rsidP="00DA7887">
      <w:pPr>
        <w:numPr>
          <w:ilvl w:val="0"/>
          <w:numId w:val="5"/>
        </w:numPr>
        <w:spacing w:line="400" w:lineRule="exact"/>
        <w:ind w:firstLineChars="200" w:firstLine="470"/>
        <w:rPr>
          <w:sz w:val="24"/>
          <w:szCs w:val="24"/>
        </w:rPr>
      </w:pPr>
      <w:r w:rsidRPr="003B520B">
        <w:rPr>
          <w:rFonts w:hint="eastAsia"/>
          <w:sz w:val="24"/>
          <w:szCs w:val="24"/>
        </w:rPr>
        <w:t>隐患类型：用电隐患选填线路敷设不规范、私拉乱接、电气设备使用不规范、防火封堵不规范、电气设施老化、电动自行车违规充电停放等其一均可。用气隐患选填管道敷设不规范、私拉乱接、违规圈围占压燃气管道设施、燃气燃烧器具安装使用不规范、燃气安全装置安装使用不规范、用气安全措施安装使用不规范、管道设施老化、燃气混用、液化气石油气使用不规范其一。</w:t>
      </w:r>
    </w:p>
    <w:p w:rsidR="00DA7887" w:rsidRDefault="00DA7887" w:rsidP="00DA7887">
      <w:pPr>
        <w:spacing w:line="520" w:lineRule="exact"/>
        <w:rPr>
          <w:rFonts w:ascii="方正仿宋_GBK" w:eastAsia="方正仿宋_GBK"/>
        </w:rPr>
        <w:sectPr w:rsidR="00DA7887" w:rsidSect="00380447">
          <w:pgSz w:w="16838" w:h="11906" w:orient="landscape"/>
          <w:pgMar w:top="1474" w:right="1985" w:bottom="1588" w:left="2098" w:header="0" w:footer="1134" w:gutter="0"/>
          <w:pgNumType w:fmt="numberInDash"/>
          <w:cols w:space="720"/>
          <w:docGrid w:type="linesAndChars" w:linePitch="579" w:charSpace="-1024"/>
        </w:sect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DA7887" w:rsidRDefault="00DA7887" w:rsidP="00DA7887">
      <w:pPr>
        <w:spacing w:line="520" w:lineRule="exact"/>
        <w:rPr>
          <w:rFonts w:ascii="方正仿宋_GBK" w:eastAsia="方正仿宋_GBK"/>
        </w:rPr>
      </w:pPr>
    </w:p>
    <w:p w:rsidR="0077028E" w:rsidRPr="00DA7887" w:rsidRDefault="00DA7887" w:rsidP="00DA7887">
      <w:pPr>
        <w:pBdr>
          <w:top w:val="single" w:sz="4" w:space="1" w:color="auto"/>
          <w:bottom w:val="single" w:sz="4" w:space="0" w:color="000000"/>
        </w:pBdr>
        <w:tabs>
          <w:tab w:val="left" w:pos="8820"/>
        </w:tabs>
        <w:spacing w:line="600" w:lineRule="exact"/>
        <w:ind w:rightChars="7" w:right="22" w:firstLineChars="49" w:firstLine="135"/>
        <w:rPr>
          <w:rFonts w:eastAsia="方正仿宋_GBK"/>
          <w:sz w:val="28"/>
          <w:szCs w:val="28"/>
        </w:rPr>
      </w:pPr>
      <w:r>
        <w:rPr>
          <w:rFonts w:eastAsia="方正仿宋_GBK" w:hint="eastAsia"/>
          <w:sz w:val="28"/>
          <w:szCs w:val="28"/>
        </w:rPr>
        <w:t>重庆市涪陵区珍溪镇党政办公室</w:t>
      </w:r>
      <w:r>
        <w:rPr>
          <w:sz w:val="28"/>
          <w:szCs w:val="28"/>
        </w:rPr>
        <w:t xml:space="preserve">      </w:t>
      </w:r>
      <w:r>
        <w:rPr>
          <w:rFonts w:hint="eastAsia"/>
          <w:sz w:val="28"/>
          <w:szCs w:val="28"/>
        </w:rPr>
        <w:t xml:space="preserve">        </w:t>
      </w:r>
      <w:r>
        <w:rPr>
          <w:rFonts w:ascii="方正仿宋_GBK" w:eastAsia="方正仿宋_GBK" w:hint="eastAsia"/>
          <w:sz w:val="28"/>
          <w:szCs w:val="28"/>
        </w:rPr>
        <w:t>2023年4月28日印发</w:t>
      </w:r>
    </w:p>
    <w:sectPr w:rsidR="0077028E" w:rsidRPr="00DA7887" w:rsidSect="00DF045D">
      <w:headerReference w:type="default" r:id="rId11"/>
      <w:footerReference w:type="default" r:id="rId12"/>
      <w:pgSz w:w="11906" w:h="16838"/>
      <w:pgMar w:top="2098" w:right="1474" w:bottom="1985" w:left="1588" w:header="851" w:footer="992"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318" w:rsidRDefault="00E23318">
      <w:r>
        <w:separator/>
      </w:r>
    </w:p>
  </w:endnote>
  <w:endnote w:type="continuationSeparator" w:id="1">
    <w:p w:rsidR="00E23318" w:rsidRDefault="00E23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黑体"/>
    <w:charset w:val="86"/>
    <w:family w:val="script"/>
    <w:pitch w:val="default"/>
    <w:sig w:usb0="00000001" w:usb1="080E0000" w:usb2="00000010" w:usb3="00000000" w:csb0="00040000" w:csb1="00000000"/>
  </w:font>
  <w:font w:name="仿宋_GB2312">
    <w:altName w:val="微软雅黑"/>
    <w:charset w:val="86"/>
    <w:family w:val="auto"/>
    <w:pitch w:val="default"/>
    <w:sig w:usb0="00000000" w:usb1="080E0000" w:usb2="00000000" w:usb3="00000000" w:csb0="00040000" w:csb1="00000000"/>
  </w:font>
  <w:font w:name="方正小标宋简体">
    <w:altName w:val="仿宋_GB2312"/>
    <w:charset w:val="86"/>
    <w:family w:val="auto"/>
    <w:pitch w:val="default"/>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粗黑宋简体">
    <w:charset w:val="86"/>
    <w:family w:val="auto"/>
    <w:pitch w:val="default"/>
    <w:sig w:usb0="A00002BF" w:usb1="184F6CFA"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87" w:rsidRDefault="000B0F18">
    <w:pPr>
      <w:pStyle w:val="aa"/>
      <w:framePr w:wrap="around" w:vAnchor="text" w:hAnchor="margin" w:xAlign="outside" w:y="1"/>
      <w:rPr>
        <w:rStyle w:val="a5"/>
      </w:rPr>
    </w:pPr>
    <w:r>
      <w:fldChar w:fldCharType="begin"/>
    </w:r>
    <w:r w:rsidR="00DA7887">
      <w:rPr>
        <w:rStyle w:val="a5"/>
      </w:rPr>
      <w:instrText xml:space="preserve">PAGE  </w:instrText>
    </w:r>
    <w:r>
      <w:fldChar w:fldCharType="separate"/>
    </w:r>
    <w:r w:rsidR="00DA7887">
      <w:rPr>
        <w:rStyle w:val="a5"/>
      </w:rPr>
      <w:t>- 1 -</w:t>
    </w:r>
    <w:r>
      <w:fldChar w:fldCharType="end"/>
    </w:r>
  </w:p>
  <w:p w:rsidR="00DA7887" w:rsidRDefault="00DA7887">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87" w:rsidRDefault="000B0F18">
    <w:pPr>
      <w:pStyle w:val="aa"/>
      <w:framePr w:wrap="around" w:vAnchor="text" w:hAnchor="margin" w:xAlign="outside" w:y="1"/>
      <w:rPr>
        <w:rStyle w:val="a5"/>
        <w:szCs w:val="24"/>
      </w:rPr>
    </w:pPr>
    <w:r>
      <w:rPr>
        <w:sz w:val="24"/>
        <w:szCs w:val="24"/>
      </w:rPr>
      <w:fldChar w:fldCharType="begin"/>
    </w:r>
    <w:r w:rsidR="00DA7887">
      <w:rPr>
        <w:rStyle w:val="a5"/>
        <w:szCs w:val="24"/>
      </w:rPr>
      <w:instrText xml:space="preserve">PAGE  </w:instrText>
    </w:r>
    <w:r>
      <w:rPr>
        <w:sz w:val="24"/>
        <w:szCs w:val="24"/>
      </w:rPr>
      <w:fldChar w:fldCharType="separate"/>
    </w:r>
    <w:r w:rsidR="00760FE5">
      <w:rPr>
        <w:rStyle w:val="a5"/>
        <w:noProof/>
        <w:szCs w:val="24"/>
      </w:rPr>
      <w:t>- 4 -</w:t>
    </w:r>
    <w:r>
      <w:rPr>
        <w:sz w:val="24"/>
        <w:szCs w:val="24"/>
      </w:rPr>
      <w:fldChar w:fldCharType="end"/>
    </w:r>
  </w:p>
  <w:p w:rsidR="00DA7887" w:rsidRDefault="00DA7887">
    <w:pPr>
      <w:pStyle w:val="aa"/>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ABD" w:rsidRDefault="000B0F18">
    <w:pPr>
      <w:pStyle w:val="aa"/>
      <w:framePr w:wrap="around" w:vAnchor="text" w:hAnchor="margin" w:xAlign="outside" w:y="1"/>
      <w:rPr>
        <w:rStyle w:val="a5"/>
        <w:szCs w:val="24"/>
      </w:rPr>
    </w:pPr>
    <w:r>
      <w:rPr>
        <w:sz w:val="24"/>
        <w:szCs w:val="24"/>
      </w:rPr>
      <w:fldChar w:fldCharType="begin"/>
    </w:r>
    <w:r w:rsidR="00B14ABD">
      <w:rPr>
        <w:rStyle w:val="a5"/>
        <w:szCs w:val="24"/>
      </w:rPr>
      <w:instrText xml:space="preserve">PAGE  </w:instrText>
    </w:r>
    <w:r>
      <w:rPr>
        <w:sz w:val="24"/>
        <w:szCs w:val="24"/>
      </w:rPr>
      <w:fldChar w:fldCharType="separate"/>
    </w:r>
    <w:r w:rsidR="00760FE5">
      <w:rPr>
        <w:rStyle w:val="a5"/>
        <w:noProof/>
        <w:szCs w:val="24"/>
      </w:rPr>
      <w:t>- 10 -</w:t>
    </w:r>
    <w:r>
      <w:rPr>
        <w:sz w:val="24"/>
        <w:szCs w:val="24"/>
      </w:rPr>
      <w:fldChar w:fldCharType="end"/>
    </w:r>
  </w:p>
  <w:p w:rsidR="00B14ABD" w:rsidRDefault="00B14ABD">
    <w:pPr>
      <w:pStyle w:val="aa"/>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318" w:rsidRDefault="00E23318">
      <w:r>
        <w:separator/>
      </w:r>
    </w:p>
  </w:footnote>
  <w:footnote w:type="continuationSeparator" w:id="1">
    <w:p w:rsidR="00E23318" w:rsidRDefault="00E23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87" w:rsidRDefault="00DA7887">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ABD" w:rsidRDefault="00B14ABD" w:rsidP="00D478E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92ABE1"/>
    <w:multiLevelType w:val="singleLevel"/>
    <w:tmpl w:val="9392ABE1"/>
    <w:lvl w:ilvl="0">
      <w:start w:val="3"/>
      <w:numFmt w:val="chineseCounting"/>
      <w:suff w:val="nothing"/>
      <w:lvlText w:val="%1、"/>
      <w:lvlJc w:val="left"/>
      <w:rPr>
        <w:rFonts w:hint="eastAsia"/>
      </w:rPr>
    </w:lvl>
  </w:abstractNum>
  <w:abstractNum w:abstractNumId="1">
    <w:nsid w:val="283E0760"/>
    <w:multiLevelType w:val="multilevel"/>
    <w:tmpl w:val="283E0760"/>
    <w:lvl w:ilvl="0">
      <w:start w:val="1"/>
      <w:numFmt w:val="japaneseCounting"/>
      <w:lvlText w:val="（%1）"/>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29DD88F"/>
    <w:multiLevelType w:val="singleLevel"/>
    <w:tmpl w:val="429DD88F"/>
    <w:lvl w:ilvl="0">
      <w:start w:val="2"/>
      <w:numFmt w:val="decimal"/>
      <w:suff w:val="nothing"/>
      <w:lvlText w:val="%1、"/>
      <w:lvlJc w:val="left"/>
    </w:lvl>
  </w:abstractNum>
  <w:abstractNum w:abstractNumId="3">
    <w:nsid w:val="4D1606DE"/>
    <w:multiLevelType w:val="hybridMultilevel"/>
    <w:tmpl w:val="1CE0316E"/>
    <w:lvl w:ilvl="0" w:tplc="299E0F94">
      <w:start w:val="1"/>
      <w:numFmt w:val="japaneseCounting"/>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4">
    <w:nsid w:val="5FDDC342"/>
    <w:multiLevelType w:val="singleLevel"/>
    <w:tmpl w:val="5FDDC342"/>
    <w:lvl w:ilvl="0">
      <w:start w:val="2"/>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attachedTemplate r:id="rId1"/>
  <w:stylePaneFormatFilter w:val="3F01"/>
  <w:defaultTabStop w:val="420"/>
  <w:drawingGridHorizontalSpacing w:val="0"/>
  <w:drawingGridVerticalSpacing w:val="579"/>
  <w:displayHorizontalDrawingGridEvery w:val="0"/>
  <w:characterSpacingControl w:val="compressPunctuation"/>
  <w:doNotValidateAgainstSchema/>
  <w:doNotDemarcateInvalidXml/>
  <w:hdrShapeDefaults>
    <o:shapedefaults v:ext="edit" spidmax="2150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825DFDE6-3BFB-4E28-92F3-4DCA9BDA8361}" w:val="MEsShbe10AWkJBDLYjKP6fVwgCdUuTcGRpOoHv=/3tz+NQFrx7yZ5Im4an2lqX89i"/>
    <w:docVar w:name="{AA059C7B-A2D9-49E0-AA3F-022EA5D666B8}" w:val="MEsShbe10AWkJBDLYjKP6fVwgCdUuTcGRpOoHv=/3tz+NQFrx7yZ5Im4an2lqX89i"/>
    <w:docVar w:name="{C5769879-CAA3-4F2D-896D-2BD5C55DA019}" w:val="MEsShbe10AWkJBDLYjKP6fVwgCdUuTcGRpOoHv=/3tz+NQFrx7yZ5Im4an2lqX89i"/>
    <w:docVar w:name="DocumentID" w:val="{EB232334-8B73-49FF-903F-6B612E899FF7}"/>
  </w:docVars>
  <w:rsids>
    <w:rsidRoot w:val="00172A27"/>
    <w:rsid w:val="0002058D"/>
    <w:rsid w:val="00024652"/>
    <w:rsid w:val="000352F3"/>
    <w:rsid w:val="00043641"/>
    <w:rsid w:val="000579F5"/>
    <w:rsid w:val="00064F24"/>
    <w:rsid w:val="00066D8C"/>
    <w:rsid w:val="00067E67"/>
    <w:rsid w:val="000719E8"/>
    <w:rsid w:val="000818FA"/>
    <w:rsid w:val="000846AE"/>
    <w:rsid w:val="00085871"/>
    <w:rsid w:val="00093901"/>
    <w:rsid w:val="000944B4"/>
    <w:rsid w:val="000A2013"/>
    <w:rsid w:val="000A6017"/>
    <w:rsid w:val="000A6D18"/>
    <w:rsid w:val="000B0F18"/>
    <w:rsid w:val="000B3D48"/>
    <w:rsid w:val="000B5382"/>
    <w:rsid w:val="000C1DB1"/>
    <w:rsid w:val="000C2CC7"/>
    <w:rsid w:val="000C41A9"/>
    <w:rsid w:val="000C487C"/>
    <w:rsid w:val="000F6E34"/>
    <w:rsid w:val="00105C49"/>
    <w:rsid w:val="0011000C"/>
    <w:rsid w:val="001129A3"/>
    <w:rsid w:val="00113630"/>
    <w:rsid w:val="00120606"/>
    <w:rsid w:val="00137B33"/>
    <w:rsid w:val="0014192A"/>
    <w:rsid w:val="00146238"/>
    <w:rsid w:val="00172A27"/>
    <w:rsid w:val="00174842"/>
    <w:rsid w:val="0017502B"/>
    <w:rsid w:val="001859E5"/>
    <w:rsid w:val="00186CB7"/>
    <w:rsid w:val="0019414B"/>
    <w:rsid w:val="00197A16"/>
    <w:rsid w:val="001A4604"/>
    <w:rsid w:val="001B01CB"/>
    <w:rsid w:val="001B4E4C"/>
    <w:rsid w:val="001D0898"/>
    <w:rsid w:val="001D1570"/>
    <w:rsid w:val="001D3064"/>
    <w:rsid w:val="001E3C79"/>
    <w:rsid w:val="001E76FB"/>
    <w:rsid w:val="001E7FB0"/>
    <w:rsid w:val="001F0B01"/>
    <w:rsid w:val="00203D3F"/>
    <w:rsid w:val="002055B4"/>
    <w:rsid w:val="00221ADE"/>
    <w:rsid w:val="00225615"/>
    <w:rsid w:val="00232143"/>
    <w:rsid w:val="00241E7C"/>
    <w:rsid w:val="00245DEE"/>
    <w:rsid w:val="00245DF8"/>
    <w:rsid w:val="0024728A"/>
    <w:rsid w:val="00254F20"/>
    <w:rsid w:val="0025608C"/>
    <w:rsid w:val="002572FB"/>
    <w:rsid w:val="00263DC0"/>
    <w:rsid w:val="002649D1"/>
    <w:rsid w:val="002652B4"/>
    <w:rsid w:val="00281B16"/>
    <w:rsid w:val="00283165"/>
    <w:rsid w:val="002852C7"/>
    <w:rsid w:val="002872C1"/>
    <w:rsid w:val="002A2D88"/>
    <w:rsid w:val="002A34E4"/>
    <w:rsid w:val="002B218F"/>
    <w:rsid w:val="002D5D01"/>
    <w:rsid w:val="002D703C"/>
    <w:rsid w:val="002F2BD1"/>
    <w:rsid w:val="002F4E66"/>
    <w:rsid w:val="00301A9C"/>
    <w:rsid w:val="00306EED"/>
    <w:rsid w:val="003224E7"/>
    <w:rsid w:val="0032753F"/>
    <w:rsid w:val="00331846"/>
    <w:rsid w:val="00333D41"/>
    <w:rsid w:val="00343A9F"/>
    <w:rsid w:val="00347853"/>
    <w:rsid w:val="003563FA"/>
    <w:rsid w:val="00363ADA"/>
    <w:rsid w:val="00382282"/>
    <w:rsid w:val="00382653"/>
    <w:rsid w:val="003871F9"/>
    <w:rsid w:val="003955C6"/>
    <w:rsid w:val="003A2B58"/>
    <w:rsid w:val="003A49ED"/>
    <w:rsid w:val="003A7273"/>
    <w:rsid w:val="003B7028"/>
    <w:rsid w:val="003C1602"/>
    <w:rsid w:val="003D0358"/>
    <w:rsid w:val="003D07BC"/>
    <w:rsid w:val="003D0C3D"/>
    <w:rsid w:val="003E1A85"/>
    <w:rsid w:val="003E1F52"/>
    <w:rsid w:val="003E2E4F"/>
    <w:rsid w:val="003F1981"/>
    <w:rsid w:val="003F6945"/>
    <w:rsid w:val="003F7ED5"/>
    <w:rsid w:val="00401FE6"/>
    <w:rsid w:val="00403E3C"/>
    <w:rsid w:val="00410887"/>
    <w:rsid w:val="004118CA"/>
    <w:rsid w:val="00421E82"/>
    <w:rsid w:val="00431105"/>
    <w:rsid w:val="00434575"/>
    <w:rsid w:val="00435251"/>
    <w:rsid w:val="00447187"/>
    <w:rsid w:val="004512E9"/>
    <w:rsid w:val="00452697"/>
    <w:rsid w:val="00455707"/>
    <w:rsid w:val="004618E8"/>
    <w:rsid w:val="00470A60"/>
    <w:rsid w:val="004720CB"/>
    <w:rsid w:val="00476939"/>
    <w:rsid w:val="00485A20"/>
    <w:rsid w:val="00485B4F"/>
    <w:rsid w:val="0049180F"/>
    <w:rsid w:val="0049773A"/>
    <w:rsid w:val="004A3CE1"/>
    <w:rsid w:val="004A3EF4"/>
    <w:rsid w:val="004A5975"/>
    <w:rsid w:val="004C270E"/>
    <w:rsid w:val="004D74E9"/>
    <w:rsid w:val="004F0A7B"/>
    <w:rsid w:val="004F1232"/>
    <w:rsid w:val="004F2D79"/>
    <w:rsid w:val="00511C2D"/>
    <w:rsid w:val="00512DF2"/>
    <w:rsid w:val="00515ECA"/>
    <w:rsid w:val="0051756F"/>
    <w:rsid w:val="005178EA"/>
    <w:rsid w:val="0052365B"/>
    <w:rsid w:val="005262B2"/>
    <w:rsid w:val="00531DB7"/>
    <w:rsid w:val="005353B8"/>
    <w:rsid w:val="005362EF"/>
    <w:rsid w:val="00544A17"/>
    <w:rsid w:val="00545EC9"/>
    <w:rsid w:val="00554BBA"/>
    <w:rsid w:val="00566CAF"/>
    <w:rsid w:val="00572EA7"/>
    <w:rsid w:val="0057680C"/>
    <w:rsid w:val="005803CC"/>
    <w:rsid w:val="00596CF3"/>
    <w:rsid w:val="005A292E"/>
    <w:rsid w:val="005C099B"/>
    <w:rsid w:val="005C375F"/>
    <w:rsid w:val="005D76B3"/>
    <w:rsid w:val="005E2039"/>
    <w:rsid w:val="005F5AD9"/>
    <w:rsid w:val="005F74E9"/>
    <w:rsid w:val="00602273"/>
    <w:rsid w:val="0061324D"/>
    <w:rsid w:val="0061574F"/>
    <w:rsid w:val="00620638"/>
    <w:rsid w:val="00620942"/>
    <w:rsid w:val="00620BEE"/>
    <w:rsid w:val="00622B59"/>
    <w:rsid w:val="00627AED"/>
    <w:rsid w:val="00637024"/>
    <w:rsid w:val="00640DB7"/>
    <w:rsid w:val="00643419"/>
    <w:rsid w:val="00655142"/>
    <w:rsid w:val="00657B08"/>
    <w:rsid w:val="0066393F"/>
    <w:rsid w:val="00676FCF"/>
    <w:rsid w:val="00680DF9"/>
    <w:rsid w:val="006833EF"/>
    <w:rsid w:val="00690934"/>
    <w:rsid w:val="006B014A"/>
    <w:rsid w:val="006C2965"/>
    <w:rsid w:val="006D627D"/>
    <w:rsid w:val="006D7B72"/>
    <w:rsid w:val="006E3361"/>
    <w:rsid w:val="006F11DE"/>
    <w:rsid w:val="006F672D"/>
    <w:rsid w:val="00706807"/>
    <w:rsid w:val="00712C17"/>
    <w:rsid w:val="0071461C"/>
    <w:rsid w:val="007218DA"/>
    <w:rsid w:val="007308C0"/>
    <w:rsid w:val="007319F8"/>
    <w:rsid w:val="00732008"/>
    <w:rsid w:val="00744300"/>
    <w:rsid w:val="00745435"/>
    <w:rsid w:val="00751D5B"/>
    <w:rsid w:val="00752EF2"/>
    <w:rsid w:val="00760F0A"/>
    <w:rsid w:val="00760FE5"/>
    <w:rsid w:val="0077028E"/>
    <w:rsid w:val="00776737"/>
    <w:rsid w:val="00783A65"/>
    <w:rsid w:val="00792247"/>
    <w:rsid w:val="007A558F"/>
    <w:rsid w:val="007B18A2"/>
    <w:rsid w:val="007B1A1C"/>
    <w:rsid w:val="007C508C"/>
    <w:rsid w:val="007D40BF"/>
    <w:rsid w:val="007D4EF5"/>
    <w:rsid w:val="007D4FB5"/>
    <w:rsid w:val="007D6E76"/>
    <w:rsid w:val="007E03D1"/>
    <w:rsid w:val="007E1CF1"/>
    <w:rsid w:val="007E54BC"/>
    <w:rsid w:val="007F382B"/>
    <w:rsid w:val="007F49C0"/>
    <w:rsid w:val="00811880"/>
    <w:rsid w:val="00812800"/>
    <w:rsid w:val="00815A7C"/>
    <w:rsid w:val="0082186F"/>
    <w:rsid w:val="00827399"/>
    <w:rsid w:val="00841F9F"/>
    <w:rsid w:val="0084444D"/>
    <w:rsid w:val="00846B83"/>
    <w:rsid w:val="00854729"/>
    <w:rsid w:val="00855FA0"/>
    <w:rsid w:val="00856A43"/>
    <w:rsid w:val="00862056"/>
    <w:rsid w:val="00863985"/>
    <w:rsid w:val="008644AC"/>
    <w:rsid w:val="008747B6"/>
    <w:rsid w:val="008748BC"/>
    <w:rsid w:val="00874F96"/>
    <w:rsid w:val="00875E1A"/>
    <w:rsid w:val="00890B62"/>
    <w:rsid w:val="00893C75"/>
    <w:rsid w:val="008A13B8"/>
    <w:rsid w:val="008A7F90"/>
    <w:rsid w:val="008B4F50"/>
    <w:rsid w:val="008B5121"/>
    <w:rsid w:val="008C230A"/>
    <w:rsid w:val="008C506F"/>
    <w:rsid w:val="008D3C9D"/>
    <w:rsid w:val="008E17E9"/>
    <w:rsid w:val="008F3B38"/>
    <w:rsid w:val="008F61A8"/>
    <w:rsid w:val="009018E7"/>
    <w:rsid w:val="0090240E"/>
    <w:rsid w:val="0090244B"/>
    <w:rsid w:val="00911685"/>
    <w:rsid w:val="00920441"/>
    <w:rsid w:val="00924E7D"/>
    <w:rsid w:val="00927A4C"/>
    <w:rsid w:val="00935734"/>
    <w:rsid w:val="00944FBB"/>
    <w:rsid w:val="009513C6"/>
    <w:rsid w:val="009537E0"/>
    <w:rsid w:val="00965C12"/>
    <w:rsid w:val="009774F1"/>
    <w:rsid w:val="009806DF"/>
    <w:rsid w:val="009841EE"/>
    <w:rsid w:val="00991041"/>
    <w:rsid w:val="00992C88"/>
    <w:rsid w:val="0099580D"/>
    <w:rsid w:val="009A1A30"/>
    <w:rsid w:val="009A6DED"/>
    <w:rsid w:val="009B31C7"/>
    <w:rsid w:val="009B3750"/>
    <w:rsid w:val="009B7579"/>
    <w:rsid w:val="009C379C"/>
    <w:rsid w:val="009C6DD9"/>
    <w:rsid w:val="009D0C21"/>
    <w:rsid w:val="009E1982"/>
    <w:rsid w:val="009E6E59"/>
    <w:rsid w:val="009F2882"/>
    <w:rsid w:val="009F3E10"/>
    <w:rsid w:val="009F499E"/>
    <w:rsid w:val="00A021BA"/>
    <w:rsid w:val="00A03B6F"/>
    <w:rsid w:val="00A12FEE"/>
    <w:rsid w:val="00A2555F"/>
    <w:rsid w:val="00A25CD9"/>
    <w:rsid w:val="00A43E97"/>
    <w:rsid w:val="00A44D96"/>
    <w:rsid w:val="00A83945"/>
    <w:rsid w:val="00A92133"/>
    <w:rsid w:val="00A954D4"/>
    <w:rsid w:val="00A95B60"/>
    <w:rsid w:val="00A97757"/>
    <w:rsid w:val="00AA3EEC"/>
    <w:rsid w:val="00AC65A4"/>
    <w:rsid w:val="00AD1792"/>
    <w:rsid w:val="00AE2609"/>
    <w:rsid w:val="00AE3EE4"/>
    <w:rsid w:val="00B03E9D"/>
    <w:rsid w:val="00B0470C"/>
    <w:rsid w:val="00B04713"/>
    <w:rsid w:val="00B0500E"/>
    <w:rsid w:val="00B059BF"/>
    <w:rsid w:val="00B14ABD"/>
    <w:rsid w:val="00B365C9"/>
    <w:rsid w:val="00B47B74"/>
    <w:rsid w:val="00B57573"/>
    <w:rsid w:val="00B60174"/>
    <w:rsid w:val="00B61D4A"/>
    <w:rsid w:val="00B65CBA"/>
    <w:rsid w:val="00B83031"/>
    <w:rsid w:val="00B84C61"/>
    <w:rsid w:val="00B8553A"/>
    <w:rsid w:val="00B92A7A"/>
    <w:rsid w:val="00B96C78"/>
    <w:rsid w:val="00BA0186"/>
    <w:rsid w:val="00BA65A2"/>
    <w:rsid w:val="00BA72B8"/>
    <w:rsid w:val="00BB4DD3"/>
    <w:rsid w:val="00BC2D89"/>
    <w:rsid w:val="00BC548D"/>
    <w:rsid w:val="00BE0B93"/>
    <w:rsid w:val="00BE4125"/>
    <w:rsid w:val="00BF12E1"/>
    <w:rsid w:val="00BF7933"/>
    <w:rsid w:val="00C01F7E"/>
    <w:rsid w:val="00C118C3"/>
    <w:rsid w:val="00C304A9"/>
    <w:rsid w:val="00C35D6F"/>
    <w:rsid w:val="00C4330E"/>
    <w:rsid w:val="00C447A4"/>
    <w:rsid w:val="00C62B99"/>
    <w:rsid w:val="00C71E09"/>
    <w:rsid w:val="00C83776"/>
    <w:rsid w:val="00C90E56"/>
    <w:rsid w:val="00C92A17"/>
    <w:rsid w:val="00C97993"/>
    <w:rsid w:val="00CC11F2"/>
    <w:rsid w:val="00CC34A3"/>
    <w:rsid w:val="00CC4745"/>
    <w:rsid w:val="00CC483F"/>
    <w:rsid w:val="00CC4CC6"/>
    <w:rsid w:val="00CC6FF2"/>
    <w:rsid w:val="00CD7FE9"/>
    <w:rsid w:val="00CE1B19"/>
    <w:rsid w:val="00CE7F85"/>
    <w:rsid w:val="00CF28C3"/>
    <w:rsid w:val="00CF553D"/>
    <w:rsid w:val="00D03400"/>
    <w:rsid w:val="00D06652"/>
    <w:rsid w:val="00D06B3A"/>
    <w:rsid w:val="00D07DE2"/>
    <w:rsid w:val="00D1292F"/>
    <w:rsid w:val="00D13F06"/>
    <w:rsid w:val="00D20C80"/>
    <w:rsid w:val="00D20D33"/>
    <w:rsid w:val="00D23879"/>
    <w:rsid w:val="00D266F1"/>
    <w:rsid w:val="00D26EB4"/>
    <w:rsid w:val="00D33278"/>
    <w:rsid w:val="00D4043C"/>
    <w:rsid w:val="00D44AC3"/>
    <w:rsid w:val="00D478E5"/>
    <w:rsid w:val="00D56072"/>
    <w:rsid w:val="00D64DCF"/>
    <w:rsid w:val="00D77445"/>
    <w:rsid w:val="00D819F8"/>
    <w:rsid w:val="00D82248"/>
    <w:rsid w:val="00D95394"/>
    <w:rsid w:val="00DA0F50"/>
    <w:rsid w:val="00DA7887"/>
    <w:rsid w:val="00DB00A8"/>
    <w:rsid w:val="00DB00D2"/>
    <w:rsid w:val="00DB05C1"/>
    <w:rsid w:val="00DC28C1"/>
    <w:rsid w:val="00DD7D07"/>
    <w:rsid w:val="00DF045D"/>
    <w:rsid w:val="00DF2A43"/>
    <w:rsid w:val="00DF43EF"/>
    <w:rsid w:val="00E13D0A"/>
    <w:rsid w:val="00E20329"/>
    <w:rsid w:val="00E23318"/>
    <w:rsid w:val="00E32810"/>
    <w:rsid w:val="00E350F1"/>
    <w:rsid w:val="00E37724"/>
    <w:rsid w:val="00E50D88"/>
    <w:rsid w:val="00E525AA"/>
    <w:rsid w:val="00E53903"/>
    <w:rsid w:val="00E66501"/>
    <w:rsid w:val="00E71FAC"/>
    <w:rsid w:val="00E86438"/>
    <w:rsid w:val="00E90063"/>
    <w:rsid w:val="00E943FF"/>
    <w:rsid w:val="00E95C33"/>
    <w:rsid w:val="00E96B5F"/>
    <w:rsid w:val="00EA355A"/>
    <w:rsid w:val="00EA7513"/>
    <w:rsid w:val="00EB7FBB"/>
    <w:rsid w:val="00EC6E69"/>
    <w:rsid w:val="00EC723C"/>
    <w:rsid w:val="00ED52C1"/>
    <w:rsid w:val="00ED77A1"/>
    <w:rsid w:val="00EF2CE3"/>
    <w:rsid w:val="00EF361A"/>
    <w:rsid w:val="00EF7FE8"/>
    <w:rsid w:val="00F00DCE"/>
    <w:rsid w:val="00F03E7B"/>
    <w:rsid w:val="00F042D3"/>
    <w:rsid w:val="00F13404"/>
    <w:rsid w:val="00F14A45"/>
    <w:rsid w:val="00F15730"/>
    <w:rsid w:val="00F22016"/>
    <w:rsid w:val="00F371D0"/>
    <w:rsid w:val="00F879EE"/>
    <w:rsid w:val="00F9202B"/>
    <w:rsid w:val="00F976BB"/>
    <w:rsid w:val="00FA4178"/>
    <w:rsid w:val="00FA5E5C"/>
    <w:rsid w:val="00FB4BE7"/>
    <w:rsid w:val="00FC2936"/>
    <w:rsid w:val="00FD696A"/>
    <w:rsid w:val="00FF120C"/>
    <w:rsid w:val="01FD217B"/>
    <w:rsid w:val="023666D1"/>
    <w:rsid w:val="02402EC0"/>
    <w:rsid w:val="05CA210C"/>
    <w:rsid w:val="071D4555"/>
    <w:rsid w:val="07CF1D6D"/>
    <w:rsid w:val="0A5D0FA0"/>
    <w:rsid w:val="0AEE0240"/>
    <w:rsid w:val="0DD7312E"/>
    <w:rsid w:val="0F5E28E7"/>
    <w:rsid w:val="116117EF"/>
    <w:rsid w:val="11AF52AF"/>
    <w:rsid w:val="128846F4"/>
    <w:rsid w:val="16C0160A"/>
    <w:rsid w:val="174F49CD"/>
    <w:rsid w:val="18765A0E"/>
    <w:rsid w:val="18F37B5C"/>
    <w:rsid w:val="19AB437A"/>
    <w:rsid w:val="19EF5BBE"/>
    <w:rsid w:val="1A85418F"/>
    <w:rsid w:val="1BF6307F"/>
    <w:rsid w:val="1D0D5DA4"/>
    <w:rsid w:val="1D0E163B"/>
    <w:rsid w:val="1DFF028A"/>
    <w:rsid w:val="1E161E6D"/>
    <w:rsid w:val="1E2361DF"/>
    <w:rsid w:val="1E882332"/>
    <w:rsid w:val="1F053CF4"/>
    <w:rsid w:val="1F1D139B"/>
    <w:rsid w:val="20B735CF"/>
    <w:rsid w:val="22405740"/>
    <w:rsid w:val="238236DA"/>
    <w:rsid w:val="23D32B70"/>
    <w:rsid w:val="248F0487"/>
    <w:rsid w:val="250915DD"/>
    <w:rsid w:val="25E20E5E"/>
    <w:rsid w:val="263C7249"/>
    <w:rsid w:val="27E54DAB"/>
    <w:rsid w:val="2B4A4973"/>
    <w:rsid w:val="2BDB17EB"/>
    <w:rsid w:val="2C6425E2"/>
    <w:rsid w:val="2DE0637A"/>
    <w:rsid w:val="2E0B3C17"/>
    <w:rsid w:val="2E484AA5"/>
    <w:rsid w:val="2EB7065A"/>
    <w:rsid w:val="2FB77156"/>
    <w:rsid w:val="32D64AF4"/>
    <w:rsid w:val="33564149"/>
    <w:rsid w:val="340706E9"/>
    <w:rsid w:val="36D265FE"/>
    <w:rsid w:val="396C3D44"/>
    <w:rsid w:val="3AD0360B"/>
    <w:rsid w:val="3B7F3E14"/>
    <w:rsid w:val="429719F7"/>
    <w:rsid w:val="43B37EA1"/>
    <w:rsid w:val="44094798"/>
    <w:rsid w:val="48700764"/>
    <w:rsid w:val="48EE48B5"/>
    <w:rsid w:val="49611371"/>
    <w:rsid w:val="49624874"/>
    <w:rsid w:val="4CBC6B75"/>
    <w:rsid w:val="4F8A7C0C"/>
    <w:rsid w:val="4FF82163"/>
    <w:rsid w:val="51DF265F"/>
    <w:rsid w:val="53FE18E7"/>
    <w:rsid w:val="54826505"/>
    <w:rsid w:val="54BF463A"/>
    <w:rsid w:val="57206773"/>
    <w:rsid w:val="579E25C5"/>
    <w:rsid w:val="598516EC"/>
    <w:rsid w:val="598900F2"/>
    <w:rsid w:val="59C3598C"/>
    <w:rsid w:val="5A224791"/>
    <w:rsid w:val="5B856C33"/>
    <w:rsid w:val="5E1A7EF1"/>
    <w:rsid w:val="5FF73BFE"/>
    <w:rsid w:val="60472A84"/>
    <w:rsid w:val="61C7299E"/>
    <w:rsid w:val="621C492D"/>
    <w:rsid w:val="631E4D0B"/>
    <w:rsid w:val="64E25391"/>
    <w:rsid w:val="676908CE"/>
    <w:rsid w:val="683D085A"/>
    <w:rsid w:val="6A130970"/>
    <w:rsid w:val="6A5E6092"/>
    <w:rsid w:val="6CEA4B44"/>
    <w:rsid w:val="6D9F03BD"/>
    <w:rsid w:val="713416C3"/>
    <w:rsid w:val="71BF035D"/>
    <w:rsid w:val="722B5438"/>
    <w:rsid w:val="724B2010"/>
    <w:rsid w:val="74D85EC1"/>
    <w:rsid w:val="75D77FE2"/>
    <w:rsid w:val="779415BD"/>
    <w:rsid w:val="77C5560F"/>
    <w:rsid w:val="78B24FB1"/>
    <w:rsid w:val="79236A7E"/>
    <w:rsid w:val="7A6079EF"/>
    <w:rsid w:val="7C4E2200"/>
    <w:rsid w:val="7DE91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semiHidden="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semiHidden="0"/>
    <w:lsdException w:name="Balloon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5D"/>
    <w:pPr>
      <w:widowControl w:val="0"/>
      <w:jc w:val="both"/>
    </w:pPr>
    <w:rPr>
      <w:rFonts w:eastAsia="方正仿宋"/>
      <w:kern w:val="2"/>
      <w:sz w:val="32"/>
      <w:szCs w:val="32"/>
    </w:rPr>
  </w:style>
  <w:style w:type="paragraph" w:styleId="1">
    <w:name w:val="heading 1"/>
    <w:basedOn w:val="a"/>
    <w:next w:val="a"/>
    <w:qFormat/>
    <w:rsid w:val="00DF045D"/>
    <w:pPr>
      <w:keepNext/>
      <w:spacing w:line="560" w:lineRule="exact"/>
      <w:jc w:val="center"/>
      <w:outlineLvl w:val="0"/>
    </w:pPr>
    <w:rPr>
      <w:rFonts w:ascii="仿宋_GB2312" w:eastAsia="方正小标宋简体" w:cs="仿宋_GB2312"/>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basedOn w:val="a0"/>
    <w:link w:val="a3"/>
    <w:uiPriority w:val="99"/>
    <w:rsid w:val="00DF045D"/>
    <w:rPr>
      <w:rFonts w:ascii="方正仿宋_GBK"/>
      <w:kern w:val="2"/>
      <w:sz w:val="30"/>
      <w:szCs w:val="24"/>
    </w:rPr>
  </w:style>
  <w:style w:type="character" w:styleId="a4">
    <w:name w:val="Hyperlink"/>
    <w:basedOn w:val="a0"/>
    <w:rsid w:val="00DF045D"/>
    <w:rPr>
      <w:color w:val="0000FF"/>
      <w:u w:val="single"/>
    </w:rPr>
  </w:style>
  <w:style w:type="character" w:styleId="a5">
    <w:name w:val="page number"/>
    <w:basedOn w:val="a0"/>
    <w:rsid w:val="00DF045D"/>
  </w:style>
  <w:style w:type="paragraph" w:customStyle="1" w:styleId="p0">
    <w:name w:val="p0"/>
    <w:basedOn w:val="a"/>
    <w:rsid w:val="00DF045D"/>
    <w:pPr>
      <w:widowControl/>
    </w:pPr>
    <w:rPr>
      <w:rFonts w:eastAsia="宋体"/>
      <w:kern w:val="0"/>
    </w:rPr>
  </w:style>
  <w:style w:type="paragraph" w:styleId="a3">
    <w:name w:val="Body Text"/>
    <w:basedOn w:val="a"/>
    <w:link w:val="Char"/>
    <w:uiPriority w:val="99"/>
    <w:rsid w:val="00DF045D"/>
    <w:pPr>
      <w:jc w:val="center"/>
    </w:pPr>
    <w:rPr>
      <w:rFonts w:ascii="方正仿宋_GBK" w:eastAsia="宋体"/>
      <w:sz w:val="30"/>
      <w:szCs w:val="24"/>
    </w:rPr>
  </w:style>
  <w:style w:type="paragraph" w:styleId="a6">
    <w:name w:val="Date"/>
    <w:basedOn w:val="a"/>
    <w:next w:val="a"/>
    <w:rsid w:val="00DF045D"/>
    <w:rPr>
      <w:rFonts w:eastAsia="仿宋_GB2312"/>
    </w:rPr>
  </w:style>
  <w:style w:type="paragraph" w:styleId="a7">
    <w:name w:val="Balloon Text"/>
    <w:basedOn w:val="a"/>
    <w:semiHidden/>
    <w:rsid w:val="00DF045D"/>
    <w:rPr>
      <w:sz w:val="18"/>
      <w:szCs w:val="18"/>
    </w:rPr>
  </w:style>
  <w:style w:type="paragraph" w:styleId="a8">
    <w:name w:val="header"/>
    <w:basedOn w:val="a"/>
    <w:rsid w:val="00DF045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DF045D"/>
    <w:pPr>
      <w:widowControl/>
      <w:spacing w:before="100" w:beforeAutospacing="1" w:after="100" w:afterAutospacing="1"/>
      <w:jc w:val="left"/>
    </w:pPr>
    <w:rPr>
      <w:rFonts w:ascii="宋体" w:eastAsia="宋体" w:hAnsi="宋体" w:cs="宋体"/>
      <w:kern w:val="0"/>
      <w:sz w:val="24"/>
      <w:szCs w:val="24"/>
    </w:rPr>
  </w:style>
  <w:style w:type="paragraph" w:styleId="aa">
    <w:name w:val="footer"/>
    <w:basedOn w:val="a"/>
    <w:link w:val="Char0"/>
    <w:rsid w:val="00DF045D"/>
    <w:pPr>
      <w:tabs>
        <w:tab w:val="center" w:pos="4153"/>
        <w:tab w:val="right" w:pos="8306"/>
      </w:tabs>
      <w:snapToGrid w:val="0"/>
      <w:jc w:val="left"/>
    </w:pPr>
    <w:rPr>
      <w:sz w:val="18"/>
      <w:szCs w:val="18"/>
    </w:rPr>
  </w:style>
  <w:style w:type="paragraph" w:customStyle="1" w:styleId="CharCharChar1CharCharCharCharCharCharCharCharCharChar">
    <w:name w:val="Char Char Char1 Char Char Char Char Char Char Char Char Char Char"/>
    <w:basedOn w:val="a"/>
    <w:semiHidden/>
    <w:rsid w:val="00DF045D"/>
    <w:pPr>
      <w:adjustRightInd w:val="0"/>
      <w:snapToGrid w:val="0"/>
      <w:spacing w:line="360" w:lineRule="auto"/>
      <w:ind w:firstLineChars="200" w:firstLine="200"/>
    </w:pPr>
    <w:rPr>
      <w:rFonts w:ascii="宋体" w:eastAsia="宋体" w:hAnsi="宋体" w:cs="宋体"/>
      <w:sz w:val="24"/>
      <w:szCs w:val="26"/>
    </w:rPr>
  </w:style>
  <w:style w:type="paragraph" w:styleId="ab">
    <w:name w:val="Body Text Indent"/>
    <w:basedOn w:val="a"/>
    <w:link w:val="Char1"/>
    <w:uiPriority w:val="99"/>
    <w:unhideWhenUsed/>
    <w:rsid w:val="0077028E"/>
    <w:pPr>
      <w:spacing w:after="120"/>
      <w:ind w:leftChars="200" w:left="420"/>
    </w:pPr>
  </w:style>
  <w:style w:type="character" w:customStyle="1" w:styleId="Char1">
    <w:name w:val="正文文本缩进 Char"/>
    <w:basedOn w:val="a0"/>
    <w:link w:val="ab"/>
    <w:uiPriority w:val="99"/>
    <w:semiHidden/>
    <w:rsid w:val="0077028E"/>
    <w:rPr>
      <w:rFonts w:eastAsia="方正仿宋"/>
      <w:kern w:val="2"/>
      <w:sz w:val="32"/>
      <w:szCs w:val="3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620BEE"/>
    <w:rPr>
      <w:rFonts w:ascii="宋体" w:eastAsia="方正仿宋_GBK" w:hAnsi="宋体" w:cs="Courier New"/>
      <w:color w:val="000000"/>
      <w:kern w:val="0"/>
      <w:sz w:val="21"/>
      <w:szCs w:val="20"/>
    </w:rPr>
  </w:style>
  <w:style w:type="character" w:customStyle="1" w:styleId="Char0">
    <w:name w:val="页脚 Char"/>
    <w:link w:val="aa"/>
    <w:rsid w:val="00DA7887"/>
    <w:rPr>
      <w:rFonts w:eastAsia="方正仿宋"/>
      <w:kern w:val="2"/>
      <w:sz w:val="18"/>
      <w:szCs w:val="18"/>
    </w:rPr>
  </w:style>
  <w:style w:type="paragraph" w:styleId="HTML">
    <w:name w:val="HTML Preformatted"/>
    <w:basedOn w:val="a"/>
    <w:link w:val="HTMLChar"/>
    <w:uiPriority w:val="99"/>
    <w:unhideWhenUsed/>
    <w:qFormat/>
    <w:rsid w:val="00DA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Char">
    <w:name w:val="HTML 预设格式 Char"/>
    <w:basedOn w:val="a0"/>
    <w:link w:val="HTML"/>
    <w:uiPriority w:val="99"/>
    <w:rsid w:val="00DA7887"/>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3A7174-DC13-4E19-9CB5-15952CDA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TotalTime>12</TotalTime>
  <Pages>10</Pages>
  <Words>613</Words>
  <Characters>3497</Characters>
  <Application>Microsoft Office Word</Application>
  <DocSecurity>0</DocSecurity>
  <PresentationFormat/>
  <Lines>29</Lines>
  <Paragraphs>8</Paragraphs>
  <Slides>0</Slides>
  <Notes>0</Notes>
  <HiddenSlides>0</HiddenSlides>
  <MMClips>0</MMClips>
  <ScaleCrop>false</ScaleCrop>
  <Company>珍溪镇政府</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涪陵区珍溪镇人民政府文件</dc:title>
  <dc:creator>珍溪镇党政办</dc:creator>
  <cp:lastModifiedBy>Lenovo</cp:lastModifiedBy>
  <cp:revision>8</cp:revision>
  <cp:lastPrinted>2021-05-07T07:33:00Z</cp:lastPrinted>
  <dcterms:created xsi:type="dcterms:W3CDTF">2023-01-13T06:23:00Z</dcterms:created>
  <dcterms:modified xsi:type="dcterms:W3CDTF">2023-05-04T08:24:00Z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