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cs="宋体"/>
          <w:color w:val="auto"/>
          <w:sz w:val="21"/>
          <w:szCs w:val="21"/>
          <w:highlight w:val="none"/>
        </w:rPr>
      </w:pPr>
      <w:bookmarkStart w:id="0" w:name="_GoBack"/>
      <w:bookmarkEnd w:id="0"/>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highlight w:val="none"/>
              </w:rPr>
            </w:pPr>
            <w:r>
              <w:rPr>
                <w:rFonts w:cs="宋体"/>
                <w:b/>
                <w:color w:val="auto"/>
                <w:sz w:val="32"/>
                <w:szCs w:val="32"/>
                <w:highlight w:val="none"/>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0"/>
                <w:szCs w:val="20"/>
                <w:highlight w:val="none"/>
              </w:rPr>
            </w:pP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auto"/>
                <w:sz w:val="20"/>
                <w:szCs w:val="20"/>
                <w:highlight w:val="none"/>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0"/>
                <w:szCs w:val="20"/>
                <w:highlight w:val="none"/>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highlight w:val="none"/>
              </w:rPr>
            </w:pPr>
            <w:r>
              <w:rPr>
                <w:rFonts w:cs="宋体"/>
                <w:color w:val="auto"/>
                <w:sz w:val="20"/>
                <w:szCs w:val="20"/>
                <w:highlight w:val="none"/>
              </w:rPr>
              <w:t>公开01表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auto"/>
                <w:sz w:val="20"/>
                <w:szCs w:val="20"/>
                <w:highlight w:val="none"/>
              </w:rPr>
            </w:pPr>
            <w:r>
              <w:rPr>
                <w:rFonts w:cs="宋体"/>
                <w:color w:val="auto"/>
                <w:sz w:val="20"/>
                <w:szCs w:val="20"/>
                <w:highlight w:val="none"/>
              </w:rPr>
              <w:t>公开部门：</w:t>
            </w:r>
            <w:r>
              <w:rPr>
                <w:color w:val="auto"/>
                <w:sz w:val="20"/>
                <w:highlight w:val="none"/>
                <w:u w:color="auto"/>
              </w:rPr>
              <w:t>中共重庆市涪陵区委直属机关工作委员会</w:t>
            </w: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auto"/>
                <w:sz w:val="22"/>
                <w:szCs w:val="22"/>
                <w:highlight w:val="none"/>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2"/>
                <w:szCs w:val="22"/>
                <w:highlight w:val="none"/>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highlight w:val="none"/>
              </w:rPr>
            </w:pPr>
            <w:r>
              <w:rPr>
                <w:rFonts w:cs="宋体"/>
                <w:color w:val="auto"/>
                <w:sz w:val="20"/>
                <w:szCs w:val="20"/>
                <w:highlight w:val="none"/>
              </w:rPr>
              <w:t>单位：万元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收入</w:t>
            </w:r>
          </w:p>
        </w:tc>
        <w:tc>
          <w:tcPr>
            <w:tcW w:w="2679"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项目</w:t>
            </w:r>
          </w:p>
        </w:tc>
        <w:tc>
          <w:tcPr>
            <w:tcW w:w="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功能分类科目</w:t>
            </w:r>
          </w:p>
        </w:tc>
        <w:tc>
          <w:tcPr>
            <w:tcW w:w="11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一、一般公共预算财政拨款收入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rFonts w:cs="宋体"/>
                <w:color w:val="auto"/>
                <w:sz w:val="20"/>
                <w:szCs w:val="20"/>
                <w:highlight w:val="none"/>
              </w:rPr>
              <w:t>385.14</w:t>
            </w:r>
            <w:r>
              <w:rPr>
                <w:color w:val="auto"/>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一、一般公共服务支出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rFonts w:cs="宋体"/>
                <w:color w:val="auto"/>
                <w:sz w:val="20"/>
                <w:szCs w:val="20"/>
                <w:highlight w:val="none"/>
              </w:rPr>
              <w:t>288.28</w:t>
            </w: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二、政府性基金预算财政拨款收入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二、外交支出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三、国有资本经营预算财政拨款收入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三、国防支出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四、上级补助收入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四、公共安全支出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五、事业收入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五、教育支出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六、经营收入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六、科学技术支出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七、附属单位上缴收入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七、文化旅游体育与传媒支出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八、其他收入</w:t>
            </w:r>
          </w:p>
        </w:tc>
        <w:tc>
          <w:tcPr>
            <w:tcW w:w="655"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八、社会保障和就业支出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rFonts w:cs="宋体"/>
                <w:color w:val="auto"/>
                <w:sz w:val="20"/>
                <w:szCs w:val="20"/>
                <w:highlight w:val="none"/>
              </w:rPr>
              <w:t>74.99</w:t>
            </w: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highlight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九、卫生健康支出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rFonts w:cs="宋体"/>
                <w:color w:val="auto"/>
                <w:sz w:val="20"/>
                <w:szCs w:val="20"/>
                <w:highlight w:val="none"/>
              </w:rPr>
              <w:t>14.36</w:t>
            </w: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highlight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十、节能环保支出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highlight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十一、城乡社区支出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highlight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十二、农林水支出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highlight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十三、交通运输支出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highlight w:val="none"/>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十四、资源勘探工业信息等支出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highlight w:val="none"/>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十五、商业服务业等支出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highlight w:val="none"/>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十六、金融支出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highlight w:val="none"/>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十七、援助其他地区支出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highlight w:val="none"/>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十八、自然资源海洋气象等支出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highlight w:val="none"/>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十九、住房保障支出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rFonts w:cs="宋体"/>
                <w:color w:val="auto"/>
                <w:sz w:val="20"/>
                <w:szCs w:val="20"/>
                <w:highlight w:val="none"/>
              </w:rPr>
              <w:t>10.02</w:t>
            </w: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highlight w:val="none"/>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二十、粮油物资储备支出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highlight w:val="none"/>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二十一、国有资本经营预算支出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highlight w:val="none"/>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二十二、灾害防治及应急管理支出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highlight w:val="none"/>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二十三、其他支出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auto"/>
                <w:sz w:val="20"/>
                <w:szCs w:val="20"/>
                <w:highlight w:val="none"/>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二十四、债务还本支出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highlight w:val="none"/>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二十五、债务付息支出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highlight w:val="none"/>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二十六、抗疫特别国债安排的支出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本年收入合计</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rFonts w:cs="宋体"/>
                <w:color w:val="auto"/>
                <w:sz w:val="20"/>
                <w:szCs w:val="20"/>
                <w:highlight w:val="none"/>
              </w:rPr>
              <w:t>385.14</w:t>
            </w:r>
            <w:r>
              <w:rPr>
                <w:color w:val="auto"/>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本年支出合计</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rFonts w:cs="宋体"/>
                <w:color w:val="auto"/>
                <w:sz w:val="20"/>
                <w:szCs w:val="20"/>
                <w:highlight w:val="none"/>
              </w:rPr>
              <w:t>387.65</w:t>
            </w: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使用非财政拨款结余和专用结余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结余分配</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年初结转和结余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rFonts w:cs="宋体"/>
                <w:color w:val="auto"/>
                <w:sz w:val="20"/>
                <w:szCs w:val="20"/>
                <w:highlight w:val="none"/>
              </w:rPr>
              <w:t>4.56</w:t>
            </w:r>
            <w:r>
              <w:rPr>
                <w:color w:val="auto"/>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年末结转和结余</w:t>
            </w:r>
          </w:p>
        </w:tc>
        <w:tc>
          <w:tcPr>
            <w:tcW w:w="111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rFonts w:cs="宋体"/>
                <w:color w:val="auto"/>
                <w:sz w:val="20"/>
                <w:szCs w:val="20"/>
                <w:highlight w:val="none"/>
              </w:rPr>
              <w:t>2.05</w:t>
            </w:r>
            <w:r>
              <w:rPr>
                <w:color w:val="auto"/>
                <w:sz w:val="20"/>
                <w:highlight w:val="none"/>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rFonts w:cs="宋体"/>
                <w:color w:val="auto"/>
                <w:sz w:val="20"/>
                <w:szCs w:val="20"/>
                <w:highlight w:val="none"/>
              </w:rPr>
              <w:t>389.71</w:t>
            </w:r>
            <w:r>
              <w:rPr>
                <w:color w:val="auto"/>
                <w:sz w:val="20"/>
                <w:highlight w:val="none"/>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总计</w:t>
            </w:r>
          </w:p>
        </w:tc>
        <w:tc>
          <w:tcPr>
            <w:tcW w:w="11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highlight w:val="none"/>
              </w:rPr>
            </w:pPr>
            <w:r>
              <w:rPr>
                <w:rFonts w:cs="宋体"/>
                <w:color w:val="auto"/>
                <w:sz w:val="20"/>
                <w:szCs w:val="20"/>
                <w:highlight w:val="none"/>
              </w:rPr>
              <w:t>389.71</w:t>
            </w:r>
            <w:r>
              <w:rPr>
                <w:color w:val="auto"/>
                <w:sz w:val="20"/>
                <w:highlight w:val="none"/>
                <w:u w:color="auto"/>
              </w:rPr>
              <w:t xml:space="preserve"> </w:t>
            </w:r>
          </w:p>
        </w:tc>
      </w:tr>
    </w:tbl>
    <w:p>
      <w:pPr>
        <w:spacing w:line="240" w:lineRule="exact"/>
        <w:rPr>
          <w:rFonts w:hint="default" w:cs="宋体"/>
          <w:color w:val="auto"/>
          <w:sz w:val="20"/>
          <w:szCs w:val="20"/>
          <w:highlight w:val="none"/>
        </w:rPr>
      </w:pPr>
      <w:r>
        <w:rPr>
          <w:rFonts w:cs="宋体"/>
          <w:color w:val="auto"/>
          <w:sz w:val="20"/>
          <w:szCs w:val="20"/>
          <w:highlight w:val="none"/>
        </w:rPr>
        <w:t>备注：1.本表反映部门本年度的总收支和年末结转结余情况。</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highlight w:val="none"/>
              </w:rPr>
            </w:pPr>
            <w:r>
              <w:rPr>
                <w:rFonts w:cs="宋体"/>
                <w:b/>
                <w:color w:val="auto"/>
                <w:sz w:val="32"/>
                <w:szCs w:val="32"/>
                <w:highlight w:val="none"/>
              </w:rPr>
              <w:t>收入决算表</w:t>
            </w:r>
          </w:p>
        </w:tc>
      </w:tr>
      <w:tr>
        <w:tblPrEx>
          <w:tblCellMar>
            <w:top w:w="0" w:type="dxa"/>
            <w:left w:w="0" w:type="dxa"/>
            <w:bottom w:w="0" w:type="dxa"/>
            <w:right w:w="0" w:type="dxa"/>
          </w:tblCellMar>
        </w:tblPrEx>
        <w:trPr>
          <w:trHeight w:val="328" w:hRule="atLeast"/>
        </w:trPr>
        <w:tc>
          <w:tcPr>
            <w:tcW w:w="1584"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r>
              <w:rPr>
                <w:rFonts w:cs="宋体"/>
                <w:color w:val="auto"/>
                <w:sz w:val="20"/>
                <w:szCs w:val="20"/>
                <w:highlight w:val="none"/>
              </w:rPr>
              <w:t>公开部门：</w:t>
            </w:r>
            <w:r>
              <w:rPr>
                <w:color w:val="auto"/>
                <w:sz w:val="20"/>
                <w:highlight w:val="none"/>
                <w:u w:color="auto"/>
              </w:rPr>
              <w:t>中共重庆市涪陵区委直属机关工作委员会</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highlight w:val="none"/>
              </w:rPr>
            </w:pPr>
            <w:r>
              <w:rPr>
                <w:rFonts w:cs="宋体"/>
                <w:color w:val="auto"/>
                <w:sz w:val="20"/>
                <w:szCs w:val="20"/>
                <w:highlight w:val="none"/>
              </w:rPr>
              <w:t>公开02表</w:t>
            </w:r>
          </w:p>
        </w:tc>
      </w:tr>
      <w:tr>
        <w:tblPrEx>
          <w:tblCellMar>
            <w:top w:w="0" w:type="dxa"/>
            <w:left w:w="0" w:type="dxa"/>
            <w:bottom w:w="0" w:type="dxa"/>
            <w:right w:w="0" w:type="dxa"/>
          </w:tblCellMar>
        </w:tblPrEx>
        <w:trPr>
          <w:trHeight w:val="328" w:hRule="atLeast"/>
        </w:trPr>
        <w:tc>
          <w:tcPr>
            <w:tcW w:w="1584"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highlight w:val="none"/>
              </w:rPr>
            </w:pPr>
            <w:r>
              <w:rPr>
                <w:rFonts w:cs="宋体"/>
                <w:color w:val="auto"/>
                <w:sz w:val="20"/>
                <w:szCs w:val="20"/>
                <w:highlight w:val="none"/>
              </w:rPr>
              <w:t>单位：万元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auto"/>
                <w:sz w:val="20"/>
                <w:szCs w:val="20"/>
                <w:highlight w:val="none"/>
              </w:rPr>
            </w:pPr>
            <w:r>
              <w:rPr>
                <w:rFonts w:cs="宋体"/>
                <w:b/>
                <w:color w:val="auto"/>
                <w:sz w:val="20"/>
                <w:szCs w:val="20"/>
                <w:highlight w:val="none"/>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auto"/>
                <w:sz w:val="20"/>
                <w:szCs w:val="20"/>
                <w:highlight w:val="none"/>
              </w:rPr>
            </w:pPr>
            <w:r>
              <w:rPr>
                <w:rFonts w:cs="宋体"/>
                <w:b/>
                <w:color w:val="auto"/>
                <w:sz w:val="20"/>
                <w:szCs w:val="20"/>
                <w:highlight w:val="none"/>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附属单位上缴收入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功能分类科目编码</w:t>
            </w:r>
          </w:p>
        </w:tc>
        <w:tc>
          <w:tcPr>
            <w:tcW w:w="103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auto"/>
                <w:sz w:val="20"/>
                <w:szCs w:val="20"/>
                <w:highlight w:val="none"/>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auto"/>
                <w:sz w:val="20"/>
                <w:szCs w:val="20"/>
                <w:highlight w:val="none"/>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auto"/>
                <w:sz w:val="20"/>
                <w:szCs w:val="20"/>
                <w:highlight w:val="none"/>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bCs/>
                <w:color w:val="auto"/>
                <w:sz w:val="20"/>
                <w:szCs w:val="20"/>
                <w:highlight w:val="none"/>
              </w:rPr>
              <w:t>385.14</w:t>
            </w:r>
            <w:r>
              <w:rPr>
                <w:b/>
                <w:color w:val="auto"/>
                <w:sz w:val="20"/>
                <w:highlight w:val="none"/>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bCs/>
                <w:color w:val="auto"/>
                <w:sz w:val="20"/>
                <w:szCs w:val="20"/>
                <w:highlight w:val="none"/>
              </w:rPr>
              <w:t>385.14</w:t>
            </w:r>
            <w:r>
              <w:rPr>
                <w:b/>
                <w:color w:val="auto"/>
                <w:sz w:val="20"/>
                <w:highlight w:val="none"/>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285.77</w:t>
            </w:r>
            <w:r>
              <w:rPr>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285.77</w:t>
            </w:r>
            <w:r>
              <w:rPr>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20136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285.77</w:t>
            </w:r>
            <w:r>
              <w:rPr>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285.77</w:t>
            </w:r>
            <w:r>
              <w:rPr>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2013601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218.23</w:t>
            </w:r>
            <w:r>
              <w:rPr>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218.23</w:t>
            </w:r>
            <w:r>
              <w:rPr>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2013602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67.55</w:t>
            </w:r>
            <w:r>
              <w:rPr>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67.55</w:t>
            </w:r>
            <w:r>
              <w:rPr>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74.99</w:t>
            </w:r>
            <w:r>
              <w:rPr>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74.99</w:t>
            </w:r>
            <w:r>
              <w:rPr>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74.99</w:t>
            </w:r>
            <w:r>
              <w:rPr>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74.99</w:t>
            </w:r>
            <w:r>
              <w:rPr>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22.95</w:t>
            </w:r>
            <w:r>
              <w:rPr>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22.95</w:t>
            </w:r>
            <w:r>
              <w:rPr>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11.48</w:t>
            </w:r>
            <w:r>
              <w:rPr>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11.48</w:t>
            </w:r>
            <w:r>
              <w:rPr>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2080599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40.57</w:t>
            </w:r>
            <w:r>
              <w:rPr>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40.57</w:t>
            </w:r>
            <w:r>
              <w:rPr>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14.36</w:t>
            </w:r>
            <w:r>
              <w:rPr>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14.36</w:t>
            </w:r>
            <w:r>
              <w:rPr>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14.36</w:t>
            </w:r>
            <w:r>
              <w:rPr>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14.36</w:t>
            </w:r>
            <w:r>
              <w:rPr>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2101101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14.36</w:t>
            </w:r>
            <w:r>
              <w:rPr>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14.36</w:t>
            </w:r>
            <w:r>
              <w:rPr>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10.02</w:t>
            </w:r>
            <w:r>
              <w:rPr>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10.02</w:t>
            </w:r>
            <w:r>
              <w:rPr>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10.02</w:t>
            </w:r>
            <w:r>
              <w:rPr>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10.02</w:t>
            </w:r>
            <w:r>
              <w:rPr>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10.02</w:t>
            </w:r>
            <w:r>
              <w:rPr>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10.02</w:t>
            </w:r>
            <w:r>
              <w:rPr>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bl>
    <w:p>
      <w:pPr>
        <w:ind w:left="600" w:hanging="600" w:hangingChars="300"/>
        <w:rPr>
          <w:rFonts w:hint="default" w:cs="宋体"/>
          <w:color w:val="auto"/>
          <w:sz w:val="20"/>
          <w:szCs w:val="20"/>
          <w:highlight w:val="none"/>
        </w:rPr>
      </w:pPr>
      <w:r>
        <w:rPr>
          <w:rFonts w:cs="宋体"/>
          <w:color w:val="auto"/>
          <w:sz w:val="20"/>
          <w:szCs w:val="20"/>
          <w:highlight w:val="none"/>
        </w:rPr>
        <w:t>备注：1.本表反映部门本年度取得的各项收入情况。</w:t>
      </w:r>
      <w:r>
        <w:rPr>
          <w:rFonts w:cs="宋体"/>
          <w:color w:val="auto"/>
          <w:sz w:val="20"/>
          <w:szCs w:val="20"/>
          <w:highlight w:val="none"/>
        </w:rPr>
        <w:br w:type="textWrapping"/>
      </w:r>
      <w:r>
        <w:rPr>
          <w:rFonts w:cs="宋体"/>
          <w:color w:val="auto"/>
          <w:sz w:val="20"/>
          <w:szCs w:val="20"/>
          <w:highlight w:val="none"/>
        </w:rPr>
        <w:t>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p>
    <w:p>
      <w:pPr>
        <w:rPr>
          <w:rFonts w:hint="default" w:cs="宋体"/>
          <w:color w:val="auto"/>
          <w:sz w:val="20"/>
          <w:szCs w:val="20"/>
          <w:highlight w:val="none"/>
        </w:rPr>
      </w:pPr>
      <w:r>
        <w:rPr>
          <w:rFonts w:cs="宋体"/>
          <w:color w:val="auto"/>
          <w:sz w:val="20"/>
          <w:szCs w:val="20"/>
          <w:highlight w:val="none"/>
        </w:rPr>
        <w:br w:type="page"/>
      </w:r>
    </w:p>
    <w:tbl>
      <w:tblPr>
        <w:tblStyle w:val="7"/>
        <w:tblW w:w="5000" w:type="pct"/>
        <w:tblInd w:w="0" w:type="dxa"/>
        <w:tblLayout w:type="autofit"/>
        <w:tblCellMar>
          <w:top w:w="0" w:type="dxa"/>
          <w:left w:w="0" w:type="dxa"/>
          <w:bottom w:w="0" w:type="dxa"/>
          <w:right w:w="0" w:type="dxa"/>
        </w:tblCellMar>
      </w:tblPr>
      <w:tblGrid>
        <w:gridCol w:w="1795"/>
        <w:gridCol w:w="3343"/>
        <w:gridCol w:w="1695"/>
        <w:gridCol w:w="1695"/>
        <w:gridCol w:w="1695"/>
        <w:gridCol w:w="1679"/>
        <w:gridCol w:w="1679"/>
        <w:gridCol w:w="1741"/>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highlight w:val="none"/>
              </w:rPr>
            </w:pPr>
            <w:r>
              <w:rPr>
                <w:rFonts w:cs="宋体"/>
                <w:b/>
                <w:color w:val="auto"/>
                <w:sz w:val="32"/>
                <w:szCs w:val="32"/>
                <w:highlight w:val="none"/>
              </w:rPr>
              <w:t>支出决算表</w:t>
            </w:r>
          </w:p>
        </w:tc>
      </w:tr>
      <w:tr>
        <w:tblPrEx>
          <w:tblCellMar>
            <w:top w:w="0" w:type="dxa"/>
            <w:left w:w="0" w:type="dxa"/>
            <w:bottom w:w="0" w:type="dxa"/>
            <w:right w:w="0" w:type="dxa"/>
          </w:tblCellMar>
        </w:tblPrEx>
        <w:trPr>
          <w:trHeight w:val="342" w:hRule="atLeast"/>
        </w:trPr>
        <w:tc>
          <w:tcPr>
            <w:tcW w:w="167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r>
              <w:rPr>
                <w:rFonts w:cs="宋体"/>
                <w:color w:val="auto"/>
                <w:sz w:val="20"/>
                <w:szCs w:val="20"/>
                <w:highlight w:val="none"/>
              </w:rPr>
              <w:t xml:space="preserve">公开部门： </w:t>
            </w:r>
            <w:r>
              <w:rPr>
                <w:color w:val="auto"/>
                <w:sz w:val="20"/>
                <w:highlight w:val="none"/>
                <w:u w:color="auto"/>
              </w:rPr>
              <w:t xml:space="preserve">中共重庆市涪陵区委直属机关工作委员会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highlight w:val="none"/>
              </w:rPr>
            </w:pPr>
            <w:r>
              <w:rPr>
                <w:rFonts w:cs="宋体"/>
                <w:color w:val="auto"/>
                <w:sz w:val="20"/>
                <w:szCs w:val="20"/>
                <w:highlight w:val="none"/>
              </w:rPr>
              <w:t>公开03表</w:t>
            </w:r>
          </w:p>
        </w:tc>
      </w:tr>
      <w:tr>
        <w:tblPrEx>
          <w:tblCellMar>
            <w:top w:w="0" w:type="dxa"/>
            <w:left w:w="0" w:type="dxa"/>
            <w:bottom w:w="0" w:type="dxa"/>
            <w:right w:w="0" w:type="dxa"/>
          </w:tblCellMar>
        </w:tblPrEx>
        <w:trPr>
          <w:trHeight w:val="342" w:hRule="atLeast"/>
        </w:trPr>
        <w:tc>
          <w:tcPr>
            <w:tcW w:w="167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highlight w:val="none"/>
              </w:rPr>
            </w:pPr>
            <w:r>
              <w:rPr>
                <w:rFonts w:cs="宋体"/>
                <w:color w:val="auto"/>
                <w:sz w:val="20"/>
                <w:szCs w:val="20"/>
                <w:highlight w:val="none"/>
              </w:rPr>
              <w:t>单位：万元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auto"/>
                <w:sz w:val="20"/>
                <w:szCs w:val="20"/>
                <w:highlight w:val="none"/>
              </w:rPr>
            </w:pPr>
            <w:r>
              <w:rPr>
                <w:rFonts w:cs="宋体"/>
                <w:b/>
                <w:color w:val="auto"/>
                <w:sz w:val="20"/>
                <w:szCs w:val="20"/>
                <w:highlight w:val="none"/>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经营支出</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功能分类科目编码</w:t>
            </w:r>
          </w:p>
        </w:tc>
        <w:tc>
          <w:tcPr>
            <w:tcW w:w="109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auto"/>
                <w:sz w:val="20"/>
                <w:szCs w:val="20"/>
                <w:highlight w:val="none"/>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auto"/>
                <w:sz w:val="20"/>
                <w:szCs w:val="20"/>
                <w:highlight w:val="none"/>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auto"/>
                <w:sz w:val="20"/>
                <w:szCs w:val="20"/>
                <w:highlight w:val="none"/>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bCs/>
                <w:color w:val="auto"/>
                <w:sz w:val="20"/>
                <w:szCs w:val="20"/>
                <w:highlight w:val="none"/>
              </w:rPr>
              <w:t>387.65</w:t>
            </w:r>
            <w:r>
              <w:rPr>
                <w:b/>
                <w:color w:val="auto"/>
                <w:sz w:val="20"/>
                <w:highlight w:val="none"/>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bCs/>
                <w:color w:val="auto"/>
                <w:sz w:val="20"/>
                <w:szCs w:val="20"/>
                <w:highlight w:val="none"/>
              </w:rPr>
              <w:t>317.60</w:t>
            </w:r>
            <w:r>
              <w:rPr>
                <w:b/>
                <w:color w:val="auto"/>
                <w:sz w:val="20"/>
                <w:highlight w:val="none"/>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bCs/>
                <w:color w:val="auto"/>
                <w:sz w:val="20"/>
                <w:szCs w:val="20"/>
                <w:highlight w:val="none"/>
              </w:rPr>
              <w:t>70.05</w:t>
            </w:r>
            <w:r>
              <w:rPr>
                <w:b/>
                <w:color w:val="auto"/>
                <w:sz w:val="20"/>
                <w:highlight w:val="none"/>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c>
          <w:tcPr>
            <w:tcW w:w="5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288.28</w:t>
            </w:r>
            <w:r>
              <w:rPr>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218.23</w:t>
            </w:r>
            <w:r>
              <w:rPr>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70.05</w:t>
            </w:r>
            <w:r>
              <w:rPr>
                <w:b/>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20136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288.28</w:t>
            </w:r>
            <w:r>
              <w:rPr>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218.23</w:t>
            </w:r>
            <w:r>
              <w:rPr>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70.05</w:t>
            </w:r>
            <w:r>
              <w:rPr>
                <w:b/>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2013601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218.23</w:t>
            </w:r>
            <w:r>
              <w:rPr>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218.23</w:t>
            </w:r>
            <w:r>
              <w:rPr>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2013602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70.05</w:t>
            </w:r>
            <w:r>
              <w:rPr>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70.05</w:t>
            </w:r>
            <w:r>
              <w:rPr>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74.99</w:t>
            </w:r>
            <w:r>
              <w:rPr>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74.99</w:t>
            </w:r>
            <w:r>
              <w:rPr>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74.99</w:t>
            </w:r>
            <w:r>
              <w:rPr>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74.99</w:t>
            </w:r>
            <w:r>
              <w:rPr>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22.95</w:t>
            </w:r>
            <w:r>
              <w:rPr>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22.95</w:t>
            </w:r>
            <w:r>
              <w:rPr>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11.48</w:t>
            </w:r>
            <w:r>
              <w:rPr>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11.48</w:t>
            </w:r>
            <w:r>
              <w:rPr>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2080599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40.57</w:t>
            </w:r>
            <w:r>
              <w:rPr>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40.57</w:t>
            </w:r>
            <w:r>
              <w:rPr>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14.36</w:t>
            </w:r>
            <w:r>
              <w:rPr>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14.36</w:t>
            </w:r>
            <w:r>
              <w:rPr>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14.36</w:t>
            </w:r>
            <w:r>
              <w:rPr>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14.36</w:t>
            </w:r>
            <w:r>
              <w:rPr>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2101101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14.36</w:t>
            </w:r>
            <w:r>
              <w:rPr>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14.36</w:t>
            </w:r>
            <w:r>
              <w:rPr>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10.02</w:t>
            </w:r>
            <w:r>
              <w:rPr>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10.02</w:t>
            </w:r>
            <w:r>
              <w:rPr>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10.02</w:t>
            </w:r>
            <w:r>
              <w:rPr>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b/>
                <w:color w:val="auto"/>
                <w:sz w:val="20"/>
                <w:szCs w:val="20"/>
                <w:highlight w:val="none"/>
              </w:rPr>
              <w:t>10.02</w:t>
            </w:r>
            <w:r>
              <w:rPr>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10.02</w:t>
            </w:r>
            <w:r>
              <w:rPr>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rFonts w:cs="宋体"/>
                <w:color w:val="auto"/>
                <w:sz w:val="20"/>
                <w:szCs w:val="20"/>
                <w:highlight w:val="none"/>
              </w:rPr>
              <w:t>10.02</w:t>
            </w:r>
            <w:r>
              <w:rPr>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highlight w:val="none"/>
              </w:rPr>
            </w:pPr>
            <w:r>
              <w:rPr>
                <w:color w:val="auto"/>
                <w:sz w:val="20"/>
                <w:highlight w:val="none"/>
                <w:u w:color="auto"/>
              </w:rPr>
              <w:t xml:space="preserve"> </w:t>
            </w:r>
          </w:p>
        </w:tc>
      </w:tr>
    </w:tbl>
    <w:p>
      <w:pPr>
        <w:rPr>
          <w:rFonts w:hint="default" w:cs="宋体"/>
          <w:color w:val="auto"/>
          <w:sz w:val="20"/>
          <w:szCs w:val="20"/>
          <w:highlight w:val="none"/>
        </w:rPr>
      </w:pPr>
      <w:r>
        <w:rPr>
          <w:rFonts w:cs="宋体"/>
          <w:color w:val="auto"/>
          <w:sz w:val="20"/>
          <w:szCs w:val="20"/>
          <w:highlight w:val="none"/>
        </w:rPr>
        <w:t>备注：1.本表反映部门本年度各项支出情况。</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p>
    <w:p>
      <w:pPr>
        <w:rPr>
          <w:rFonts w:hint="default" w:cs="宋体"/>
          <w:color w:val="auto"/>
          <w:sz w:val="21"/>
          <w:szCs w:val="21"/>
          <w:highlight w:val="none"/>
        </w:rPr>
      </w:pPr>
      <w:r>
        <w:rPr>
          <w:rFonts w:cs="宋体"/>
          <w:color w:val="auto"/>
          <w:sz w:val="21"/>
          <w:szCs w:val="21"/>
          <w:highlight w:val="none"/>
        </w:rPr>
        <w:br w:type="page"/>
      </w:r>
    </w:p>
    <w:p>
      <w:pPr>
        <w:rPr>
          <w:rFonts w:hint="default" w:cs="宋体"/>
          <w:color w:val="auto"/>
          <w:sz w:val="21"/>
          <w:szCs w:val="21"/>
          <w:highlight w:val="none"/>
        </w:rPr>
      </w:pPr>
    </w:p>
    <w:tbl>
      <w:tblPr>
        <w:tblStyle w:val="7"/>
        <w:tblW w:w="4790" w:type="pct"/>
        <w:tblInd w:w="0" w:type="dxa"/>
        <w:tblLayout w:type="autofit"/>
        <w:tblCellMar>
          <w:top w:w="0" w:type="dxa"/>
          <w:left w:w="0" w:type="dxa"/>
          <w:bottom w:w="0" w:type="dxa"/>
          <w:right w:w="0" w:type="dxa"/>
        </w:tblCellMar>
      </w:tblPr>
      <w:tblGrid>
        <w:gridCol w:w="3128"/>
        <w:gridCol w:w="1602"/>
        <w:gridCol w:w="3130"/>
        <w:gridCol w:w="1645"/>
        <w:gridCol w:w="1646"/>
        <w:gridCol w:w="1646"/>
        <w:gridCol w:w="1881"/>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highlight w:val="none"/>
              </w:rPr>
            </w:pPr>
            <w:r>
              <w:rPr>
                <w:rFonts w:cs="宋体"/>
                <w:b/>
                <w:color w:val="auto"/>
                <w:sz w:val="32"/>
                <w:szCs w:val="32"/>
                <w:highlight w:val="none"/>
              </w:rPr>
              <w:t>财政拨款收入支出决算总表</w:t>
            </w:r>
          </w:p>
        </w:tc>
      </w:tr>
      <w:tr>
        <w:tblPrEx>
          <w:tblCellMar>
            <w:top w:w="0" w:type="dxa"/>
            <w:left w:w="0" w:type="dxa"/>
            <w:bottom w:w="0" w:type="dxa"/>
            <w:right w:w="0" w:type="dxa"/>
          </w:tblCellMar>
        </w:tblPrEx>
        <w:trPr>
          <w:trHeight w:val="90" w:hRule="atLeast"/>
        </w:trPr>
        <w:tc>
          <w:tcPr>
            <w:tcW w:w="152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auto"/>
                <w:sz w:val="18"/>
                <w:szCs w:val="18"/>
                <w:highlight w:val="none"/>
              </w:rPr>
            </w:pPr>
            <w:r>
              <w:rPr>
                <w:rFonts w:cs="宋体"/>
                <w:color w:val="auto"/>
                <w:sz w:val="20"/>
                <w:szCs w:val="20"/>
                <w:highlight w:val="none"/>
              </w:rPr>
              <w:t xml:space="preserve">公开部门： </w:t>
            </w:r>
            <w:r>
              <w:rPr>
                <w:color w:val="auto"/>
                <w:sz w:val="20"/>
                <w:highlight w:val="none"/>
                <w:u w:color="auto"/>
              </w:rPr>
              <w:t>中共重庆市涪陵区委直属机关工作委员会</w:t>
            </w: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rFonts w:cs="宋体"/>
                <w:color w:val="auto"/>
                <w:sz w:val="20"/>
                <w:szCs w:val="20"/>
                <w:highlight w:val="none"/>
              </w:rPr>
              <w:t>公开04表</w:t>
            </w:r>
          </w:p>
        </w:tc>
      </w:tr>
      <w:tr>
        <w:tblPrEx>
          <w:tblCellMar>
            <w:top w:w="0" w:type="dxa"/>
            <w:left w:w="0" w:type="dxa"/>
            <w:bottom w:w="0" w:type="dxa"/>
            <w:right w:w="0" w:type="dxa"/>
          </w:tblCellMar>
        </w:tblPrEx>
        <w:trPr>
          <w:trHeight w:val="90" w:hRule="atLeast"/>
        </w:trPr>
        <w:tc>
          <w:tcPr>
            <w:tcW w:w="152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highlight w:val="none"/>
              </w:rPr>
            </w:pPr>
            <w:r>
              <w:rPr>
                <w:rFonts w:cs="宋体"/>
                <w:color w:val="auto"/>
                <w:sz w:val="20"/>
                <w:szCs w:val="20"/>
                <w:highlight w:val="none"/>
              </w:rPr>
              <w:t>单位：万元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收     入</w:t>
            </w:r>
          </w:p>
        </w:tc>
        <w:tc>
          <w:tcPr>
            <w:tcW w:w="3470"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功能分类科目</w:t>
            </w:r>
          </w:p>
        </w:tc>
        <w:tc>
          <w:tcPr>
            <w:tcW w:w="2387"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政府性基金预算财政拨款</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385.14</w:t>
            </w:r>
            <w:r>
              <w:rPr>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288.28</w:t>
            </w: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288.28</w:t>
            </w: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highlight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highlight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highlight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highlight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highlight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74.99</w:t>
            </w: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74.99</w:t>
            </w: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highlight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14.36</w:t>
            </w: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14.36</w:t>
            </w: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highlight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highlight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highlight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highlight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highlight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highlight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highlight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highlight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highlight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highlight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10.02</w:t>
            </w: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10.02</w:t>
            </w: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highlight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highlight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highlight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highlight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auto"/>
                <w:sz w:val="18"/>
                <w:szCs w:val="18"/>
                <w:highlight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auto"/>
                <w:sz w:val="18"/>
                <w:szCs w:val="18"/>
                <w:highlight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auto"/>
                <w:sz w:val="18"/>
                <w:szCs w:val="18"/>
                <w:highlight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385.14</w:t>
            </w:r>
            <w:r>
              <w:rPr>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387.65</w:t>
            </w: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387.65</w:t>
            </w: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4.56</w:t>
            </w:r>
            <w:r>
              <w:rPr>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2.05</w:t>
            </w: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2.05</w:t>
            </w: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4.56</w:t>
            </w:r>
            <w:r>
              <w:rPr>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389.71</w:t>
            </w:r>
            <w:r>
              <w:rPr>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389.71</w:t>
            </w: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389.71</w:t>
            </w:r>
            <w:r>
              <w:rPr>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bl>
    <w:p>
      <w:pPr>
        <w:spacing w:line="240" w:lineRule="exact"/>
        <w:rPr>
          <w:rFonts w:hint="default" w:cs="宋体"/>
          <w:color w:val="auto"/>
          <w:sz w:val="20"/>
          <w:szCs w:val="20"/>
          <w:highlight w:val="none"/>
        </w:rPr>
      </w:pPr>
      <w:r>
        <w:rPr>
          <w:rFonts w:cs="宋体"/>
          <w:color w:val="auto"/>
          <w:sz w:val="20"/>
          <w:szCs w:val="20"/>
          <w:highlight w:val="none"/>
        </w:rPr>
        <w:t>备注：1.本表反映部门本年度一般公共预算财政拨款、政府性基金预算财政拨款及国有资本经营预算财政拨款的总收支和年末结转结余情况。</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r>
        <w:rPr>
          <w:rFonts w:cs="宋体"/>
          <w:color w:val="auto"/>
          <w:sz w:val="21"/>
          <w:szCs w:val="21"/>
          <w:highlight w:val="none"/>
        </w:rPr>
        <w:br w:type="page"/>
      </w:r>
    </w:p>
    <w:tbl>
      <w:tblPr>
        <w:tblStyle w:val="7"/>
        <w:tblW w:w="5000" w:type="pct"/>
        <w:tblInd w:w="0" w:type="dxa"/>
        <w:tblLayout w:type="autofit"/>
        <w:tblCellMar>
          <w:top w:w="0" w:type="dxa"/>
          <w:left w:w="0" w:type="dxa"/>
          <w:bottom w:w="0" w:type="dxa"/>
          <w:right w:w="0" w:type="dxa"/>
        </w:tblCellMar>
      </w:tblPr>
      <w:tblGrid>
        <w:gridCol w:w="1851"/>
        <w:gridCol w:w="3536"/>
        <w:gridCol w:w="3306"/>
        <w:gridCol w:w="3306"/>
        <w:gridCol w:w="3323"/>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highlight w:val="none"/>
              </w:rPr>
            </w:pPr>
            <w:r>
              <w:rPr>
                <w:rFonts w:cs="宋体"/>
                <w:b/>
                <w:color w:val="auto"/>
                <w:sz w:val="32"/>
                <w:szCs w:val="32"/>
                <w:highlight w:val="none"/>
              </w:rPr>
              <w:t>一般公共预算财政拨款支出决算表</w:t>
            </w:r>
          </w:p>
        </w:tc>
      </w:tr>
      <w:tr>
        <w:tblPrEx>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r>
              <w:rPr>
                <w:rFonts w:cs="宋体"/>
                <w:color w:val="auto"/>
                <w:sz w:val="20"/>
                <w:szCs w:val="20"/>
                <w:highlight w:val="none"/>
              </w:rPr>
              <w:t xml:space="preserve">公开部门： </w:t>
            </w:r>
            <w:r>
              <w:rPr>
                <w:color w:val="auto"/>
                <w:sz w:val="20"/>
                <w:highlight w:val="none"/>
                <w:u w:color="auto"/>
              </w:rPr>
              <w:t>中共重庆市涪陵区委直属机关工作委员会</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highlight w:val="none"/>
              </w:rPr>
            </w:pPr>
            <w:r>
              <w:rPr>
                <w:rFonts w:cs="宋体"/>
                <w:color w:val="auto"/>
                <w:sz w:val="20"/>
                <w:szCs w:val="20"/>
                <w:highlight w:val="none"/>
              </w:rPr>
              <w:t>公开05表</w:t>
            </w:r>
          </w:p>
        </w:tc>
      </w:tr>
      <w:tr>
        <w:tblPrEx>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highlight w:val="none"/>
              </w:rPr>
            </w:pPr>
            <w:r>
              <w:rPr>
                <w:rFonts w:cs="宋体"/>
                <w:color w:val="auto"/>
                <w:sz w:val="20"/>
                <w:szCs w:val="20"/>
                <w:highlight w:val="none"/>
              </w:rPr>
              <w:t>单位：万元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项目</w:t>
            </w:r>
          </w:p>
        </w:tc>
        <w:tc>
          <w:tcPr>
            <w:tcW w:w="324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基本支出</w:t>
            </w:r>
          </w:p>
        </w:tc>
        <w:tc>
          <w:tcPr>
            <w:tcW w:w="10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bCs/>
                <w:color w:val="auto"/>
                <w:sz w:val="20"/>
                <w:szCs w:val="20"/>
                <w:highlight w:val="none"/>
              </w:rPr>
              <w:t>387.65</w:t>
            </w:r>
            <w:r>
              <w:rPr>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bCs/>
                <w:color w:val="auto"/>
                <w:sz w:val="20"/>
                <w:szCs w:val="20"/>
                <w:highlight w:val="none"/>
              </w:rPr>
              <w:t>317.60</w:t>
            </w:r>
            <w:r>
              <w:rPr>
                <w:b/>
                <w:color w:val="auto"/>
                <w:sz w:val="20"/>
                <w:highlight w:val="none"/>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bCs/>
                <w:color w:val="auto"/>
                <w:sz w:val="20"/>
                <w:szCs w:val="20"/>
                <w:highlight w:val="none"/>
              </w:rPr>
              <w:t>70.05</w:t>
            </w:r>
            <w:r>
              <w:rPr>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288.28</w:t>
            </w:r>
            <w:r>
              <w:rPr>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218.23</w:t>
            </w:r>
            <w:r>
              <w:rPr>
                <w:b/>
                <w:color w:val="auto"/>
                <w:sz w:val="20"/>
                <w:highlight w:val="none"/>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70.05</w:t>
            </w:r>
            <w:r>
              <w:rPr>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288.28</w:t>
            </w:r>
            <w:r>
              <w:rPr>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218.23</w:t>
            </w:r>
            <w:r>
              <w:rPr>
                <w:b/>
                <w:color w:val="auto"/>
                <w:sz w:val="20"/>
                <w:highlight w:val="none"/>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70.05</w:t>
            </w:r>
            <w:r>
              <w:rPr>
                <w:b/>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2013601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218.23</w:t>
            </w:r>
            <w:r>
              <w:rPr>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218.23</w:t>
            </w:r>
            <w:r>
              <w:rPr>
                <w:color w:val="auto"/>
                <w:sz w:val="20"/>
                <w:highlight w:val="none"/>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2013602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70.05</w:t>
            </w:r>
            <w:r>
              <w:rPr>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70.05</w:t>
            </w:r>
            <w:r>
              <w:rPr>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74.99</w:t>
            </w:r>
            <w:r>
              <w:rPr>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74.99</w:t>
            </w:r>
            <w:r>
              <w:rPr>
                <w:b/>
                <w:color w:val="auto"/>
                <w:sz w:val="20"/>
                <w:highlight w:val="none"/>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74.99</w:t>
            </w:r>
            <w:r>
              <w:rPr>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74.99</w:t>
            </w:r>
            <w:r>
              <w:rPr>
                <w:b/>
                <w:color w:val="auto"/>
                <w:sz w:val="20"/>
                <w:highlight w:val="none"/>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22.95</w:t>
            </w:r>
            <w:r>
              <w:rPr>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22.95</w:t>
            </w:r>
            <w:r>
              <w:rPr>
                <w:color w:val="auto"/>
                <w:sz w:val="20"/>
                <w:highlight w:val="none"/>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11.48</w:t>
            </w:r>
            <w:r>
              <w:rPr>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11.48</w:t>
            </w:r>
            <w:r>
              <w:rPr>
                <w:color w:val="auto"/>
                <w:sz w:val="20"/>
                <w:highlight w:val="none"/>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40.57</w:t>
            </w:r>
            <w:r>
              <w:rPr>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40.57</w:t>
            </w:r>
            <w:r>
              <w:rPr>
                <w:color w:val="auto"/>
                <w:sz w:val="20"/>
                <w:highlight w:val="none"/>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14.36</w:t>
            </w:r>
            <w:r>
              <w:rPr>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14.36</w:t>
            </w:r>
            <w:r>
              <w:rPr>
                <w:b/>
                <w:color w:val="auto"/>
                <w:sz w:val="20"/>
                <w:highlight w:val="none"/>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14.36</w:t>
            </w:r>
            <w:r>
              <w:rPr>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14.36</w:t>
            </w:r>
            <w:r>
              <w:rPr>
                <w:b/>
                <w:color w:val="auto"/>
                <w:sz w:val="20"/>
                <w:highlight w:val="none"/>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14.36</w:t>
            </w:r>
            <w:r>
              <w:rPr>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14.36</w:t>
            </w:r>
            <w:r>
              <w:rPr>
                <w:color w:val="auto"/>
                <w:sz w:val="20"/>
                <w:highlight w:val="none"/>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10.02</w:t>
            </w:r>
            <w:r>
              <w:rPr>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10.02</w:t>
            </w:r>
            <w:r>
              <w:rPr>
                <w:b/>
                <w:color w:val="auto"/>
                <w:sz w:val="20"/>
                <w:highlight w:val="none"/>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b/>
                <w:color w:val="auto"/>
                <w:sz w:val="20"/>
                <w:szCs w:val="20"/>
                <w:highlight w:val="none"/>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10.02</w:t>
            </w:r>
            <w:r>
              <w:rPr>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b/>
                <w:color w:val="auto"/>
                <w:sz w:val="20"/>
                <w:szCs w:val="20"/>
                <w:highlight w:val="none"/>
              </w:rPr>
              <w:t>10.02</w:t>
            </w:r>
            <w:r>
              <w:rPr>
                <w:b/>
                <w:color w:val="auto"/>
                <w:sz w:val="20"/>
                <w:highlight w:val="none"/>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highlight w:val="none"/>
              </w:rPr>
            </w:pPr>
            <w:r>
              <w:rPr>
                <w:rFonts w:cs="宋体"/>
                <w:color w:val="auto"/>
                <w:sz w:val="20"/>
                <w:szCs w:val="20"/>
                <w:highlight w:val="none"/>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10.02</w:t>
            </w:r>
            <w:r>
              <w:rPr>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rFonts w:cs="宋体"/>
                <w:color w:val="auto"/>
                <w:sz w:val="20"/>
                <w:szCs w:val="20"/>
                <w:highlight w:val="none"/>
              </w:rPr>
              <w:t>10.02</w:t>
            </w:r>
            <w:r>
              <w:rPr>
                <w:color w:val="auto"/>
                <w:sz w:val="20"/>
                <w:highlight w:val="none"/>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color w:val="auto"/>
                <w:sz w:val="20"/>
                <w:highlight w:val="none"/>
                <w:u w:color="auto"/>
              </w:rPr>
              <w:t xml:space="preserve"> </w:t>
            </w:r>
          </w:p>
        </w:tc>
      </w:tr>
    </w:tbl>
    <w:p>
      <w:pPr>
        <w:rPr>
          <w:rFonts w:hint="default" w:cs="宋体"/>
          <w:color w:val="auto"/>
          <w:sz w:val="21"/>
          <w:szCs w:val="21"/>
          <w:highlight w:val="none"/>
        </w:rPr>
      </w:pPr>
      <w:r>
        <w:rPr>
          <w:rFonts w:cs="宋体"/>
          <w:color w:val="auto"/>
          <w:sz w:val="20"/>
          <w:szCs w:val="20"/>
          <w:highlight w:val="none"/>
        </w:rPr>
        <w:t>备注：1.本表反映部门本年度一般公共预算财政拨款支出情况。</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p>
    <w:p>
      <w:pPr>
        <w:ind w:firstLine="630" w:firstLineChars="300"/>
        <w:rPr>
          <w:rFonts w:hint="default" w:cs="宋体"/>
          <w:color w:val="auto"/>
          <w:sz w:val="21"/>
          <w:szCs w:val="21"/>
          <w:highlight w:val="none"/>
        </w:rPr>
      </w:pPr>
      <w:r>
        <w:rPr>
          <w:rFonts w:cs="宋体"/>
          <w:color w:val="auto"/>
          <w:sz w:val="21"/>
          <w:szCs w:val="21"/>
          <w:highlight w:val="none"/>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auto"/>
                <w:sz w:val="32"/>
                <w:szCs w:val="32"/>
                <w:highlight w:val="none"/>
              </w:rPr>
            </w:pPr>
            <w:r>
              <w:rPr>
                <w:rFonts w:cs="宋体"/>
                <w:b/>
                <w:color w:val="auto"/>
                <w:sz w:val="32"/>
                <w:szCs w:val="32"/>
                <w:highlight w:val="none"/>
              </w:rPr>
              <w:t>一般公共预算财政拨款基本支出决算表</w:t>
            </w:r>
          </w:p>
        </w:tc>
      </w:tr>
      <w:tr>
        <w:tblPrEx>
          <w:tblCellMar>
            <w:top w:w="0" w:type="dxa"/>
            <w:left w:w="0" w:type="dxa"/>
            <w:bottom w:w="0" w:type="dxa"/>
            <w:right w:w="0" w:type="dxa"/>
          </w:tblCellMar>
        </w:tblPrEx>
        <w:trPr>
          <w:trHeight w:val="90" w:hRule="atLeast"/>
        </w:trPr>
        <w:tc>
          <w:tcPr>
            <w:tcW w:w="108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auto"/>
                <w:sz w:val="18"/>
                <w:szCs w:val="18"/>
                <w:highlight w:val="none"/>
              </w:rPr>
            </w:pPr>
            <w:r>
              <w:rPr>
                <w:rFonts w:cs="宋体"/>
                <w:color w:val="auto"/>
                <w:sz w:val="20"/>
                <w:szCs w:val="20"/>
                <w:highlight w:val="none"/>
              </w:rPr>
              <w:t xml:space="preserve">公开部门： </w:t>
            </w:r>
            <w:r>
              <w:rPr>
                <w:color w:val="auto"/>
                <w:sz w:val="20"/>
                <w:highlight w:val="none"/>
                <w:u w:color="auto"/>
              </w:rPr>
              <w:t>中共重庆市涪陵区委直属机关工作委员会</w:t>
            </w: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highlight w:val="none"/>
              </w:rPr>
            </w:pPr>
            <w:r>
              <w:rPr>
                <w:rFonts w:cs="宋体"/>
                <w:color w:val="auto"/>
                <w:sz w:val="20"/>
                <w:szCs w:val="20"/>
                <w:highlight w:val="none"/>
              </w:rPr>
              <w:t>公开06表</w:t>
            </w:r>
          </w:p>
        </w:tc>
      </w:tr>
      <w:tr>
        <w:tblPrEx>
          <w:tblCellMar>
            <w:top w:w="0" w:type="dxa"/>
            <w:left w:w="0" w:type="dxa"/>
            <w:bottom w:w="0" w:type="dxa"/>
            <w:right w:w="0" w:type="dxa"/>
          </w:tblCellMar>
        </w:tblPrEx>
        <w:trPr>
          <w:trHeight w:val="90" w:hRule="atLeast"/>
        </w:trPr>
        <w:tc>
          <w:tcPr>
            <w:tcW w:w="108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highlight w:val="none"/>
              </w:rPr>
            </w:pPr>
            <w:r>
              <w:rPr>
                <w:rFonts w:cs="宋体"/>
                <w:color w:val="auto"/>
                <w:sz w:val="20"/>
                <w:szCs w:val="20"/>
                <w:highlight w:val="none"/>
              </w:rPr>
              <w:t>单位：万元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人员经费</w:t>
            </w:r>
          </w:p>
        </w:tc>
        <w:tc>
          <w:tcPr>
            <w:tcW w:w="3462"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经济分类科目编码</w:t>
            </w:r>
          </w:p>
        </w:tc>
        <w:tc>
          <w:tcPr>
            <w:tcW w:w="11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经济分类科目（按“款”级功能分类科目）</w:t>
            </w:r>
          </w:p>
        </w:tc>
        <w:tc>
          <w:tcPr>
            <w:tcW w:w="61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11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highlight w:val="none"/>
              </w:rPr>
            </w:pPr>
          </w:p>
        </w:tc>
        <w:tc>
          <w:tcPr>
            <w:tcW w:w="61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highlight w:val="none"/>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237.68</w:t>
            </w:r>
            <w:r>
              <w:rPr>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35.07</w:t>
            </w:r>
            <w:r>
              <w:rPr>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54.93</w:t>
            </w:r>
            <w:r>
              <w:rPr>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0.49</w:t>
            </w:r>
            <w:r>
              <w:rPr>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房屋建筑物购建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36.19</w:t>
            </w:r>
            <w:r>
              <w:rPr>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0.02</w:t>
            </w:r>
            <w:r>
              <w:rPr>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31002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办公设备购置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76.24</w:t>
            </w:r>
            <w:r>
              <w:rPr>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0.10</w:t>
            </w:r>
            <w:r>
              <w:rPr>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专用设备购置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基础设施建设</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0.33</w:t>
            </w:r>
            <w:r>
              <w:rPr>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31006</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大型修缮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28.40</w:t>
            </w:r>
            <w:r>
              <w:rPr>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1.97</w:t>
            </w:r>
            <w:r>
              <w:rPr>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信息网络及软件购置更新</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14.20</w:t>
            </w:r>
            <w:r>
              <w:rPr>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0.20</w:t>
            </w:r>
            <w:r>
              <w:rPr>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物资储备</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8.24</w:t>
            </w:r>
            <w:r>
              <w:rPr>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土地补偿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安置补助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1.72</w:t>
            </w:r>
            <w:r>
              <w:rPr>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2.49</w:t>
            </w:r>
            <w:r>
              <w:rPr>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31011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地上附着物和青苗补偿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14.30</w:t>
            </w:r>
            <w:r>
              <w:rPr>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拆迁补偿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1.60</w:t>
            </w:r>
            <w:r>
              <w:rPr>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1.02</w:t>
            </w:r>
            <w:r>
              <w:rPr>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31013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公务用车购置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1.87</w:t>
            </w:r>
            <w:r>
              <w:rPr>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31019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其他交通工具购置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44.85</w:t>
            </w:r>
            <w:r>
              <w:rPr>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0.42</w:t>
            </w:r>
            <w:r>
              <w:rPr>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31021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文物和陈列品购置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31022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无形资产购置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31099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31201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资本金注入</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42.05</w:t>
            </w:r>
            <w:r>
              <w:rPr>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31203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政府投资基金股权投资</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3.83</w:t>
            </w:r>
            <w:r>
              <w:rPr>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31204</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费用补贴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2.80</w:t>
            </w:r>
            <w:r>
              <w:rPr>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31205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利息补贴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2.79</w:t>
            </w:r>
            <w:r>
              <w:rPr>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31299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2.16</w:t>
            </w:r>
            <w:r>
              <w:rPr>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39907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国家赔偿费用支出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10.70</w:t>
            </w:r>
            <w:r>
              <w:rPr>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39908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对民间非营利组织和群众性自治组织补贴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39909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经常性赠与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8.56</w:t>
            </w:r>
            <w:r>
              <w:rPr>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39910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资本性赠与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39999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highlight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highlight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highlight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highlight w:val="none"/>
              </w:rPr>
            </w:pPr>
            <w:r>
              <w:rPr>
                <w:rFonts w:cs="宋体"/>
                <w:color w:val="auto"/>
                <w:sz w:val="18"/>
                <w:szCs w:val="18"/>
                <w:highlight w:val="none"/>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highlight w:val="none"/>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highlight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highlight w:val="none"/>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auto"/>
                <w:sz w:val="18"/>
                <w:szCs w:val="18"/>
                <w:highlight w:val="none"/>
              </w:rPr>
            </w:pPr>
            <w:r>
              <w:rPr>
                <w:rFonts w:cs="宋体"/>
                <w:color w:val="auto"/>
                <w:sz w:val="18"/>
                <w:szCs w:val="18"/>
                <w:highlight w:val="none"/>
              </w:rPr>
              <w:t>282.53</w:t>
            </w:r>
            <w:r>
              <w:rPr>
                <w:color w:val="auto"/>
                <w:sz w:val="18"/>
                <w:highlight w:val="none"/>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highlight w:val="none"/>
              </w:rPr>
            </w:pPr>
            <w:r>
              <w:rPr>
                <w:rFonts w:cs="宋体"/>
                <w:b/>
                <w:color w:val="auto"/>
                <w:sz w:val="18"/>
                <w:szCs w:val="18"/>
                <w:highlight w:val="none"/>
              </w:rPr>
              <w:t>公用经费合计</w:t>
            </w:r>
          </w:p>
        </w:tc>
        <w:tc>
          <w:tcPr>
            <w:tcW w:w="6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highlight w:val="none"/>
              </w:rPr>
            </w:pPr>
            <w:r>
              <w:rPr>
                <w:rFonts w:cs="宋体"/>
                <w:color w:val="auto"/>
                <w:sz w:val="18"/>
                <w:szCs w:val="18"/>
                <w:highlight w:val="none"/>
              </w:rPr>
              <w:t>35.07</w:t>
            </w:r>
            <w:r>
              <w:rPr>
                <w:color w:val="auto"/>
                <w:sz w:val="18"/>
                <w:highlight w:val="none"/>
                <w:u w:color="auto"/>
              </w:rPr>
              <w:t xml:space="preserve"> </w:t>
            </w:r>
          </w:p>
        </w:tc>
      </w:tr>
    </w:tbl>
    <w:p>
      <w:pPr>
        <w:spacing w:line="280" w:lineRule="exact"/>
        <w:rPr>
          <w:rFonts w:hint="default" w:cs="宋体"/>
          <w:color w:val="auto"/>
          <w:sz w:val="20"/>
          <w:szCs w:val="20"/>
          <w:highlight w:val="none"/>
        </w:rPr>
      </w:pPr>
      <w:r>
        <w:rPr>
          <w:rFonts w:cs="宋体"/>
          <w:color w:val="auto"/>
          <w:sz w:val="20"/>
          <w:szCs w:val="20"/>
          <w:highlight w:val="none"/>
        </w:rPr>
        <w:t>备注：1.本表反映部门本年度一般公共预算财政拨款基本支出明细情况。</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r>
        <w:rPr>
          <w:rFonts w:cs="宋体"/>
          <w:color w:val="auto"/>
          <w:sz w:val="21"/>
          <w:szCs w:val="21"/>
          <w:highlight w:val="none"/>
        </w:rPr>
        <w:br w:type="page"/>
      </w:r>
    </w:p>
    <w:tbl>
      <w:tblPr>
        <w:tblStyle w:val="7"/>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highlight w:val="none"/>
              </w:rPr>
            </w:pPr>
            <w:r>
              <w:rPr>
                <w:rFonts w:cs="宋体"/>
                <w:b/>
                <w:color w:val="auto"/>
                <w:sz w:val="32"/>
                <w:szCs w:val="32"/>
                <w:highlight w:val="none"/>
              </w:rPr>
              <w:t>政府性基金预算财政拨款收入支出决算表</w:t>
            </w:r>
          </w:p>
        </w:tc>
      </w:tr>
      <w:tr>
        <w:tblPrEx>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r>
              <w:rPr>
                <w:rFonts w:cs="宋体"/>
                <w:color w:val="auto"/>
                <w:sz w:val="20"/>
                <w:szCs w:val="20"/>
                <w:highlight w:val="none"/>
              </w:rPr>
              <w:t xml:space="preserve">公开部门： </w:t>
            </w:r>
            <w:r>
              <w:rPr>
                <w:color w:val="auto"/>
                <w:sz w:val="20"/>
                <w:highlight w:val="none"/>
                <w:u w:color="auto"/>
              </w:rPr>
              <w:t>中共重庆市涪陵区委直属机关工作委员会</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highlight w:val="none"/>
              </w:rPr>
            </w:pPr>
            <w:r>
              <w:rPr>
                <w:rFonts w:cs="宋体"/>
                <w:color w:val="auto"/>
                <w:sz w:val="20"/>
                <w:szCs w:val="20"/>
                <w:highlight w:val="none"/>
              </w:rPr>
              <w:t>公开07表</w:t>
            </w:r>
          </w:p>
        </w:tc>
      </w:tr>
      <w:tr>
        <w:tblPrEx>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highlight w:val="none"/>
              </w:rPr>
            </w:pPr>
            <w:r>
              <w:rPr>
                <w:rFonts w:cs="宋体"/>
                <w:color w:val="auto"/>
                <w:sz w:val="20"/>
                <w:szCs w:val="20"/>
                <w:highlight w:val="none"/>
              </w:rPr>
              <w:t>单位：万元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基本支出</w:t>
            </w:r>
          </w:p>
        </w:tc>
        <w:tc>
          <w:tcPr>
            <w:tcW w:w="57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r>
    </w:tbl>
    <w:p>
      <w:pPr>
        <w:rPr>
          <w:rFonts w:hint="default" w:cs="宋体"/>
          <w:color w:val="auto"/>
          <w:sz w:val="21"/>
          <w:szCs w:val="21"/>
          <w:highlight w:val="none"/>
        </w:rPr>
      </w:pPr>
      <w:r>
        <w:rPr>
          <w:rFonts w:cs="宋体"/>
          <w:color w:val="auto"/>
          <w:sz w:val="20"/>
          <w:szCs w:val="20"/>
          <w:highlight w:val="none"/>
        </w:rPr>
        <w:t>备注：本表反映部门本年度政府性基金预算财政拨款收入支出及结转和结余情况。本部门无政府性基金收支，故本表无数据。</w:t>
      </w:r>
      <w:r>
        <w:rPr>
          <w:rFonts w:cs="宋体"/>
          <w:color w:val="auto"/>
          <w:sz w:val="20"/>
          <w:szCs w:val="20"/>
          <w:highlight w:val="none"/>
        </w:rPr>
        <w:br w:type="textWrapping"/>
      </w:r>
      <w:r>
        <w:rPr>
          <w:rFonts w:cs="宋体"/>
          <w:color w:val="auto"/>
          <w:sz w:val="20"/>
          <w:szCs w:val="20"/>
          <w:highlight w:val="none"/>
        </w:rPr>
        <w:br w:type="textWrapping"/>
      </w:r>
    </w:p>
    <w:p>
      <w:pPr>
        <w:rPr>
          <w:rFonts w:hint="default" w:cs="宋体"/>
          <w:color w:val="auto"/>
          <w:sz w:val="21"/>
          <w:szCs w:val="21"/>
          <w:highlight w:val="none"/>
        </w:rPr>
      </w:pPr>
      <w:r>
        <w:rPr>
          <w:rFonts w:cs="宋体"/>
          <w:color w:val="auto"/>
          <w:sz w:val="21"/>
          <w:szCs w:val="21"/>
          <w:highlight w:val="none"/>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highlight w:val="none"/>
              </w:rPr>
            </w:pPr>
            <w:r>
              <w:rPr>
                <w:rFonts w:cs="宋体"/>
                <w:b/>
                <w:color w:val="auto"/>
                <w:sz w:val="32"/>
                <w:szCs w:val="32"/>
                <w:highlight w:val="none"/>
              </w:rPr>
              <w:t>国有资本经营预算财政拨款支出决算表</w:t>
            </w:r>
          </w:p>
        </w:tc>
      </w:tr>
      <w:tr>
        <w:tblPrEx>
          <w:tblCellMar>
            <w:top w:w="0" w:type="dxa"/>
            <w:left w:w="0" w:type="dxa"/>
            <w:bottom w:w="0" w:type="dxa"/>
            <w:right w:w="0" w:type="dxa"/>
          </w:tblCellMar>
        </w:tblPrEx>
        <w:trPr>
          <w:trHeight w:val="332"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r>
              <w:rPr>
                <w:rFonts w:cs="宋体"/>
                <w:color w:val="auto"/>
                <w:sz w:val="20"/>
                <w:szCs w:val="20"/>
                <w:highlight w:val="none"/>
              </w:rPr>
              <w:t xml:space="preserve">公开部门： </w:t>
            </w:r>
            <w:r>
              <w:rPr>
                <w:color w:val="auto"/>
                <w:sz w:val="20"/>
                <w:highlight w:val="none"/>
                <w:u w:color="auto"/>
              </w:rPr>
              <w:t>中共重庆市涪陵区委直属机关工作委员会</w:t>
            </w: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highlight w:val="none"/>
              </w:rPr>
            </w:pPr>
            <w:r>
              <w:rPr>
                <w:rFonts w:cs="宋体"/>
                <w:color w:val="auto"/>
                <w:sz w:val="20"/>
                <w:szCs w:val="20"/>
                <w:highlight w:val="none"/>
              </w:rPr>
              <w:t>公开08表</w:t>
            </w:r>
          </w:p>
        </w:tc>
      </w:tr>
      <w:tr>
        <w:tblPrEx>
          <w:tblCellMar>
            <w:top w:w="0" w:type="dxa"/>
            <w:left w:w="0" w:type="dxa"/>
            <w:bottom w:w="0" w:type="dxa"/>
            <w:right w:w="0" w:type="dxa"/>
          </w:tblCellMar>
        </w:tblPrEx>
        <w:trPr>
          <w:trHeight w:val="332"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highlight w:val="none"/>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highlight w:val="none"/>
              </w:rPr>
            </w:pPr>
            <w:r>
              <w:rPr>
                <w:rFonts w:cs="宋体"/>
                <w:color w:val="auto"/>
                <w:sz w:val="20"/>
                <w:szCs w:val="20"/>
                <w:highlight w:val="none"/>
              </w:rPr>
              <w:t>单位：万元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auto"/>
                <w:sz w:val="20"/>
                <w:szCs w:val="20"/>
                <w:highlight w:val="none"/>
              </w:rPr>
            </w:pPr>
            <w:r>
              <w:rPr>
                <w:rFonts w:cs="宋体"/>
                <w:b/>
                <w:color w:val="auto"/>
                <w:sz w:val="20"/>
                <w:szCs w:val="20"/>
                <w:highlight w:val="none"/>
              </w:rPr>
              <w:t>项目</w:t>
            </w:r>
          </w:p>
        </w:tc>
        <w:tc>
          <w:tcPr>
            <w:tcW w:w="3392"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auto"/>
                <w:sz w:val="20"/>
                <w:szCs w:val="20"/>
                <w:highlight w:val="none"/>
              </w:rPr>
            </w:pPr>
            <w:r>
              <w:rPr>
                <w:rFonts w:cs="宋体"/>
                <w:b/>
                <w:color w:val="auto"/>
                <w:sz w:val="20"/>
                <w:szCs w:val="20"/>
                <w:highlight w:val="none"/>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功能分类科目编码</w:t>
            </w:r>
          </w:p>
        </w:tc>
        <w:tc>
          <w:tcPr>
            <w:tcW w:w="99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基本支出</w:t>
            </w:r>
          </w:p>
        </w:tc>
        <w:tc>
          <w:tcPr>
            <w:tcW w:w="1130"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highlight w:val="none"/>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highlight w:val="none"/>
              </w:rPr>
            </w:pPr>
            <w:r>
              <w:rPr>
                <w:rFonts w:cs="宋体"/>
                <w:b/>
                <w:color w:val="auto"/>
                <w:sz w:val="20"/>
                <w:szCs w:val="20"/>
                <w:highlight w:val="none"/>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auto"/>
                <w:sz w:val="20"/>
                <w:szCs w:val="20"/>
                <w:highlight w:val="none"/>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highlight w:val="none"/>
              </w:rPr>
            </w:pPr>
            <w:r>
              <w:rPr>
                <w:b/>
                <w:color w:val="auto"/>
                <w:sz w:val="20"/>
                <w:highlight w:val="none"/>
                <w:u w:color="auto"/>
              </w:rPr>
              <w:t xml:space="preserve"> </w:t>
            </w:r>
          </w:p>
        </w:tc>
      </w:tr>
    </w:tbl>
    <w:p>
      <w:pPr>
        <w:rPr>
          <w:rFonts w:hint="default" w:cs="宋体"/>
          <w:color w:val="auto"/>
          <w:sz w:val="21"/>
          <w:szCs w:val="21"/>
          <w:highlight w:val="none"/>
        </w:rPr>
      </w:pPr>
      <w:r>
        <w:rPr>
          <w:rFonts w:cs="宋体"/>
          <w:color w:val="auto"/>
          <w:sz w:val="20"/>
          <w:szCs w:val="20"/>
          <w:highlight w:val="none"/>
        </w:rPr>
        <w:t>备注：本表反映部门本年度国有资本经营预算财政拨款支出情况。本部门无国有资本经营收支，故本表无数据。</w:t>
      </w:r>
      <w:r>
        <w:rPr>
          <w:rFonts w:cs="宋体"/>
          <w:color w:val="auto"/>
          <w:sz w:val="20"/>
          <w:szCs w:val="20"/>
          <w:highlight w:val="none"/>
        </w:rPr>
        <w:br w:type="textWrapping"/>
      </w:r>
      <w:r>
        <w:rPr>
          <w:rFonts w:cs="宋体"/>
          <w:color w:val="auto"/>
          <w:sz w:val="20"/>
          <w:szCs w:val="20"/>
          <w:highlight w:val="none"/>
        </w:rPr>
        <w:br w:type="textWrapping"/>
      </w:r>
    </w:p>
    <w:p>
      <w:pPr>
        <w:rPr>
          <w:rFonts w:hint="default" w:cs="宋体"/>
          <w:color w:val="auto"/>
          <w:sz w:val="21"/>
          <w:szCs w:val="21"/>
          <w:highlight w:val="none"/>
        </w:rPr>
      </w:pPr>
      <w:r>
        <w:rPr>
          <w:rFonts w:hint="default" w:cs="宋体"/>
          <w:color w:val="auto"/>
          <w:sz w:val="21"/>
          <w:szCs w:val="21"/>
          <w:highlight w:val="none"/>
        </w:rPr>
        <w:br w:type="page"/>
      </w:r>
    </w:p>
    <w:tbl>
      <w:tblPr>
        <w:tblStyle w:val="7"/>
        <w:tblW w:w="5000" w:type="pct"/>
        <w:tblInd w:w="0" w:type="dxa"/>
        <w:tblLayout w:type="fixed"/>
        <w:tblCellMar>
          <w:top w:w="0" w:type="dxa"/>
          <w:left w:w="0" w:type="dxa"/>
          <w:bottom w:w="0" w:type="dxa"/>
          <w:right w:w="0" w:type="dxa"/>
        </w:tblCellMar>
      </w:tblPr>
      <w:tblGrid>
        <w:gridCol w:w="4151"/>
        <w:gridCol w:w="2228"/>
        <w:gridCol w:w="2176"/>
        <w:gridCol w:w="4643"/>
        <w:gridCol w:w="2124"/>
      </w:tblGrid>
      <w:tr>
        <w:tblPrEx>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highlight w:val="none"/>
              </w:rPr>
            </w:pPr>
            <w:r>
              <w:rPr>
                <w:rFonts w:cs="宋体"/>
                <w:b/>
                <w:color w:val="auto"/>
                <w:sz w:val="32"/>
                <w:szCs w:val="32"/>
                <w:highlight w:val="none"/>
              </w:rPr>
              <w:t>机构运行信息表</w:t>
            </w:r>
          </w:p>
        </w:tc>
      </w:tr>
      <w:tr>
        <w:tblPrEx>
          <w:tblCellMar>
            <w:top w:w="0" w:type="dxa"/>
            <w:left w:w="0" w:type="dxa"/>
            <w:bottom w:w="0" w:type="dxa"/>
            <w:right w:w="0" w:type="dxa"/>
          </w:tblCellMar>
        </w:tblPrEx>
        <w:trPr>
          <w:trHeight w:val="175" w:hRule="atLeast"/>
        </w:trPr>
        <w:tc>
          <w:tcPr>
            <w:tcW w:w="135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auto"/>
                <w:sz w:val="20"/>
                <w:szCs w:val="20"/>
                <w:highlight w:val="none"/>
              </w:rPr>
            </w:pPr>
          </w:p>
        </w:tc>
        <w:tc>
          <w:tcPr>
            <w:tcW w:w="72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auto"/>
                <w:sz w:val="20"/>
                <w:szCs w:val="20"/>
                <w:highlight w:val="none"/>
              </w:rPr>
            </w:pPr>
          </w:p>
        </w:tc>
        <w:tc>
          <w:tcPr>
            <w:tcW w:w="710"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auto"/>
                <w:sz w:val="20"/>
                <w:szCs w:val="20"/>
                <w:highlight w:val="none"/>
              </w:rPr>
            </w:pPr>
          </w:p>
        </w:tc>
        <w:tc>
          <w:tcPr>
            <w:tcW w:w="151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auto"/>
                <w:sz w:val="20"/>
                <w:szCs w:val="20"/>
                <w:highlight w:val="none"/>
              </w:rPr>
            </w:pPr>
          </w:p>
        </w:tc>
        <w:tc>
          <w:tcPr>
            <w:tcW w:w="69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highlight w:val="none"/>
              </w:rPr>
            </w:pPr>
            <w:r>
              <w:rPr>
                <w:rFonts w:cs="宋体"/>
                <w:color w:val="auto"/>
                <w:sz w:val="20"/>
                <w:szCs w:val="20"/>
                <w:highlight w:val="none"/>
              </w:rPr>
              <w:t>公开09表</w:t>
            </w:r>
          </w:p>
        </w:tc>
      </w:tr>
      <w:tr>
        <w:tblPrEx>
          <w:tblCellMar>
            <w:top w:w="0" w:type="dxa"/>
            <w:left w:w="0" w:type="dxa"/>
            <w:bottom w:w="0" w:type="dxa"/>
            <w:right w:w="0" w:type="dxa"/>
          </w:tblCellMar>
        </w:tblPrEx>
        <w:trPr>
          <w:trHeight w:val="175" w:hRule="atLeast"/>
        </w:trPr>
        <w:tc>
          <w:tcPr>
            <w:tcW w:w="135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auto"/>
                <w:sz w:val="20"/>
                <w:szCs w:val="20"/>
                <w:highlight w:val="none"/>
              </w:rPr>
            </w:pPr>
            <w:r>
              <w:rPr>
                <w:rFonts w:cs="宋体"/>
                <w:color w:val="auto"/>
                <w:sz w:val="20"/>
                <w:szCs w:val="20"/>
                <w:highlight w:val="none"/>
              </w:rPr>
              <w:t xml:space="preserve">公开部门： </w:t>
            </w:r>
            <w:r>
              <w:rPr>
                <w:color w:val="auto"/>
                <w:sz w:val="20"/>
                <w:highlight w:val="none"/>
                <w:u w:color="auto"/>
              </w:rPr>
              <w:t>中共重庆市涪陵区委直属机关工作委员会</w:t>
            </w: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center"/>
              <w:rPr>
                <w:rFonts w:hint="default" w:cs="宋体"/>
                <w:color w:val="auto"/>
                <w:sz w:val="20"/>
                <w:szCs w:val="20"/>
                <w:highlight w:val="none"/>
              </w:rPr>
            </w:pPr>
          </w:p>
        </w:tc>
        <w:tc>
          <w:tcPr>
            <w:tcW w:w="71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auto"/>
                <w:sz w:val="20"/>
                <w:szCs w:val="20"/>
                <w:highlight w:val="none"/>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auto"/>
                <w:sz w:val="20"/>
                <w:szCs w:val="20"/>
                <w:highlight w:val="none"/>
              </w:rPr>
            </w:pPr>
          </w:p>
        </w:tc>
        <w:tc>
          <w:tcPr>
            <w:tcW w:w="693"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highlight w:val="none"/>
              </w:rPr>
            </w:pPr>
            <w:r>
              <w:rPr>
                <w:rFonts w:cs="宋体"/>
                <w:color w:val="auto"/>
                <w:sz w:val="20"/>
                <w:szCs w:val="20"/>
                <w:highlight w:val="none"/>
              </w:rPr>
              <w:t>单位：万元</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项  目</w:t>
            </w:r>
          </w:p>
        </w:tc>
        <w:tc>
          <w:tcPr>
            <w:tcW w:w="72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预算数</w:t>
            </w:r>
          </w:p>
        </w:tc>
        <w:tc>
          <w:tcPr>
            <w:tcW w:w="71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决算数</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项  目</w:t>
            </w:r>
          </w:p>
        </w:tc>
        <w:tc>
          <w:tcPr>
            <w:tcW w:w="69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highlight w:val="none"/>
              </w:rPr>
            </w:pPr>
            <w:r>
              <w:rPr>
                <w:rFonts w:cs="宋体"/>
                <w:b/>
                <w:color w:val="auto"/>
                <w:sz w:val="20"/>
                <w:szCs w:val="20"/>
                <w:highlight w:val="none"/>
              </w:rPr>
              <w:t>决算数</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highlight w:val="none"/>
              </w:rPr>
            </w:pPr>
            <w:r>
              <w:rPr>
                <w:rFonts w:cs="宋体"/>
                <w:color w:val="auto"/>
                <w:sz w:val="20"/>
                <w:szCs w:val="20"/>
                <w:highlight w:val="none"/>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highlight w:val="none"/>
              </w:rPr>
            </w:pPr>
            <w:r>
              <w:rPr>
                <w:rFonts w:cs="宋体"/>
                <w:color w:val="auto"/>
                <w:sz w:val="20"/>
                <w:szCs w:val="20"/>
                <w:highlight w:val="none"/>
              </w:rPr>
              <w:t>—</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四、机关运行经费</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rFonts w:cs="宋体"/>
                <w:color w:val="auto"/>
                <w:sz w:val="20"/>
                <w:szCs w:val="20"/>
                <w:highlight w:val="none"/>
              </w:rPr>
              <w:t>35.07</w:t>
            </w:r>
            <w:r>
              <w:rPr>
                <w:color w:val="auto"/>
                <w:sz w:val="20"/>
                <w:highlight w:val="none"/>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rFonts w:cs="宋体"/>
                <w:color w:val="auto"/>
                <w:sz w:val="20"/>
                <w:szCs w:val="20"/>
                <w:highlight w:val="none"/>
              </w:rPr>
              <w:t>2.26</w:t>
            </w:r>
            <w:r>
              <w:rPr>
                <w:color w:val="auto"/>
                <w:sz w:val="20"/>
                <w:highlight w:val="none"/>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rFonts w:cs="宋体"/>
                <w:color w:val="auto"/>
                <w:sz w:val="20"/>
                <w:szCs w:val="20"/>
                <w:highlight w:val="none"/>
              </w:rPr>
              <w:t>2.26</w:t>
            </w:r>
            <w:r>
              <w:rPr>
                <w:color w:val="auto"/>
                <w:sz w:val="20"/>
                <w:highlight w:val="none"/>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 xml:space="preserve">  （一）行政单位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rFonts w:cs="宋体"/>
                <w:color w:val="auto"/>
                <w:sz w:val="20"/>
                <w:szCs w:val="20"/>
                <w:highlight w:val="none"/>
              </w:rPr>
              <w:t>35.07</w:t>
            </w:r>
            <w:r>
              <w:rPr>
                <w:color w:val="auto"/>
                <w:sz w:val="20"/>
                <w:highlight w:val="none"/>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color w:val="auto"/>
                <w:sz w:val="20"/>
                <w:highlight w:val="none"/>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color w:val="auto"/>
                <w:sz w:val="20"/>
                <w:highlight w:val="none"/>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 xml:space="preserve">  （二）参照公务员法管理事业单位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rFonts w:cs="宋体"/>
                <w:color w:val="auto"/>
                <w:sz w:val="20"/>
                <w:szCs w:val="20"/>
                <w:highlight w:val="none"/>
              </w:rPr>
              <w:t>2.26</w:t>
            </w:r>
            <w:r>
              <w:rPr>
                <w:color w:val="auto"/>
                <w:sz w:val="20"/>
                <w:highlight w:val="none"/>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rFonts w:cs="宋体"/>
                <w:color w:val="auto"/>
                <w:sz w:val="20"/>
                <w:szCs w:val="20"/>
                <w:highlight w:val="none"/>
              </w:rPr>
              <w:t>2.26</w:t>
            </w:r>
            <w:r>
              <w:rPr>
                <w:color w:val="auto"/>
                <w:sz w:val="20"/>
                <w:highlight w:val="none"/>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五、资产信息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highlight w:val="none"/>
              </w:rPr>
            </w:pPr>
            <w:r>
              <w:rPr>
                <w:rFonts w:cs="宋体"/>
                <w:color w:val="auto"/>
                <w:sz w:val="20"/>
                <w:szCs w:val="20"/>
                <w:highlight w:val="none"/>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color w:val="auto"/>
                <w:sz w:val="20"/>
                <w:highlight w:val="none"/>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color w:val="auto"/>
                <w:sz w:val="20"/>
                <w:highlight w:val="none"/>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 xml:space="preserve">  （一）车辆数合计（辆）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rFonts w:cs="宋体"/>
                <w:color w:val="auto"/>
                <w:sz w:val="20"/>
                <w:szCs w:val="20"/>
                <w:highlight w:val="none"/>
              </w:rPr>
              <w:t>1</w:t>
            </w:r>
            <w:r>
              <w:rPr>
                <w:color w:val="auto"/>
                <w:sz w:val="20"/>
                <w:highlight w:val="none"/>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rFonts w:cs="宋体"/>
                <w:color w:val="auto"/>
                <w:sz w:val="20"/>
                <w:szCs w:val="20"/>
                <w:highlight w:val="none"/>
              </w:rPr>
              <w:t>2.26</w:t>
            </w:r>
            <w:r>
              <w:rPr>
                <w:color w:val="auto"/>
                <w:sz w:val="20"/>
                <w:highlight w:val="none"/>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rFonts w:cs="宋体"/>
                <w:color w:val="auto"/>
                <w:sz w:val="20"/>
                <w:szCs w:val="20"/>
                <w:highlight w:val="none"/>
              </w:rPr>
              <w:t>2.26</w:t>
            </w:r>
            <w:r>
              <w:rPr>
                <w:color w:val="auto"/>
                <w:sz w:val="20"/>
                <w:highlight w:val="none"/>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 xml:space="preserve">     1．副部（省）级及以上领导用车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color w:val="auto"/>
                <w:sz w:val="20"/>
                <w:highlight w:val="none"/>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color w:val="auto"/>
                <w:sz w:val="20"/>
                <w:highlight w:val="none"/>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 xml:space="preserve">     2．主要领导干部用车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highlight w:val="none"/>
              </w:rPr>
            </w:pPr>
            <w:r>
              <w:rPr>
                <w:rFonts w:cs="宋体"/>
                <w:color w:val="auto"/>
                <w:sz w:val="20"/>
                <w:szCs w:val="20"/>
                <w:highlight w:val="none"/>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color w:val="auto"/>
                <w:sz w:val="20"/>
                <w:highlight w:val="none"/>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 xml:space="preserve">     3．机要通信用车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highlight w:val="none"/>
              </w:rPr>
            </w:pPr>
            <w:r>
              <w:rPr>
                <w:rFonts w:cs="宋体"/>
                <w:color w:val="auto"/>
                <w:sz w:val="20"/>
                <w:szCs w:val="20"/>
                <w:highlight w:val="none"/>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color w:val="auto"/>
                <w:sz w:val="20"/>
                <w:highlight w:val="none"/>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 xml:space="preserve">     4．应急保障用车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rFonts w:cs="宋体"/>
                <w:color w:val="auto"/>
                <w:sz w:val="20"/>
                <w:szCs w:val="20"/>
                <w:highlight w:val="none"/>
              </w:rPr>
              <w:t>1</w:t>
            </w:r>
            <w:r>
              <w:rPr>
                <w:color w:val="auto"/>
                <w:sz w:val="20"/>
                <w:highlight w:val="none"/>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highlight w:val="none"/>
              </w:rPr>
            </w:pPr>
            <w:r>
              <w:rPr>
                <w:rFonts w:cs="宋体"/>
                <w:color w:val="auto"/>
                <w:sz w:val="20"/>
                <w:szCs w:val="20"/>
                <w:highlight w:val="none"/>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color w:val="auto"/>
                <w:sz w:val="20"/>
                <w:highlight w:val="none"/>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 xml:space="preserve">     5．执法执勤用车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highlight w:val="none"/>
              </w:rPr>
            </w:pPr>
            <w:r>
              <w:rPr>
                <w:rFonts w:cs="宋体"/>
                <w:color w:val="auto"/>
                <w:sz w:val="20"/>
                <w:szCs w:val="20"/>
                <w:highlight w:val="none"/>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highlight w:val="none"/>
              </w:rPr>
            </w:pPr>
            <w:r>
              <w:rPr>
                <w:rFonts w:cs="宋体"/>
                <w:color w:val="auto"/>
                <w:sz w:val="20"/>
                <w:szCs w:val="20"/>
                <w:highlight w:val="none"/>
              </w:rPr>
              <w:t>—</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 xml:space="preserve">     6．特种专业技术用车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highlight w:val="none"/>
              </w:rPr>
            </w:pPr>
            <w:r>
              <w:rPr>
                <w:rFonts w:cs="宋体"/>
                <w:color w:val="auto"/>
                <w:sz w:val="20"/>
                <w:szCs w:val="20"/>
                <w:highlight w:val="none"/>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color w:val="auto"/>
                <w:sz w:val="20"/>
                <w:highlight w:val="none"/>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 xml:space="preserve">     7．离退休干部用车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highlight w:val="none"/>
              </w:rPr>
            </w:pPr>
            <w:r>
              <w:rPr>
                <w:rFonts w:cs="宋体"/>
                <w:color w:val="auto"/>
                <w:sz w:val="20"/>
                <w:szCs w:val="20"/>
                <w:highlight w:val="none"/>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color w:val="auto"/>
                <w:sz w:val="20"/>
                <w:highlight w:val="none"/>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 xml:space="preserve">     8．其他用车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highlight w:val="none"/>
              </w:rPr>
            </w:pPr>
            <w:r>
              <w:rPr>
                <w:rFonts w:cs="宋体"/>
                <w:color w:val="auto"/>
                <w:sz w:val="20"/>
                <w:szCs w:val="20"/>
                <w:highlight w:val="none"/>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color w:val="auto"/>
                <w:sz w:val="20"/>
                <w:highlight w:val="none"/>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 xml:space="preserve">  （二）单价100万元（含）以上设备（不含车辆）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highlight w:val="none"/>
              </w:rPr>
            </w:pPr>
            <w:r>
              <w:rPr>
                <w:rFonts w:cs="宋体"/>
                <w:color w:val="auto"/>
                <w:sz w:val="20"/>
                <w:szCs w:val="20"/>
                <w:highlight w:val="none"/>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rFonts w:cs="宋体"/>
                <w:color w:val="auto"/>
                <w:sz w:val="20"/>
                <w:szCs w:val="20"/>
                <w:highlight w:val="none"/>
              </w:rPr>
              <w:t>1</w:t>
            </w:r>
            <w:r>
              <w:rPr>
                <w:color w:val="auto"/>
                <w:sz w:val="20"/>
                <w:highlight w:val="none"/>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六、政府采购支出信息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highlight w:val="none"/>
              </w:rPr>
            </w:pPr>
            <w:r>
              <w:rPr>
                <w:rFonts w:cs="宋体"/>
                <w:color w:val="auto"/>
                <w:sz w:val="20"/>
                <w:szCs w:val="20"/>
                <w:highlight w:val="none"/>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highlight w:val="none"/>
              </w:rPr>
            </w:pPr>
            <w:r>
              <w:rPr>
                <w:rFonts w:cs="宋体"/>
                <w:color w:val="auto"/>
                <w:sz w:val="20"/>
                <w:szCs w:val="20"/>
                <w:highlight w:val="none"/>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color w:val="auto"/>
                <w:sz w:val="20"/>
                <w:highlight w:val="none"/>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 xml:space="preserve">  （一）政府采购支出合计</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highlight w:val="none"/>
              </w:rPr>
            </w:pPr>
            <w:r>
              <w:rPr>
                <w:rFonts w:cs="宋体"/>
                <w:color w:val="auto"/>
                <w:sz w:val="20"/>
                <w:szCs w:val="20"/>
                <w:highlight w:val="none"/>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color w:val="auto"/>
                <w:sz w:val="20"/>
                <w:highlight w:val="none"/>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 xml:space="preserve">     1．政府采购货物支出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highlight w:val="none"/>
              </w:rPr>
            </w:pPr>
            <w:r>
              <w:rPr>
                <w:rFonts w:cs="宋体"/>
                <w:color w:val="auto"/>
                <w:sz w:val="20"/>
                <w:szCs w:val="20"/>
                <w:highlight w:val="none"/>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color w:val="auto"/>
                <w:sz w:val="20"/>
                <w:highlight w:val="none"/>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 xml:space="preserve">     2．政府采购工程支出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highlight w:val="none"/>
              </w:rPr>
            </w:pPr>
            <w:r>
              <w:rPr>
                <w:rFonts w:cs="宋体"/>
                <w:color w:val="auto"/>
                <w:sz w:val="20"/>
                <w:szCs w:val="20"/>
                <w:highlight w:val="none"/>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color w:val="auto"/>
                <w:sz w:val="20"/>
                <w:highlight w:val="none"/>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 xml:space="preserve">     3．政府采购服务支出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highlight w:val="none"/>
              </w:rPr>
            </w:pPr>
            <w:r>
              <w:rPr>
                <w:rFonts w:cs="宋体"/>
                <w:color w:val="auto"/>
                <w:sz w:val="20"/>
                <w:szCs w:val="20"/>
                <w:highlight w:val="none"/>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color w:val="auto"/>
                <w:sz w:val="20"/>
                <w:highlight w:val="none"/>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 xml:space="preserve">  （二）政府采购授予中小企业合同金额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highlight w:val="none"/>
              </w:rPr>
            </w:pPr>
            <w:r>
              <w:rPr>
                <w:rFonts w:cs="宋体"/>
                <w:color w:val="auto"/>
                <w:sz w:val="20"/>
                <w:szCs w:val="20"/>
                <w:highlight w:val="none"/>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color w:val="auto"/>
                <w:sz w:val="20"/>
                <w:highlight w:val="none"/>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 xml:space="preserve">        其中：授予小微企业合同金额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color w:val="auto"/>
                <w:sz w:val="20"/>
                <w:highlight w:val="none"/>
                <w:u w:color="auto"/>
              </w:rPr>
              <w:t xml:space="preserve"> </w:t>
            </w:r>
          </w:p>
        </w:tc>
      </w:tr>
      <w:tr>
        <w:tblPrEx>
          <w:tblCellMar>
            <w:top w:w="0" w:type="dxa"/>
            <w:left w:w="0" w:type="dxa"/>
            <w:bottom w:w="0" w:type="dxa"/>
            <w:right w:w="0" w:type="dxa"/>
          </w:tblCellMar>
        </w:tblPrEx>
        <w:trPr>
          <w:trHeight w:val="269"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highlight w:val="none"/>
              </w:rPr>
            </w:pPr>
            <w:r>
              <w:rPr>
                <w:rFonts w:cs="宋体"/>
                <w:color w:val="auto"/>
                <w:sz w:val="20"/>
                <w:szCs w:val="20"/>
                <w:highlight w:val="none"/>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rFonts w:cs="宋体"/>
                <w:color w:val="auto"/>
                <w:sz w:val="20"/>
                <w:szCs w:val="20"/>
                <w:highlight w:val="none"/>
              </w:rPr>
              <w:t>1.08</w:t>
            </w:r>
            <w:r>
              <w:rPr>
                <w:color w:val="auto"/>
                <w:sz w:val="20"/>
                <w:highlight w:val="none"/>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highlight w:val="none"/>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auto"/>
                <w:sz w:val="20"/>
                <w:szCs w:val="20"/>
                <w:highlight w:val="none"/>
              </w:rPr>
            </w:pPr>
          </w:p>
        </w:tc>
      </w:tr>
      <w:tr>
        <w:tblPrEx>
          <w:tblCellMar>
            <w:top w:w="0" w:type="dxa"/>
            <w:left w:w="0" w:type="dxa"/>
            <w:bottom w:w="0" w:type="dxa"/>
            <w:right w:w="0" w:type="dxa"/>
          </w:tblCellMar>
        </w:tblPrEx>
        <w:trPr>
          <w:trHeight w:val="24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highlight w:val="none"/>
              </w:rPr>
            </w:pPr>
            <w:r>
              <w:rPr>
                <w:rFonts w:cs="宋体"/>
                <w:color w:val="auto"/>
                <w:sz w:val="20"/>
                <w:szCs w:val="20"/>
                <w:highlight w:val="none"/>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highlight w:val="none"/>
              </w:rPr>
            </w:pPr>
            <w:r>
              <w:rPr>
                <w:rFonts w:cs="宋体"/>
                <w:color w:val="auto"/>
                <w:sz w:val="20"/>
                <w:szCs w:val="20"/>
                <w:highlight w:val="none"/>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highlight w:val="none"/>
              </w:rPr>
            </w:pPr>
            <w:r>
              <w:rPr>
                <w:rFonts w:cs="宋体"/>
                <w:color w:val="auto"/>
                <w:sz w:val="20"/>
                <w:szCs w:val="20"/>
                <w:highlight w:val="none"/>
              </w:rPr>
              <w:t>3.68</w:t>
            </w:r>
            <w:r>
              <w:rPr>
                <w:color w:val="auto"/>
                <w:sz w:val="20"/>
                <w:highlight w:val="none"/>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highlight w:val="none"/>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auto"/>
                <w:sz w:val="20"/>
                <w:szCs w:val="20"/>
                <w:highlight w:val="none"/>
              </w:rPr>
            </w:pPr>
          </w:p>
        </w:tc>
      </w:tr>
    </w:tbl>
    <w:p>
      <w:pPr>
        <w:spacing w:line="240" w:lineRule="exact"/>
        <w:rPr>
          <w:rFonts w:hint="default" w:cs="宋体"/>
          <w:color w:val="auto"/>
          <w:sz w:val="20"/>
          <w:szCs w:val="20"/>
          <w:highlight w:val="none"/>
        </w:rPr>
      </w:pPr>
      <w:r>
        <w:rPr>
          <w:rFonts w:cs="宋体"/>
          <w:color w:val="auto"/>
          <w:sz w:val="20"/>
          <w:szCs w:val="20"/>
          <w:highlight w:val="none"/>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color w:val="auto"/>
          <w:sz w:val="20"/>
          <w:szCs w:val="20"/>
          <w:highlight w:val="none"/>
        </w:rPr>
        <w:br w:type="textWrapping"/>
      </w:r>
      <w:r>
        <w:rPr>
          <w:rFonts w:cs="宋体"/>
          <w:color w:val="auto"/>
          <w:sz w:val="20"/>
          <w:szCs w:val="20"/>
          <w:highlight w:val="none"/>
        </w:rPr>
        <w:t xml:space="preserve">      2.本套报表金额单位转换时可能存在尾数误差。</w:t>
      </w:r>
      <w:r>
        <w:rPr>
          <w:rFonts w:cs="宋体"/>
          <w:color w:val="auto"/>
          <w:sz w:val="20"/>
          <w:szCs w:val="20"/>
          <w:highlight w:val="none"/>
        </w:rPr>
        <w:br w:type="textWrapping"/>
      </w:r>
      <w:r>
        <w:rPr>
          <w:rFonts w:cs="宋体"/>
          <w:color w:val="auto"/>
          <w:sz w:val="20"/>
          <w:szCs w:val="20"/>
          <w:highlight w:val="none"/>
        </w:rPr>
        <w:br w:type="textWrapping"/>
      </w:r>
    </w:p>
    <w:sectPr>
      <w:headerReference r:id="rId3" w:type="default"/>
      <w:footerReference r:id="rId4"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29 -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E5NDYzMGJkNWQ5ZTU4Njg3YWY0M2ExZTVkZDQwNjUifQ=="/>
  </w:docVars>
  <w:rsids>
    <w:rsidRoot w:val="00B03CCD"/>
    <w:rsid w:val="000D7702"/>
    <w:rsid w:val="0013686F"/>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726A7"/>
    <w:rsid w:val="00A820B7"/>
    <w:rsid w:val="00AA1A45"/>
    <w:rsid w:val="00AC5566"/>
    <w:rsid w:val="00B03CCD"/>
    <w:rsid w:val="00B73E6E"/>
    <w:rsid w:val="00BF5A85"/>
    <w:rsid w:val="00C6526A"/>
    <w:rsid w:val="00C96B11"/>
    <w:rsid w:val="00CC6B99"/>
    <w:rsid w:val="00DF7706"/>
    <w:rsid w:val="00E654E2"/>
    <w:rsid w:val="00E76362"/>
    <w:rsid w:val="00F137D3"/>
    <w:rsid w:val="00F13C36"/>
    <w:rsid w:val="00F32C53"/>
    <w:rsid w:val="00F67257"/>
    <w:rsid w:val="00F73F90"/>
    <w:rsid w:val="00F7623D"/>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DE25BD"/>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E34C4"/>
    <w:rsid w:val="488F422B"/>
    <w:rsid w:val="48E36915"/>
    <w:rsid w:val="495C4A24"/>
    <w:rsid w:val="497135DF"/>
    <w:rsid w:val="4A263DF2"/>
    <w:rsid w:val="4A6F6675"/>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5918DB"/>
    <w:rsid w:val="66967186"/>
    <w:rsid w:val="66EE5541"/>
    <w:rsid w:val="67924660"/>
    <w:rsid w:val="68407834"/>
    <w:rsid w:val="6883293E"/>
    <w:rsid w:val="688412AD"/>
    <w:rsid w:val="68EB1B71"/>
    <w:rsid w:val="69475C96"/>
    <w:rsid w:val="6AAD2300"/>
    <w:rsid w:val="6B474EF5"/>
    <w:rsid w:val="6BBC1CD1"/>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styleId="16">
    <w:name w:val="List Paragraph"/>
    <w:basedOn w:val="1"/>
    <w:qFormat/>
    <w:uiPriority w:val="34"/>
    <w:pPr>
      <w:widowControl w:val="0"/>
      <w:ind w:firstLine="420" w:firstLineChars="200"/>
      <w:jc w:val="both"/>
    </w:pPr>
    <w:rPr>
      <w:rFonts w:hint="default" w:ascii="Times New Roman" w:hAnsi="Times New Roman"/>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4476</Words>
  <Characters>5003</Characters>
  <Lines>196</Lines>
  <Paragraphs>55</Paragraphs>
  <TotalTime>7</TotalTime>
  <ScaleCrop>false</ScaleCrop>
  <LinksUpToDate>false</LinksUpToDate>
  <CharactersWithSpaces>5020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2024-10-23T07:46:30Z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BB46EABDBB2749749395447164B066B3_12</vt:lpwstr>
  </property>
</Properties>
</file>