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93C" w:rsidRPr="00B3293C" w:rsidRDefault="00B3293C" w:rsidP="00B3293C">
      <w:pPr>
        <w:pStyle w:val="Default"/>
        <w:jc w:val="both"/>
        <w:rPr>
          <w:rFonts w:ascii="微软雅黑" w:eastAsia="微软雅黑" w:hAnsi="微软雅黑"/>
          <w:color w:val="auto"/>
        </w:rPr>
      </w:pPr>
      <w:r w:rsidRPr="00B3293C">
        <w:rPr>
          <w:rFonts w:ascii="微软雅黑" w:eastAsia="微软雅黑" w:hAnsi="微软雅黑" w:hint="eastAsia"/>
          <w:color w:val="auto"/>
        </w:rPr>
        <w:t>附件1</w:t>
      </w:r>
    </w:p>
    <w:p w:rsidR="00B3293C" w:rsidRPr="00B3293C" w:rsidRDefault="00B3293C" w:rsidP="00B3293C">
      <w:pPr>
        <w:autoSpaceDN w:val="0"/>
        <w:spacing w:line="560" w:lineRule="exact"/>
        <w:jc w:val="center"/>
        <w:rPr>
          <w:rFonts w:ascii="微软雅黑" w:eastAsia="微软雅黑" w:hAnsi="微软雅黑" w:hint="eastAsia"/>
          <w:b/>
          <w:sz w:val="28"/>
          <w:szCs w:val="28"/>
        </w:rPr>
      </w:pPr>
      <w:r w:rsidRPr="00B3293C">
        <w:rPr>
          <w:rFonts w:ascii="微软雅黑" w:eastAsia="微软雅黑" w:hAnsi="微软雅黑" w:hint="eastAsia"/>
          <w:b/>
          <w:sz w:val="28"/>
          <w:szCs w:val="28"/>
        </w:rPr>
        <w:t>上半年政府工作报告主要指标任务完成情况</w:t>
      </w:r>
    </w:p>
    <w:p w:rsidR="00B3293C" w:rsidRPr="00B3293C" w:rsidRDefault="00B3293C" w:rsidP="00B3293C">
      <w:pPr>
        <w:pStyle w:val="1"/>
        <w:autoSpaceDN w:val="0"/>
        <w:adjustRightInd w:val="0"/>
        <w:snapToGrid w:val="0"/>
        <w:spacing w:before="0" w:after="0" w:line="240" w:lineRule="exact"/>
        <w:rPr>
          <w:rFonts w:ascii="微软雅黑" w:eastAsia="微软雅黑" w:hAnsi="微软雅黑" w:hint="eastAsia"/>
          <w:sz w:val="24"/>
          <w:szCs w:val="24"/>
        </w:rPr>
      </w:pPr>
    </w:p>
    <w:tbl>
      <w:tblPr>
        <w:tblW w:w="14459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709"/>
        <w:gridCol w:w="3969"/>
        <w:gridCol w:w="5879"/>
        <w:gridCol w:w="2067"/>
        <w:gridCol w:w="1835"/>
      </w:tblGrid>
      <w:tr w:rsidR="00B3293C" w:rsidRPr="00B3293C" w:rsidTr="00B3293C">
        <w:trPr>
          <w:trHeight w:val="586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8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黑体_GBK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8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黑体_GBK" w:hint="eastAsia"/>
                <w:b/>
                <w:sz w:val="24"/>
                <w:szCs w:val="24"/>
              </w:rPr>
              <w:t>指   标    名    称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8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黑体_GBK" w:hint="eastAsia"/>
                <w:b/>
                <w:sz w:val="24"/>
                <w:szCs w:val="24"/>
              </w:rPr>
              <w:t>完成情况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8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黑体_GBK" w:hint="eastAsia"/>
                <w:b/>
                <w:sz w:val="24"/>
                <w:szCs w:val="24"/>
              </w:rPr>
              <w:t>全年</w:t>
            </w:r>
            <w:r w:rsidRPr="00B3293C">
              <w:rPr>
                <w:rFonts w:ascii="微软雅黑" w:eastAsia="微软雅黑" w:hAnsi="微软雅黑" w:cs="方正黑体_GBK" w:hint="eastAsia"/>
                <w:b/>
                <w:spacing w:val="-6"/>
                <w:w w:val="90"/>
                <w:sz w:val="24"/>
                <w:szCs w:val="24"/>
              </w:rPr>
              <w:t>目标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8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b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黑体_GBK" w:hint="eastAsia"/>
                <w:b/>
                <w:sz w:val="24"/>
                <w:szCs w:val="24"/>
              </w:rPr>
              <w:t>牵头责任单位</w:t>
            </w:r>
          </w:p>
        </w:tc>
      </w:tr>
      <w:tr w:rsidR="00B3293C" w:rsidRPr="00B3293C" w:rsidTr="00B3293C">
        <w:trPr>
          <w:trHeight w:val="705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1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9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地区生产总值</w:t>
            </w: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增长</w:t>
            </w: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上半年，地区生产总值增长6.4%，高于全市1.8个百分点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6.5%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区发展改革委</w:t>
            </w:r>
          </w:p>
        </w:tc>
      </w:tr>
      <w:tr w:rsidR="00B3293C" w:rsidRPr="00B3293C" w:rsidTr="00B3293C">
        <w:trPr>
          <w:trHeight w:val="829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2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29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规上工业增加值增长</w:t>
            </w: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cs="方正书宋_GBK" w:hint="eastAsia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上半年，全区规上工业增加值增速8.8%，高于全市5.3个百分点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8.5%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区经济信息委</w:t>
            </w:r>
          </w:p>
        </w:tc>
      </w:tr>
      <w:tr w:rsidR="00B3293C" w:rsidRPr="00B3293C" w:rsidTr="00B3293C">
        <w:trPr>
          <w:trHeight w:val="712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3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固定资产投资增长</w:t>
            </w: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上半年，完成固定资产投资增长-9.8%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10%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区发展改革委</w:t>
            </w:r>
          </w:p>
        </w:tc>
      </w:tr>
      <w:tr w:rsidR="00B3293C" w:rsidRPr="00B3293C" w:rsidTr="00B3293C">
        <w:trPr>
          <w:trHeight w:val="709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4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社会消费品零售总额增长</w:t>
            </w: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jc w:val="left"/>
              <w:rPr>
                <w:rFonts w:ascii="微软雅黑" w:eastAsia="微软雅黑" w:hAnsi="微软雅黑" w:hint="eastAsia"/>
                <w:b/>
                <w:bCs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上半年，实现社会消费品零售总额293.03亿元、增长5.1%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6.5%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区商务委</w:t>
            </w:r>
          </w:p>
        </w:tc>
      </w:tr>
      <w:tr w:rsidR="00B3293C" w:rsidRPr="00B3293C" w:rsidTr="00B3293C">
        <w:trPr>
          <w:trHeight w:val="691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5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一般公共预算收入增长</w:t>
            </w: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上半年，实现一般公共预算收入36.05亿元、增长5.8%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8.5%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区财政局</w:t>
            </w:r>
          </w:p>
        </w:tc>
      </w:tr>
      <w:tr w:rsidR="00B3293C" w:rsidRPr="00B3293C" w:rsidTr="00B3293C">
        <w:trPr>
          <w:trHeight w:val="714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6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城乡居民收入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预计城乡居民收入增长与经济增长保持同步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城乡居民收入增长快于经济增长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区发展改革委</w:t>
            </w:r>
          </w:p>
        </w:tc>
      </w:tr>
      <w:tr w:rsidR="00B3293C" w:rsidRPr="00B3293C" w:rsidTr="00B3293C">
        <w:trPr>
          <w:trHeight w:val="1122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7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节能减排降碳等约束性指标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spacing w:line="320" w:lineRule="exact"/>
              <w:ind w:leftChars="-15" w:left="-48" w:rightChars="-15" w:right="-48"/>
              <w:jc w:val="left"/>
              <w:rPr>
                <w:rFonts w:ascii="微软雅黑" w:eastAsia="微软雅黑" w:hAnsi="微软雅黑" w:cs="方正书宋_GBK" w:hint="eastAsia"/>
                <w:spacing w:val="-6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目前，市上未下达年度任务。</w:t>
            </w:r>
            <w:r w:rsidRPr="00B3293C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1-5月规上工业能耗消费同比增长9.5%，原煤、天然气、电力均大幅增长，同比增长9.2%、4.7%、16.6%，预计完成目标难度大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/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区发展改革委</w:t>
            </w:r>
          </w:p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ind w:left="-25" w:right="-25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区生态环境局</w:t>
            </w:r>
          </w:p>
        </w:tc>
      </w:tr>
      <w:tr w:rsidR="00B3293C" w:rsidRPr="00B3293C" w:rsidTr="00B3293C">
        <w:trPr>
          <w:trHeight w:val="712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8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进出口总额增速（%）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上半年，全区实现进出口总额97.8亿元，同比下降9%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区商务委</w:t>
            </w:r>
          </w:p>
        </w:tc>
      </w:tr>
      <w:tr w:rsidR="00B3293C" w:rsidRPr="00B3293C" w:rsidTr="00B3293C">
        <w:trPr>
          <w:trHeight w:val="1132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lastRenderedPageBreak/>
              <w:t>9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 w:cs="方正书宋_GBK"/>
                <w:spacing w:val="-6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pacing w:val="-6"/>
                <w:sz w:val="24"/>
                <w:szCs w:val="24"/>
              </w:rPr>
              <w:t>战略性新兴产业产值增速（%）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cs="方正书宋_GBK"/>
                <w:spacing w:val="-6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pacing w:val="-6"/>
                <w:sz w:val="24"/>
                <w:szCs w:val="24"/>
              </w:rPr>
              <w:t>上半年，全区规上工业战略性新兴产业产值385.02亿元，同比下降4.5%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pacing w:val="-6"/>
                <w:sz w:val="24"/>
                <w:szCs w:val="24"/>
              </w:rPr>
              <w:t>15%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20" w:lineRule="exact"/>
              <w:ind w:leftChars="-35" w:left="-112" w:rightChars="-35" w:right="-112"/>
              <w:jc w:val="center"/>
              <w:rPr>
                <w:rFonts w:ascii="微软雅黑" w:eastAsia="微软雅黑" w:hAnsi="微软雅黑"/>
                <w:spacing w:val="-6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区发展改革委</w:t>
            </w:r>
          </w:p>
          <w:p w:rsidR="00B3293C" w:rsidRPr="00B3293C" w:rsidRDefault="00B3293C" w:rsidP="00B3293C">
            <w:pPr>
              <w:widowControl/>
              <w:autoSpaceDN w:val="0"/>
              <w:spacing w:line="320" w:lineRule="exact"/>
              <w:ind w:leftChars="-25" w:left="-80" w:rightChars="-25" w:right="-80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区经济信息委</w:t>
            </w:r>
          </w:p>
        </w:tc>
      </w:tr>
      <w:tr w:rsidR="00B3293C" w:rsidRPr="00B3293C" w:rsidTr="00B3293C">
        <w:trPr>
          <w:trHeight w:val="805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10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新增城镇就业（万人）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上半年，全区城镇新增就业12039人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2万人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区人力社保局</w:t>
            </w:r>
          </w:p>
        </w:tc>
      </w:tr>
      <w:tr w:rsidR="00B3293C" w:rsidRPr="00B3293C" w:rsidTr="00B3293C">
        <w:trPr>
          <w:trHeight w:val="1001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11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ind w:leftChars="-50" w:left="-160" w:rightChars="-50" w:right="-160"/>
              <w:jc w:val="center"/>
              <w:rPr>
                <w:rFonts w:ascii="微软雅黑" w:eastAsia="微软雅黑" w:hAnsi="微软雅黑" w:cs="宋体"/>
                <w:spacing w:val="-8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宋体" w:hint="eastAsia"/>
                <w:spacing w:val="-8"/>
                <w:kern w:val="0"/>
                <w:sz w:val="24"/>
                <w:szCs w:val="24"/>
              </w:rPr>
              <w:t>接待游客人次、旅游综合收入增速（%）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bCs/>
                <w:sz w:val="24"/>
                <w:szCs w:val="24"/>
              </w:rPr>
              <w:t>上半年，全区接待游客1470.6 万人次，实现旅游综合收入130.25亿元，分别同比增长30.75%、25.06%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分别均增长15%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区文化旅游委</w:t>
            </w:r>
          </w:p>
        </w:tc>
      </w:tr>
      <w:tr w:rsidR="00B3293C" w:rsidRPr="00B3293C" w:rsidTr="00B3293C">
        <w:trPr>
          <w:trHeight w:val="1268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12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万人发明专利拥有量（%）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jc w:val="left"/>
              <w:rPr>
                <w:rFonts w:ascii="微软雅黑" w:eastAsia="微软雅黑" w:hAnsi="微软雅黑" w:hint="eastAsia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pacing w:val="-6"/>
                <w:sz w:val="24"/>
                <w:szCs w:val="24"/>
              </w:rPr>
              <w:t>截至4月底，新增授权发明专利73件，万人发明拥有量达6.76件，较去年底增长8.16%（市知识产权局只公布了1-4月数据）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10%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tabs>
                <w:tab w:val="left" w:pos="4424"/>
              </w:tabs>
              <w:autoSpaceDN w:val="0"/>
              <w:spacing w:line="300" w:lineRule="exact"/>
              <w:jc w:val="center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区市场监管局</w:t>
            </w:r>
          </w:p>
        </w:tc>
      </w:tr>
      <w:tr w:rsidR="00B3293C" w:rsidRPr="00B3293C" w:rsidTr="00B3293C">
        <w:trPr>
          <w:trHeight w:val="852"/>
        </w:trPr>
        <w:tc>
          <w:tcPr>
            <w:tcW w:w="70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00" w:lineRule="exact"/>
              <w:ind w:leftChars="-15" w:left="-48" w:rightChars="-15" w:right="-48"/>
              <w:jc w:val="center"/>
              <w:rPr>
                <w:rFonts w:ascii="微软雅黑" w:eastAsia="微软雅黑" w:hAnsi="微软雅黑" w:cs="方正书宋_GBK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13</w:t>
            </w:r>
          </w:p>
        </w:tc>
        <w:tc>
          <w:tcPr>
            <w:tcW w:w="396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城区空气质量优良天数</w:t>
            </w:r>
          </w:p>
        </w:tc>
        <w:tc>
          <w:tcPr>
            <w:tcW w:w="5879" w:type="dxa"/>
            <w:noWrap/>
            <w:vAlign w:val="center"/>
          </w:tcPr>
          <w:p w:rsidR="00B3293C" w:rsidRPr="00B3293C" w:rsidRDefault="00B3293C" w:rsidP="00B3293C">
            <w:pPr>
              <w:autoSpaceDN w:val="0"/>
              <w:spacing w:line="340" w:lineRule="exact"/>
              <w:jc w:val="left"/>
              <w:rPr>
                <w:rFonts w:ascii="微软雅黑" w:eastAsia="微软雅黑" w:hAnsi="微软雅黑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方正书宋_GBK" w:hint="eastAsia"/>
                <w:sz w:val="24"/>
                <w:szCs w:val="24"/>
              </w:rPr>
              <w:t>上半年，空气质量优良天数达到144天</w:t>
            </w:r>
          </w:p>
        </w:tc>
        <w:tc>
          <w:tcPr>
            <w:tcW w:w="2067" w:type="dxa"/>
            <w:noWrap/>
            <w:vAlign w:val="center"/>
          </w:tcPr>
          <w:p w:rsidR="00B3293C" w:rsidRPr="00B3293C" w:rsidRDefault="00B3293C" w:rsidP="00B3293C">
            <w:pPr>
              <w:widowControl/>
              <w:autoSpaceDN w:val="0"/>
              <w:spacing w:line="340" w:lineRule="exact"/>
              <w:ind w:leftChars="-15" w:left="-48" w:rightChars="-15" w:right="-48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hint="eastAsia"/>
                <w:sz w:val="24"/>
                <w:szCs w:val="24"/>
              </w:rPr>
              <w:t>330天</w:t>
            </w:r>
          </w:p>
        </w:tc>
        <w:tc>
          <w:tcPr>
            <w:tcW w:w="1835" w:type="dxa"/>
            <w:noWrap/>
            <w:vAlign w:val="center"/>
          </w:tcPr>
          <w:p w:rsidR="00B3293C" w:rsidRPr="00B3293C" w:rsidRDefault="00B3293C" w:rsidP="00B3293C">
            <w:pPr>
              <w:widowControl/>
              <w:autoSpaceDN w:val="0"/>
              <w:spacing w:line="340" w:lineRule="exact"/>
              <w:ind w:leftChars="-15" w:left="-48" w:rightChars="-15" w:right="-48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B3293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区生态环境局</w:t>
            </w:r>
          </w:p>
        </w:tc>
      </w:tr>
    </w:tbl>
    <w:p w:rsidR="00B3293C" w:rsidRPr="00B3293C" w:rsidRDefault="00B3293C" w:rsidP="00B3293C">
      <w:pPr>
        <w:pStyle w:val="Default"/>
        <w:spacing w:line="500" w:lineRule="exact"/>
        <w:jc w:val="both"/>
        <w:rPr>
          <w:rFonts w:ascii="微软雅黑" w:eastAsia="微软雅黑" w:hAnsi="微软雅黑" w:cs="Times New Roman"/>
          <w:color w:val="auto"/>
          <w:kern w:val="2"/>
        </w:rPr>
      </w:pPr>
      <w:r w:rsidRPr="00B3293C">
        <w:rPr>
          <w:rFonts w:ascii="微软雅黑" w:eastAsia="微软雅黑" w:hAnsi="微软雅黑" w:cs="Times New Roman" w:hint="eastAsia"/>
          <w:color w:val="auto"/>
          <w:kern w:val="2"/>
        </w:rPr>
        <w:t>注:“/”表示暂无相关数据。</w:t>
      </w:r>
    </w:p>
    <w:p w:rsidR="00D64D7E" w:rsidRPr="00B3293C" w:rsidRDefault="00D64D7E"/>
    <w:sectPr w:rsidR="00D64D7E" w:rsidRPr="00B3293C" w:rsidSect="00B3293C">
      <w:pgSz w:w="16838" w:h="11906" w:orient="landscape"/>
      <w:pgMar w:top="1800" w:right="1440" w:bottom="1800" w:left="1440" w:header="851" w:footer="992" w:gutter="0"/>
      <w:cols w:space="425"/>
      <w:docGrid w:type="lines" w:linePitch="43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书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revisionView w:markup="0" w:comments="0" w:insDel="0" w:formatting="0" w:inkAnnotations="0"/>
  <w:defaultTabStop w:val="420"/>
  <w:drawingGridHorizontalSpacing w:val="160"/>
  <w:drawingGridVerticalSpacing w:val="43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B3293C"/>
    <w:rsid w:val="00685D44"/>
    <w:rsid w:val="008B2EAA"/>
    <w:rsid w:val="009D33D8"/>
    <w:rsid w:val="00B3293C"/>
    <w:rsid w:val="00BC4D91"/>
    <w:rsid w:val="00D64D7E"/>
    <w:rsid w:val="00DC3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B3293C"/>
    <w:pPr>
      <w:widowControl w:val="0"/>
      <w:jc w:val="both"/>
    </w:pPr>
    <w:rPr>
      <w:rFonts w:ascii="方正仿宋_GBK" w:eastAsia="方正仿宋_GBK" w:hAnsi="Times New Roman" w:cs="Times New Roman"/>
      <w:sz w:val="32"/>
      <w:szCs w:val="32"/>
    </w:rPr>
  </w:style>
  <w:style w:type="paragraph" w:styleId="1">
    <w:name w:val="heading 1"/>
    <w:basedOn w:val="a"/>
    <w:next w:val="a"/>
    <w:link w:val="1Char"/>
    <w:qFormat/>
    <w:rsid w:val="00B3293C"/>
    <w:pPr>
      <w:keepNext/>
      <w:keepLines/>
      <w:spacing w:before="340" w:after="330" w:line="576" w:lineRule="auto"/>
      <w:jc w:val="center"/>
      <w:outlineLvl w:val="0"/>
    </w:pPr>
    <w:rPr>
      <w:rFonts w:ascii="Times New Roman" w:eastAsia="方正黑体_GBK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标题 1 Char"/>
    <w:basedOn w:val="a1"/>
    <w:link w:val="1"/>
    <w:rsid w:val="00B3293C"/>
    <w:rPr>
      <w:rFonts w:ascii="Times New Roman" w:eastAsia="方正黑体_GBK" w:hAnsi="Times New Roman" w:cs="Times New Roman"/>
      <w:b/>
      <w:bCs/>
      <w:kern w:val="44"/>
      <w:sz w:val="44"/>
      <w:szCs w:val="44"/>
    </w:rPr>
  </w:style>
  <w:style w:type="paragraph" w:customStyle="1" w:styleId="Default">
    <w:name w:val="Default"/>
    <w:rsid w:val="00B3293C"/>
    <w:pPr>
      <w:autoSpaceDE w:val="0"/>
      <w:autoSpaceDN w:val="0"/>
      <w:adjustRightInd w:val="0"/>
    </w:pPr>
    <w:rPr>
      <w:rFonts w:ascii="Arial" w:eastAsia="宋体" w:hAnsi="Arial" w:cs="Arial"/>
      <w:color w:val="000000"/>
      <w:kern w:val="0"/>
      <w:sz w:val="24"/>
      <w:szCs w:val="24"/>
    </w:rPr>
  </w:style>
  <w:style w:type="paragraph" w:styleId="a0">
    <w:name w:val="Normal Indent"/>
    <w:basedOn w:val="a"/>
    <w:uiPriority w:val="99"/>
    <w:semiHidden/>
    <w:unhideWhenUsed/>
    <w:rsid w:val="00B3293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2023-09-11T07:50:00Z</dcterms:created>
  <dcterms:modified xsi:type="dcterms:W3CDTF">2023-09-11T07:55:00Z</dcterms:modified>
</cp:coreProperties>
</file>