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00" w:lineRule="exact"/>
        <w:jc w:val="both"/>
        <w:rPr>
          <w:rFonts w:hint="eastAsia" w:ascii="微软雅黑" w:hAnsi="微软雅黑" w:eastAsia="微软雅黑"/>
          <w:color w:val="auto"/>
        </w:rPr>
      </w:pPr>
      <w:r>
        <w:rPr>
          <w:rFonts w:hint="eastAsia" w:ascii="微软雅黑" w:hAnsi="微软雅黑" w:eastAsia="微软雅黑"/>
          <w:color w:val="auto"/>
        </w:rPr>
        <w:t>附件3</w:t>
      </w:r>
    </w:p>
    <w:p>
      <w:pPr>
        <w:spacing w:line="500" w:lineRule="exact"/>
        <w:jc w:val="center"/>
        <w:rPr>
          <w:rFonts w:hint="eastAsia" w:ascii="微软雅黑" w:hAnsi="微软雅黑" w:eastAsia="微软雅黑"/>
          <w:b/>
          <w:sz w:val="28"/>
          <w:szCs w:val="28"/>
        </w:rPr>
      </w:pPr>
      <w:r>
        <w:rPr>
          <w:rFonts w:hint="eastAsia" w:ascii="微软雅黑" w:hAnsi="微软雅黑" w:eastAsia="微软雅黑"/>
          <w:b/>
          <w:sz w:val="28"/>
          <w:szCs w:val="28"/>
        </w:rPr>
        <w:t xml:space="preserve"> 上半年未实现“双过半”目标任务</w:t>
      </w:r>
    </w:p>
    <w:p>
      <w:pPr>
        <w:pStyle w:val="2"/>
        <w:spacing w:line="240" w:lineRule="exact"/>
        <w:ind w:firstLine="640"/>
      </w:pPr>
    </w:p>
    <w:tbl>
      <w:tblPr>
        <w:tblStyle w:val="4"/>
        <w:tblW w:w="14538"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675"/>
        <w:gridCol w:w="8370"/>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55" w:type="dxa"/>
            <w:vAlign w:val="center"/>
          </w:tcPr>
          <w:p>
            <w:pPr>
              <w:keepLines/>
              <w:widowControl/>
              <w:tabs>
                <w:tab w:val="left" w:pos="7742"/>
              </w:tabs>
              <w:spacing w:line="300" w:lineRule="exact"/>
              <w:jc w:val="center"/>
              <w:rPr>
                <w:rFonts w:hint="eastAsia" w:ascii="微软雅黑" w:hAnsi="微软雅黑" w:eastAsia="微软雅黑"/>
                <w:b/>
                <w:sz w:val="24"/>
                <w:szCs w:val="24"/>
              </w:rPr>
            </w:pPr>
            <w:r>
              <w:rPr>
                <w:rFonts w:hint="eastAsia" w:ascii="微软雅黑" w:hAnsi="微软雅黑" w:eastAsia="微软雅黑"/>
                <w:b/>
                <w:sz w:val="24"/>
                <w:szCs w:val="24"/>
              </w:rPr>
              <w:t>序号</w:t>
            </w:r>
          </w:p>
        </w:tc>
        <w:tc>
          <w:tcPr>
            <w:tcW w:w="3675" w:type="dxa"/>
            <w:vAlign w:val="center"/>
          </w:tcPr>
          <w:p>
            <w:pPr>
              <w:keepLines/>
              <w:widowControl/>
              <w:tabs>
                <w:tab w:val="left" w:pos="7742"/>
              </w:tabs>
              <w:spacing w:line="300" w:lineRule="exact"/>
              <w:jc w:val="center"/>
              <w:rPr>
                <w:rFonts w:hint="eastAsia" w:ascii="微软雅黑" w:hAnsi="微软雅黑" w:eastAsia="微软雅黑"/>
                <w:b/>
                <w:sz w:val="24"/>
                <w:szCs w:val="24"/>
              </w:rPr>
            </w:pPr>
            <w:r>
              <w:rPr>
                <w:rFonts w:hint="eastAsia" w:ascii="微软雅黑" w:hAnsi="微软雅黑" w:eastAsia="微软雅黑"/>
                <w:b/>
                <w:sz w:val="24"/>
                <w:szCs w:val="24"/>
              </w:rPr>
              <w:t>目       标      任      务</w:t>
            </w:r>
          </w:p>
        </w:tc>
        <w:tc>
          <w:tcPr>
            <w:tcW w:w="8370" w:type="dxa"/>
            <w:vAlign w:val="center"/>
          </w:tcPr>
          <w:p>
            <w:pPr>
              <w:keepLines/>
              <w:widowControl/>
              <w:tabs>
                <w:tab w:val="left" w:pos="7742"/>
              </w:tabs>
              <w:spacing w:line="300" w:lineRule="exact"/>
              <w:jc w:val="center"/>
              <w:rPr>
                <w:rFonts w:hint="eastAsia" w:ascii="微软雅黑" w:hAnsi="微软雅黑" w:eastAsia="微软雅黑"/>
                <w:b/>
                <w:sz w:val="24"/>
                <w:szCs w:val="24"/>
              </w:rPr>
            </w:pPr>
            <w:r>
              <w:rPr>
                <w:rFonts w:hint="eastAsia" w:ascii="微软雅黑" w:hAnsi="微软雅黑" w:eastAsia="微软雅黑"/>
                <w:b/>
                <w:sz w:val="24"/>
                <w:szCs w:val="24"/>
              </w:rPr>
              <w:t>完 成 情 况</w:t>
            </w:r>
          </w:p>
        </w:tc>
        <w:tc>
          <w:tcPr>
            <w:tcW w:w="1738" w:type="dxa"/>
            <w:vAlign w:val="center"/>
          </w:tcPr>
          <w:p>
            <w:pPr>
              <w:keepLines/>
              <w:widowControl/>
              <w:tabs>
                <w:tab w:val="left" w:pos="7742"/>
              </w:tabs>
              <w:spacing w:line="300" w:lineRule="exact"/>
              <w:jc w:val="center"/>
              <w:rPr>
                <w:rFonts w:hint="eastAsia" w:ascii="微软雅黑" w:hAnsi="微软雅黑" w:eastAsia="微软雅黑"/>
                <w:b/>
                <w:sz w:val="24"/>
                <w:szCs w:val="24"/>
              </w:rPr>
            </w:pPr>
            <w:r>
              <w:rPr>
                <w:rFonts w:hint="eastAsia" w:ascii="微软雅黑" w:hAnsi="微软雅黑" w:eastAsia="微软雅黑"/>
                <w:b/>
                <w:sz w:val="24"/>
                <w:szCs w:val="24"/>
              </w:rPr>
              <w:t>牵头责任单位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55"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1</w:t>
            </w:r>
          </w:p>
        </w:tc>
        <w:tc>
          <w:tcPr>
            <w:tcW w:w="3675"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固定资产投资增长10%。</w:t>
            </w:r>
          </w:p>
        </w:tc>
        <w:tc>
          <w:tcPr>
            <w:tcW w:w="8370" w:type="dxa"/>
            <w:vAlign w:val="center"/>
          </w:tcPr>
          <w:p>
            <w:pPr>
              <w:keepLines/>
              <w:widowControl/>
              <w:tabs>
                <w:tab w:val="left" w:pos="4424"/>
              </w:tabs>
              <w:spacing w:line="440" w:lineRule="exact"/>
              <w:ind w:left="-48" w:leftChars="-15" w:right="-48" w:rightChars="-15"/>
              <w:rPr>
                <w:rFonts w:hint="eastAsia" w:ascii="微软雅黑" w:hAnsi="微软雅黑" w:eastAsia="微软雅黑"/>
                <w:sz w:val="24"/>
                <w:szCs w:val="24"/>
              </w:rPr>
            </w:pPr>
            <w:r>
              <w:rPr>
                <w:rFonts w:hint="eastAsia" w:ascii="微软雅黑" w:hAnsi="微软雅黑" w:eastAsia="微软雅黑"/>
                <w:sz w:val="24"/>
                <w:szCs w:val="24"/>
              </w:rPr>
              <w:t>上半年，完成固定资产投资增长-9.8%。</w:t>
            </w:r>
          </w:p>
        </w:tc>
        <w:tc>
          <w:tcPr>
            <w:tcW w:w="1738"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55" w:type="dxa"/>
            <w:vAlign w:val="center"/>
          </w:tcPr>
          <w:p>
            <w:pPr>
              <w:keepLines/>
              <w:widowControl/>
              <w:tabs>
                <w:tab w:val="left" w:pos="7742"/>
              </w:tabs>
              <w:spacing w:line="440" w:lineRule="exact"/>
              <w:jc w:val="center"/>
              <w:rPr>
                <w:rFonts w:hint="eastAsia" w:ascii="微软雅黑" w:hAnsi="微软雅黑" w:eastAsia="微软雅黑"/>
                <w:b/>
                <w:sz w:val="24"/>
                <w:szCs w:val="24"/>
              </w:rPr>
            </w:pPr>
            <w:r>
              <w:rPr>
                <w:rFonts w:hint="eastAsia" w:ascii="微软雅黑" w:hAnsi="微软雅黑" w:eastAsia="微软雅黑"/>
                <w:sz w:val="24"/>
                <w:szCs w:val="24"/>
              </w:rPr>
              <w:t>2</w:t>
            </w:r>
          </w:p>
        </w:tc>
        <w:tc>
          <w:tcPr>
            <w:tcW w:w="3675"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积极推进石沱移民码头项目。</w:t>
            </w:r>
          </w:p>
        </w:tc>
        <w:tc>
          <w:tcPr>
            <w:tcW w:w="8370"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经与大业公司商谈，其不同意作为石沱移民码头改造投资主体，暂缓实施。</w:t>
            </w:r>
          </w:p>
        </w:tc>
        <w:tc>
          <w:tcPr>
            <w:tcW w:w="1738"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55"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3</w:t>
            </w:r>
          </w:p>
        </w:tc>
        <w:tc>
          <w:tcPr>
            <w:tcW w:w="3675"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激活民间投资，创新运用BOT、TOT、PPP等投融资模式，力争基础设施投资、民间投资均增长12%以上。</w:t>
            </w:r>
          </w:p>
        </w:tc>
        <w:tc>
          <w:tcPr>
            <w:tcW w:w="8370"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2023年上半年民间投资增长-7.3%，未实现“双过半”。</w:t>
            </w:r>
          </w:p>
        </w:tc>
        <w:tc>
          <w:tcPr>
            <w:tcW w:w="1738"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55"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4</w:t>
            </w:r>
          </w:p>
        </w:tc>
        <w:tc>
          <w:tcPr>
            <w:tcW w:w="3675"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积极融入RCEP行动计划、西部陆海新通道，推动建设西部陆海新通道渝东南综合服务中心，高质量建设国家外贸转型升级基地和重庆自贸区涪陵联动创新区，进出口总额增长5%。</w:t>
            </w:r>
          </w:p>
        </w:tc>
        <w:tc>
          <w:tcPr>
            <w:tcW w:w="8370" w:type="dxa"/>
            <w:vAlign w:val="center"/>
          </w:tcPr>
          <w:p>
            <w:pPr>
              <w:keepLines/>
              <w:widowControl/>
              <w:tabs>
                <w:tab w:val="left" w:pos="4424"/>
              </w:tabs>
              <w:spacing w:line="440" w:lineRule="exact"/>
              <w:rPr>
                <w:rFonts w:hint="eastAsia" w:ascii="微软雅黑" w:hAnsi="微软雅黑" w:eastAsia="微软雅黑"/>
                <w:sz w:val="24"/>
                <w:szCs w:val="24"/>
              </w:rPr>
            </w:pPr>
            <w:r>
              <w:rPr>
                <w:rFonts w:hint="eastAsia" w:ascii="微软雅黑" w:hAnsi="微软雅黑" w:eastAsia="微软雅黑"/>
                <w:bCs/>
                <w:sz w:val="24"/>
                <w:szCs w:val="24"/>
              </w:rPr>
              <w:t>组织企业参加马来西亚贸易促进及推介、第30届釜山食品展、第三届日本食品展、2023年FHA新加坡国际食品及酒店展等展销活动。积极复制推广自贸区成功试点经验，推动开放平台提档升级。</w:t>
            </w:r>
            <w:r>
              <w:rPr>
                <w:rFonts w:hint="eastAsia" w:ascii="微软雅黑" w:hAnsi="微软雅黑" w:eastAsia="微软雅黑" w:cs="方正书宋_GBK"/>
                <w:sz w:val="24"/>
                <w:szCs w:val="24"/>
              </w:rPr>
              <w:t>上半年，全区实现进出口总额97.8亿元，同比下降9%。</w:t>
            </w:r>
          </w:p>
        </w:tc>
        <w:tc>
          <w:tcPr>
            <w:tcW w:w="1738"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55"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5</w:t>
            </w:r>
          </w:p>
        </w:tc>
        <w:tc>
          <w:tcPr>
            <w:tcW w:w="3675"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完成FDI3000万美元。</w:t>
            </w:r>
          </w:p>
        </w:tc>
        <w:tc>
          <w:tcPr>
            <w:tcW w:w="8370"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新增外资企业1户，合同外资额1000万美元，实际利用外资432万美元。</w:t>
            </w:r>
            <w:r>
              <w:rPr>
                <w:rFonts w:hint="eastAsia" w:ascii="微软雅黑" w:hAnsi="微软雅黑" w:eastAsia="微软雅黑"/>
                <w:b/>
                <w:sz w:val="24"/>
                <w:szCs w:val="24"/>
              </w:rPr>
              <w:t>上半年，全区实际使用外资602万美元，同比下降28.6%</w:t>
            </w:r>
            <w:r>
              <w:rPr>
                <w:rFonts w:hint="eastAsia" w:ascii="微软雅黑" w:hAnsi="微软雅黑" w:eastAsia="微软雅黑"/>
                <w:bCs/>
                <w:sz w:val="24"/>
                <w:szCs w:val="24"/>
              </w:rPr>
              <w:t>。</w:t>
            </w:r>
          </w:p>
        </w:tc>
        <w:tc>
          <w:tcPr>
            <w:tcW w:w="1738"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6" w:hRule="atLeast"/>
          <w:tblHeader/>
        </w:trPr>
        <w:tc>
          <w:tcPr>
            <w:tcW w:w="755"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6</w:t>
            </w:r>
          </w:p>
        </w:tc>
        <w:tc>
          <w:tcPr>
            <w:tcW w:w="3675"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建成投用G351石板沟长江大桥至爻里小镇段。</w:t>
            </w:r>
          </w:p>
        </w:tc>
        <w:tc>
          <w:tcPr>
            <w:tcW w:w="8370"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已完成K0+000~K0+700段沥青路面底面层、中面层铺筑，占总形象进度75%。当前因资金未落实，项目暂时停工。</w:t>
            </w:r>
          </w:p>
        </w:tc>
        <w:tc>
          <w:tcPr>
            <w:tcW w:w="1738"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55"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7</w:t>
            </w:r>
          </w:p>
        </w:tc>
        <w:tc>
          <w:tcPr>
            <w:tcW w:w="3675"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推进大气污染防治，加快大朗铁合金、华新水泥超低排放改造，深入开展夏秋季臭氧污染防治、秋冬季细颗粒物污染防治，空气质量优良天数达到330天。</w:t>
            </w:r>
          </w:p>
        </w:tc>
        <w:tc>
          <w:tcPr>
            <w:tcW w:w="8370" w:type="dxa"/>
            <w:vAlign w:val="center"/>
          </w:tcPr>
          <w:p>
            <w:pPr>
              <w:keepLines/>
              <w:widowControl/>
              <w:tabs>
                <w:tab w:val="left" w:pos="4424"/>
              </w:tabs>
              <w:spacing w:line="440" w:lineRule="exact"/>
              <w:rPr>
                <w:rFonts w:hint="eastAsia" w:ascii="微软雅黑" w:hAnsi="微软雅黑" w:eastAsia="微软雅黑"/>
                <w:sz w:val="24"/>
                <w:szCs w:val="24"/>
              </w:rPr>
            </w:pPr>
            <w:r>
              <w:rPr>
                <w:rFonts w:hint="eastAsia" w:ascii="微软雅黑" w:hAnsi="微软雅黑" w:eastAsia="微软雅黑" w:cs="方正书宋_GBK"/>
                <w:sz w:val="24"/>
                <w:szCs w:val="24"/>
              </w:rPr>
              <w:t>大朗铁合金超低排放改造项目已进入招标程序，华新水泥超低排放改造项目已完成实施方案编制。上半年，空气质量优良天数达到144天，完成目标任务的43.2%。（</w:t>
            </w:r>
            <w:r>
              <w:rPr>
                <w:rFonts w:hint="eastAsia" w:ascii="微软雅黑" w:hAnsi="微软雅黑" w:eastAsia="微软雅黑" w:cs="方正书宋_GBK"/>
                <w:b/>
                <w:bCs/>
                <w:sz w:val="24"/>
                <w:szCs w:val="24"/>
              </w:rPr>
              <w:t>上半年，城市空气质量超标35天，超过全年超标天数上限；Pm2.5浓度较年度目标升高17</w:t>
            </w:r>
            <w:r>
              <w:rPr>
                <w:rFonts w:hint="eastAsia" w:ascii="微软雅黑" w:hAnsi="微软雅黑" w:eastAsia="方正书宋_GBK" w:cs="方正书宋_GBK"/>
                <w:b/>
                <w:bCs/>
                <w:sz w:val="24"/>
                <w:szCs w:val="24"/>
              </w:rPr>
              <w:t>㎎</w:t>
            </w:r>
            <w:r>
              <w:rPr>
                <w:rFonts w:hint="eastAsia" w:ascii="微软雅黑" w:hAnsi="微软雅黑" w:eastAsia="微软雅黑" w:cs="方正书宋_GBK"/>
                <w:b/>
                <w:bCs/>
                <w:sz w:val="24"/>
                <w:szCs w:val="24"/>
              </w:rPr>
              <w:t>/m³，升幅列全市前四。</w:t>
            </w:r>
            <w:r>
              <w:rPr>
                <w:rFonts w:hint="eastAsia" w:ascii="微软雅黑" w:hAnsi="微软雅黑" w:eastAsia="微软雅黑" w:cs="方正书宋_GBK"/>
                <w:sz w:val="24"/>
                <w:szCs w:val="24"/>
              </w:rPr>
              <w:t>除区域连片污染外，主要是道路扬尘、露天焚烧、</w:t>
            </w:r>
            <w:r>
              <w:rPr>
                <w:rFonts w:hint="eastAsia" w:ascii="微软雅黑" w:hAnsi="微软雅黑" w:eastAsia="微软雅黑" w:cs="方正书宋_GBK"/>
                <w:sz w:val="24"/>
                <w:szCs w:val="24"/>
                <w:lang w:eastAsia="zh-CN"/>
              </w:rPr>
              <w:t>烟熏</w:t>
            </w:r>
            <w:r>
              <w:rPr>
                <w:rFonts w:hint="eastAsia" w:ascii="微软雅黑" w:hAnsi="微软雅黑" w:eastAsia="微软雅黑" w:cs="方正书宋_GBK"/>
                <w:sz w:val="24"/>
                <w:szCs w:val="24"/>
              </w:rPr>
              <w:t>腊肉、</w:t>
            </w:r>
            <w:bookmarkStart w:id="0" w:name="_GoBack"/>
            <w:r>
              <w:rPr>
                <w:rFonts w:hint="eastAsia" w:ascii="微软雅黑" w:hAnsi="微软雅黑" w:eastAsia="微软雅黑" w:cs="方正书宋_GBK"/>
                <w:sz w:val="24"/>
                <w:szCs w:val="24"/>
              </w:rPr>
              <w:t>烟</w:t>
            </w:r>
            <w:bookmarkEnd w:id="0"/>
            <w:r>
              <w:rPr>
                <w:rFonts w:hint="eastAsia" w:ascii="微软雅黑" w:hAnsi="微软雅黑" w:eastAsia="微软雅黑" w:cs="方正书宋_GBK"/>
                <w:sz w:val="24"/>
                <w:szCs w:val="24"/>
              </w:rPr>
              <w:t>花爆竹燃放、传统祭祀等导致）</w:t>
            </w:r>
          </w:p>
        </w:tc>
        <w:tc>
          <w:tcPr>
            <w:tcW w:w="1738" w:type="dxa"/>
            <w:vAlign w:val="center"/>
          </w:tcPr>
          <w:p>
            <w:pPr>
              <w:keepLines/>
              <w:widowControl/>
              <w:spacing w:line="440" w:lineRule="exact"/>
              <w:jc w:val="left"/>
              <w:rPr>
                <w:rFonts w:hint="eastAsia" w:ascii="微软雅黑" w:hAnsi="微软雅黑" w:eastAsia="微软雅黑"/>
                <w:sz w:val="24"/>
                <w:szCs w:val="24"/>
              </w:rPr>
            </w:pPr>
            <w:r>
              <w:rPr>
                <w:rFonts w:hint="eastAsia" w:ascii="微软雅黑" w:hAnsi="微软雅黑" w:eastAsia="微软雅黑"/>
                <w:sz w:val="24"/>
                <w:szCs w:val="24"/>
              </w:rPr>
              <w:t>区生态环境局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55" w:type="dxa"/>
            <w:vAlign w:val="center"/>
          </w:tcPr>
          <w:p>
            <w:pPr>
              <w:keepLines/>
              <w:widowControl/>
              <w:spacing w:line="440" w:lineRule="exact"/>
              <w:jc w:val="center"/>
              <w:rPr>
                <w:rFonts w:ascii="微软雅黑" w:hAnsi="微软雅黑" w:eastAsia="微软雅黑"/>
                <w:sz w:val="24"/>
                <w:szCs w:val="24"/>
              </w:rPr>
            </w:pPr>
            <w:r>
              <w:rPr>
                <w:rFonts w:hint="eastAsia" w:ascii="微软雅黑" w:hAnsi="微软雅黑" w:eastAsia="微软雅黑"/>
                <w:sz w:val="24"/>
                <w:szCs w:val="24"/>
              </w:rPr>
              <w:t>8</w:t>
            </w:r>
          </w:p>
        </w:tc>
        <w:tc>
          <w:tcPr>
            <w:tcW w:w="3675"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严守耕地保护红线。</w:t>
            </w:r>
          </w:p>
        </w:tc>
        <w:tc>
          <w:tcPr>
            <w:tcW w:w="8370" w:type="dxa"/>
            <w:vAlign w:val="center"/>
          </w:tcPr>
          <w:p>
            <w:pPr>
              <w:keepLines/>
              <w:widowControl/>
              <w:tabs>
                <w:tab w:val="left" w:pos="4424"/>
              </w:tabs>
              <w:spacing w:line="440" w:lineRule="exact"/>
              <w:rPr>
                <w:rFonts w:hint="eastAsia" w:ascii="微软雅黑" w:hAnsi="微软雅黑" w:eastAsia="微软雅黑"/>
                <w:kern w:val="22"/>
                <w:sz w:val="24"/>
                <w:szCs w:val="24"/>
              </w:rPr>
            </w:pPr>
            <w:r>
              <w:rPr>
                <w:rFonts w:hint="eastAsia" w:ascii="微软雅黑" w:hAnsi="微软雅黑" w:eastAsia="微软雅黑"/>
                <w:sz w:val="24"/>
                <w:szCs w:val="24"/>
              </w:rPr>
              <w:t>完善2023年耕地“进出平衡”方案并指导乡镇街道实施，做好年度耕地卫片监督核实整改工作。牵头拟制《涪陵区2023年耕地保护目标任务实施方案指导意见》（试行）。牵头清理核实全区永久基本农田非耕地情况，</w:t>
            </w:r>
            <w:r>
              <w:rPr>
                <w:rFonts w:hint="eastAsia" w:ascii="微软雅黑" w:hAnsi="微软雅黑" w:eastAsia="微软雅黑"/>
                <w:b/>
                <w:bCs/>
                <w:sz w:val="24"/>
                <w:szCs w:val="24"/>
              </w:rPr>
              <w:t>经排查核实非耕地1.29万亩</w:t>
            </w:r>
            <w:r>
              <w:rPr>
                <w:rFonts w:hint="eastAsia" w:ascii="微软雅黑" w:hAnsi="微软雅黑" w:eastAsia="微软雅黑"/>
                <w:sz w:val="24"/>
                <w:szCs w:val="24"/>
              </w:rPr>
              <w:t>，已制定分类处置措施，调整补划0.51万亩，原址整改0.78万亩，拟于今年底完成。</w:t>
            </w:r>
          </w:p>
        </w:tc>
        <w:tc>
          <w:tcPr>
            <w:tcW w:w="1738"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区规划自然资源局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55" w:type="dxa"/>
            <w:vAlign w:val="center"/>
          </w:tcPr>
          <w:p>
            <w:pPr>
              <w:keepLines/>
              <w:widowControl/>
              <w:spacing w:line="440" w:lineRule="exact"/>
              <w:jc w:val="center"/>
              <w:rPr>
                <w:rFonts w:ascii="微软雅黑" w:hAnsi="微软雅黑" w:eastAsia="微软雅黑"/>
                <w:sz w:val="24"/>
                <w:szCs w:val="24"/>
              </w:rPr>
            </w:pPr>
            <w:r>
              <w:rPr>
                <w:rFonts w:hint="eastAsia" w:ascii="微软雅黑" w:hAnsi="微软雅黑" w:eastAsia="微软雅黑"/>
                <w:sz w:val="24"/>
                <w:szCs w:val="24"/>
              </w:rPr>
              <w:t>9</w:t>
            </w:r>
          </w:p>
        </w:tc>
        <w:tc>
          <w:tcPr>
            <w:tcW w:w="3675" w:type="dxa"/>
            <w:vAlign w:val="center"/>
          </w:tcPr>
          <w:p>
            <w:pPr>
              <w:keepLines/>
              <w:widowControl/>
              <w:spacing w:line="440" w:lineRule="exact"/>
              <w:rPr>
                <w:rFonts w:hint="eastAsia" w:ascii="微软雅黑" w:hAnsi="微软雅黑" w:eastAsia="微软雅黑"/>
                <w:sz w:val="24"/>
                <w:szCs w:val="24"/>
              </w:rPr>
            </w:pPr>
            <w:r>
              <w:rPr>
                <w:rFonts w:hint="eastAsia" w:ascii="微软雅黑" w:hAnsi="微软雅黑" w:eastAsia="微软雅黑"/>
                <w:sz w:val="24"/>
                <w:szCs w:val="24"/>
              </w:rPr>
              <w:t>做大做强综保区，提速建设加贸科创产业园一期，投用冷链仓储物流中心，积极发展加工贸易、跨境电商、保税贸易等业态。</w:t>
            </w:r>
          </w:p>
        </w:tc>
        <w:tc>
          <w:tcPr>
            <w:tcW w:w="8370" w:type="dxa"/>
            <w:vAlign w:val="center"/>
          </w:tcPr>
          <w:p>
            <w:pPr>
              <w:keepLines/>
              <w:widowControl/>
              <w:tabs>
                <w:tab w:val="left" w:pos="4424"/>
              </w:tabs>
              <w:spacing w:line="440" w:lineRule="exact"/>
              <w:rPr>
                <w:rFonts w:hint="eastAsia" w:ascii="微软雅黑" w:hAnsi="微软雅黑" w:eastAsia="微软雅黑"/>
                <w:sz w:val="24"/>
                <w:szCs w:val="24"/>
              </w:rPr>
            </w:pPr>
            <w:r>
              <w:rPr>
                <w:rFonts w:hint="eastAsia" w:ascii="微软雅黑" w:hAnsi="微软雅黑" w:eastAsia="微软雅黑"/>
                <w:b/>
                <w:bCs/>
                <w:sz w:val="24"/>
                <w:szCs w:val="24"/>
              </w:rPr>
              <w:t>加贸科创产业园一期</w:t>
            </w:r>
            <w:r>
              <w:rPr>
                <w:rFonts w:hint="eastAsia" w:ascii="微软雅黑" w:hAnsi="微软雅黑" w:eastAsia="微软雅黑"/>
                <w:sz w:val="24"/>
                <w:szCs w:val="24"/>
              </w:rPr>
              <w:t>：一期约建成5万m²厂房，目前己完成总工程量59%。</w:t>
            </w:r>
            <w:r>
              <w:rPr>
                <w:rFonts w:hint="eastAsia" w:ascii="微软雅黑" w:hAnsi="微软雅黑" w:eastAsia="微软雅黑"/>
                <w:b/>
                <w:bCs/>
                <w:sz w:val="24"/>
                <w:szCs w:val="24"/>
              </w:rPr>
              <w:t>冷链仓储物流中心</w:t>
            </w:r>
            <w:r>
              <w:rPr>
                <w:rFonts w:hint="eastAsia" w:ascii="微软雅黑" w:hAnsi="微软雅黑" w:eastAsia="微软雅黑"/>
                <w:sz w:val="24"/>
                <w:szCs w:val="24"/>
              </w:rPr>
              <w:t>：项目主体工程已完工，正与亚太冷国际供应链有限公司洽谈综保区区内冷链仓库具体合作模式。拟通过川渝合作引入“前店后仓+快速配送”保税新零售模式。</w:t>
            </w:r>
            <w:r>
              <w:rPr>
                <w:rFonts w:hint="eastAsia" w:ascii="微软雅黑" w:hAnsi="微软雅黑" w:eastAsia="微软雅黑"/>
                <w:b/>
                <w:bCs/>
                <w:sz w:val="24"/>
                <w:szCs w:val="24"/>
              </w:rPr>
              <w:t>上半年，涪陵综保区实现外贸进出口值60.97亿元，同比下降3.99%，完成全年任务44.9%，进度不及预期。</w:t>
            </w:r>
          </w:p>
        </w:tc>
        <w:tc>
          <w:tcPr>
            <w:tcW w:w="1738" w:type="dxa"/>
            <w:vAlign w:val="center"/>
          </w:tcPr>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涪陵高新区</w:t>
            </w:r>
          </w:p>
          <w:p>
            <w:pPr>
              <w:keepLines/>
              <w:widowControl/>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涪陵综保区</w:t>
            </w:r>
          </w:p>
        </w:tc>
      </w:tr>
    </w:tbl>
    <w:p>
      <w:pPr>
        <w:spacing w:line="440" w:lineRule="exact"/>
        <w:rPr>
          <w:rFonts w:ascii="微软雅黑" w:hAnsi="微软雅黑" w:eastAsia="微软雅黑"/>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4E9C"/>
    <w:rsid w:val="00685D44"/>
    <w:rsid w:val="008B2EAA"/>
    <w:rsid w:val="009611E6"/>
    <w:rsid w:val="00984E9C"/>
    <w:rsid w:val="00BC4D91"/>
    <w:rsid w:val="00D64D7E"/>
    <w:rsid w:val="00DC3A6D"/>
    <w:rsid w:val="00ED48AF"/>
    <w:rsid w:val="DFC31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3">
    <w:name w:val="heading 1"/>
    <w:basedOn w:val="1"/>
    <w:next w:val="1"/>
    <w:link w:val="6"/>
    <w:qFormat/>
    <w:uiPriority w:val="0"/>
    <w:pPr>
      <w:keepNext/>
      <w:keepLines/>
      <w:spacing w:before="340" w:after="330" w:line="576" w:lineRule="auto"/>
      <w:jc w:val="center"/>
      <w:outlineLvl w:val="0"/>
    </w:pPr>
    <w:rPr>
      <w:rFonts w:ascii="Times New Roman" w:eastAsia="方正黑体_GBK"/>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character" w:customStyle="1" w:styleId="6">
    <w:name w:val="标题 1 Char"/>
    <w:basedOn w:val="5"/>
    <w:link w:val="3"/>
    <w:qFormat/>
    <w:uiPriority w:val="0"/>
    <w:rPr>
      <w:rFonts w:ascii="Times New Roman" w:hAnsi="Times New Roman" w:eastAsia="方正黑体_GBK" w:cs="Times New Roman"/>
      <w:b/>
      <w:bCs/>
      <w:kern w:val="44"/>
      <w:sz w:val="44"/>
      <w:szCs w:val="44"/>
    </w:rPr>
  </w:style>
  <w:style w:type="paragraph" w:customStyle="1" w:styleId="7">
    <w:name w:val="Default"/>
    <w:qFormat/>
    <w:uiPriority w:val="0"/>
    <w:pPr>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195</Words>
  <Characters>1118</Characters>
  <Lines>9</Lines>
  <Paragraphs>2</Paragraphs>
  <TotalTime>18</TotalTime>
  <ScaleCrop>false</ScaleCrop>
  <LinksUpToDate>false</LinksUpToDate>
  <CharactersWithSpaces>1311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2023-09-11T17:14:00Z</dcterms:created>
  <dc:creator>Administrator</dc:creator>
  <cp:lastModifiedBy>user</cp:lastModifiedBy>
  <dcterms:modified xsi:type="dcterms:W3CDTF">2025-01-26T10:12:04Z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